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A731B3"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Default="00A731B3"/>
    <w:p w:rsidR="00A731B3" w:rsidRDefault="00A731B3"/>
    <w:p w:rsidR="000C44F7" w:rsidRDefault="00A731B3" w:rsidP="00A731B3">
      <w:pPr>
        <w:jc w:val="right"/>
        <w:rPr>
          <w:rFonts w:asciiTheme="minorHAnsi" w:hAnsiTheme="minorHAnsi"/>
        </w:rPr>
      </w:pPr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</w:t>
      </w:r>
      <w:r w:rsidR="006E3983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do Szczegółowego opisu osi priorytetowych RPO WD 2014-2020</w:t>
      </w:r>
      <w:r w:rsidR="000C44F7" w:rsidRPr="000C44F7">
        <w:rPr>
          <w:rFonts w:asciiTheme="minorHAnsi" w:hAnsiTheme="minorHAnsi"/>
        </w:rPr>
        <w:t xml:space="preserve"> </w:t>
      </w:r>
    </w:p>
    <w:p w:rsidR="00A731B3" w:rsidRPr="00166191" w:rsidRDefault="000C44F7" w:rsidP="00A731B3">
      <w:pPr>
        <w:jc w:val="right"/>
        <w:rPr>
          <w:color w:val="000000" w:themeColor="text1"/>
        </w:rPr>
      </w:pPr>
      <w:r w:rsidRPr="00166191">
        <w:rPr>
          <w:rFonts w:asciiTheme="minorHAnsi" w:hAnsiTheme="minorHAnsi"/>
          <w:color w:val="000000" w:themeColor="text1"/>
        </w:rPr>
        <w:t xml:space="preserve">z </w:t>
      </w:r>
      <w:r w:rsidR="00BB1F6C">
        <w:rPr>
          <w:rFonts w:asciiTheme="minorHAnsi" w:hAnsiTheme="minorHAnsi"/>
          <w:color w:val="000000" w:themeColor="text1"/>
        </w:rPr>
        <w:t>dn. 6 października 2016 r.</w:t>
      </w:r>
    </w:p>
    <w:p w:rsidR="00A731B3" w:rsidRDefault="00A731B3" w:rsidP="00A731B3"/>
    <w:p w:rsidR="00A731B3" w:rsidRPr="006E3983" w:rsidRDefault="00971E9D" w:rsidP="00A731B3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>
        <w:rPr>
          <w:rFonts w:asciiTheme="minorHAnsi" w:hAnsiTheme="minorHAnsi"/>
          <w:b/>
          <w:color w:val="4F81BD" w:themeColor="accent1"/>
          <w:sz w:val="32"/>
          <w:szCs w:val="32"/>
        </w:rPr>
        <w:t xml:space="preserve">Zasady </w:t>
      </w:r>
      <w:r w:rsidR="006E3983" w:rsidRPr="006E3983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kwalifikowalności </w:t>
      </w:r>
      <w:r>
        <w:rPr>
          <w:rFonts w:asciiTheme="minorHAnsi" w:hAnsiTheme="minorHAnsi"/>
          <w:b/>
          <w:color w:val="4F81BD" w:themeColor="accent1"/>
          <w:sz w:val="32"/>
          <w:szCs w:val="32"/>
        </w:rPr>
        <w:t xml:space="preserve">wydatków </w:t>
      </w:r>
      <w:r w:rsidR="006E3983" w:rsidRPr="006E3983">
        <w:rPr>
          <w:rFonts w:asciiTheme="minorHAnsi" w:hAnsiTheme="minorHAnsi"/>
          <w:b/>
          <w:color w:val="4F81BD" w:themeColor="accent1"/>
          <w:sz w:val="32"/>
          <w:szCs w:val="32"/>
        </w:rPr>
        <w:t>w R</w:t>
      </w:r>
      <w:r w:rsidR="006E3983">
        <w:rPr>
          <w:rFonts w:asciiTheme="minorHAnsi" w:hAnsiTheme="minorHAnsi"/>
          <w:b/>
          <w:color w:val="4F81BD" w:themeColor="accent1"/>
          <w:sz w:val="32"/>
          <w:szCs w:val="32"/>
        </w:rPr>
        <w:t>PO WD</w:t>
      </w:r>
      <w:r w:rsidR="006E3983" w:rsidRPr="006E3983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 2014-2020</w:t>
      </w:r>
    </w:p>
    <w:p w:rsidR="00971E9D" w:rsidRPr="00E969AF" w:rsidRDefault="00971E9D" w:rsidP="00971E9D">
      <w:pPr>
        <w:spacing w:line="276" w:lineRule="auto"/>
        <w:rPr>
          <w:rFonts w:asciiTheme="minorHAnsi" w:hAnsiTheme="minorHAnsi"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Niniejszy załącznik</w:t>
      </w:r>
      <w:r>
        <w:rPr>
          <w:rFonts w:asciiTheme="minorHAnsi" w:hAnsiTheme="minorHAnsi"/>
          <w:b/>
        </w:rPr>
        <w:t xml:space="preserve"> dotyczy</w:t>
      </w:r>
      <w:r w:rsidRPr="00E969AF">
        <w:rPr>
          <w:rFonts w:asciiTheme="minorHAnsi" w:hAnsiTheme="minorHAnsi"/>
          <w:b/>
        </w:rPr>
        <w:t xml:space="preserve"> wyłącznie osi priorytetowych współfina</w:t>
      </w:r>
      <w:r>
        <w:rPr>
          <w:rFonts w:asciiTheme="minorHAnsi" w:hAnsiTheme="minorHAnsi"/>
          <w:b/>
        </w:rPr>
        <w:t>n</w:t>
      </w:r>
      <w:r w:rsidRPr="00E969AF">
        <w:rPr>
          <w:rFonts w:asciiTheme="minorHAnsi" w:hAnsiTheme="minorHAnsi"/>
          <w:b/>
        </w:rPr>
        <w:t>sowanych przez EFRR (osie 1-7</w:t>
      </w:r>
      <w:r>
        <w:rPr>
          <w:rFonts w:asciiTheme="minorHAnsi" w:hAnsiTheme="minorHAnsi"/>
          <w:b/>
        </w:rPr>
        <w:t>) i nie dotyczy instrumentów zwrotnych.</w:t>
      </w: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Kwalifikowalność wydatków w ramach RPO WD 2014</w:t>
      </w:r>
      <w:r w:rsidR="00B34A40">
        <w:rPr>
          <w:rFonts w:asciiTheme="minorHAnsi" w:hAnsiTheme="minorHAnsi"/>
        </w:rPr>
        <w:t>-</w:t>
      </w:r>
      <w:r w:rsidRPr="00E969AF">
        <w:rPr>
          <w:rFonts w:asciiTheme="minorHAnsi" w:hAnsiTheme="minorHAnsi"/>
        </w:rPr>
        <w:t>2020 uregulowana jest następującymi przepisami:</w:t>
      </w:r>
    </w:p>
    <w:p w:rsidR="00971E9D" w:rsidRPr="00E969AF" w:rsidRDefault="00971E9D" w:rsidP="00971E9D">
      <w:pPr>
        <w:pStyle w:val="Akapitzlist"/>
        <w:numPr>
          <w:ilvl w:val="0"/>
          <w:numId w:val="22"/>
        </w:numPr>
        <w:spacing w:after="0"/>
        <w:ind w:left="567"/>
        <w:jc w:val="both"/>
        <w:rPr>
          <w:sz w:val="24"/>
          <w:szCs w:val="24"/>
        </w:rPr>
      </w:pPr>
      <w:r w:rsidRPr="00E969AF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(rozporządzenie ogólne);</w:t>
      </w:r>
    </w:p>
    <w:p w:rsidR="00971E9D" w:rsidRPr="00E969AF" w:rsidRDefault="00971E9D" w:rsidP="00971E9D">
      <w:pPr>
        <w:pStyle w:val="Akapitzlist"/>
        <w:numPr>
          <w:ilvl w:val="0"/>
          <w:numId w:val="22"/>
        </w:numPr>
        <w:spacing w:after="0"/>
        <w:ind w:left="567"/>
        <w:jc w:val="both"/>
        <w:rPr>
          <w:sz w:val="24"/>
          <w:szCs w:val="24"/>
        </w:rPr>
      </w:pPr>
      <w:r w:rsidRPr="00E969AF">
        <w:rPr>
          <w:sz w:val="24"/>
          <w:szCs w:val="24"/>
        </w:rPr>
        <w:t>rozporządzenia Parlamentu Europejskiego i Rady (UE) nr 1301/2013 z dnia 17 grudnia 2</w:t>
      </w:r>
      <w:r>
        <w:rPr>
          <w:sz w:val="24"/>
          <w:szCs w:val="24"/>
        </w:rPr>
        <w:t xml:space="preserve">013 r. </w:t>
      </w:r>
      <w:r w:rsidRPr="00E969AF">
        <w:rPr>
          <w:sz w:val="24"/>
          <w:szCs w:val="24"/>
        </w:rPr>
        <w:t>w sprawie Europejskiego Funduszu Rozwoju Regionalnego i przepisów szczególnych dotyczących celu „Inwestycje na rzecz</w:t>
      </w:r>
      <w:r w:rsidR="004E55EA">
        <w:rPr>
          <w:sz w:val="24"/>
          <w:szCs w:val="24"/>
        </w:rPr>
        <w:t xml:space="preserve"> wzrostu i zatrudnienia” oraz w </w:t>
      </w:r>
      <w:r w:rsidRPr="00E969AF">
        <w:rPr>
          <w:sz w:val="24"/>
          <w:szCs w:val="24"/>
        </w:rPr>
        <w:t>sprawie uchylenia rozporządzenia (WE) nr 1080/2006 (rozporządzenie EFRR);</w:t>
      </w:r>
    </w:p>
    <w:p w:rsidR="00971E9D" w:rsidRPr="00E969AF" w:rsidRDefault="00971E9D" w:rsidP="00971E9D">
      <w:pPr>
        <w:pStyle w:val="Akapitzlist"/>
        <w:numPr>
          <w:ilvl w:val="0"/>
          <w:numId w:val="22"/>
        </w:numPr>
        <w:spacing w:after="0"/>
        <w:ind w:left="567"/>
        <w:jc w:val="both"/>
        <w:rPr>
          <w:sz w:val="24"/>
          <w:szCs w:val="24"/>
        </w:rPr>
      </w:pPr>
      <w:r w:rsidRPr="00E969AF">
        <w:rPr>
          <w:sz w:val="24"/>
          <w:szCs w:val="24"/>
        </w:rPr>
        <w:t>rozporządzeniem Parlamentu Europejskiego i R</w:t>
      </w:r>
      <w:r w:rsidR="004E55EA">
        <w:rPr>
          <w:sz w:val="24"/>
          <w:szCs w:val="24"/>
        </w:rPr>
        <w:t>ady (UE) nr 1304/2013 z dnia 17 </w:t>
      </w:r>
      <w:r w:rsidRPr="00E969AF">
        <w:rPr>
          <w:sz w:val="24"/>
          <w:szCs w:val="24"/>
        </w:rPr>
        <w:t>grudnia 2013 r. w sprawie Europejskiego Funduszu Społecznego i uchylającym rozporządzenie Rady (WE) nr 1081/2006 (rozporządzenie EFS);</w:t>
      </w:r>
    </w:p>
    <w:p w:rsidR="00971E9D" w:rsidRPr="00E969AF" w:rsidRDefault="00971E9D" w:rsidP="00971E9D">
      <w:pPr>
        <w:pStyle w:val="Akapitzlist"/>
        <w:numPr>
          <w:ilvl w:val="0"/>
          <w:numId w:val="22"/>
        </w:numPr>
        <w:spacing w:after="0"/>
        <w:ind w:left="567"/>
        <w:jc w:val="both"/>
        <w:rPr>
          <w:sz w:val="24"/>
          <w:szCs w:val="24"/>
        </w:rPr>
      </w:pPr>
      <w:r w:rsidRPr="00E969AF">
        <w:rPr>
          <w:sz w:val="24"/>
          <w:szCs w:val="24"/>
        </w:rPr>
        <w:t>ustawy z dnia 11 lipca 2014 r. o zasadach realizacji programów w zakresie polityki spójności finansowanych w perspektywie finansowej 2014–2020 (ustawa wdrożeniowa).</w:t>
      </w: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Na mocy przepisów ustawy wdrożeniowej, minister właściwy do spraw rozwoju regionalnego wykonujący zadania państwa członkowskiego, w celu zapewnienia zgodności sposobu realizacji programów operacyjnych z prawem Unii Europejskiej w zakresie wdrażania funduszy strukturalnych oraz spełniania wymagań określanych przez Komisję Euro</w:t>
      </w:r>
      <w:r w:rsidR="004E55EA">
        <w:rPr>
          <w:rFonts w:asciiTheme="minorHAnsi" w:hAnsiTheme="minorHAnsi"/>
        </w:rPr>
        <w:t>pejską w </w:t>
      </w:r>
      <w:r w:rsidRPr="00E969AF">
        <w:rPr>
          <w:rFonts w:asciiTheme="minorHAnsi" w:hAnsiTheme="minorHAnsi"/>
        </w:rPr>
        <w:t xml:space="preserve">tym zakresie, a także w celu zapewnienia jednolitości sposobu realizacji programów operacyjnych i prawidłowości realizacji zadań i obowiązków określonych ustawą, może wydać wytyczne horyzontalne dotyczące kwalifikowalności wydatków w ramach programów </w:t>
      </w:r>
      <w:r w:rsidRPr="00E969AF">
        <w:rPr>
          <w:rFonts w:asciiTheme="minorHAnsi" w:hAnsiTheme="minorHAnsi"/>
        </w:rPr>
        <w:lastRenderedPageBreak/>
        <w:t>operacyjnych, które są skierowane do instytucji uczestniczących realizacji programów operacyjnych. Instytucja zarządzająca programem operacyjnym może wydawać wytyczne dotyczące kwestii szczegółowych dla danego programu operacyjnego, zwane dalej „wytycznymi programowymi”, zgodne z wytycznymi horyzontalnymi. Przepisy prawa oraz zapisy wytycznych stanowią podstawę systemu realizacji programu operacyjnego.</w:t>
      </w:r>
    </w:p>
    <w:p w:rsidR="00971E9D" w:rsidRDefault="00971E9D" w:rsidP="00971E9D">
      <w:pPr>
        <w:spacing w:before="240"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Podstawowym dokumentem w zakresie kwalifikowalności wydatków w RPO WD 2014</w:t>
      </w:r>
      <w:r w:rsidR="004E55EA">
        <w:rPr>
          <w:rFonts w:asciiTheme="minorHAnsi" w:hAnsiTheme="minorHAnsi"/>
          <w:b/>
        </w:rPr>
        <w:t>-</w:t>
      </w:r>
      <w:r w:rsidRPr="00E969AF">
        <w:rPr>
          <w:rFonts w:asciiTheme="minorHAnsi" w:hAnsiTheme="minorHAnsi"/>
          <w:b/>
        </w:rPr>
        <w:t xml:space="preserve">2020 są </w:t>
      </w:r>
      <w:r w:rsidRPr="00E969AF">
        <w:rPr>
          <w:rFonts w:asciiTheme="minorHAnsi" w:hAnsiTheme="minorHAnsi"/>
          <w:b/>
          <w:i/>
        </w:rPr>
        <w:t>Wytyczne w zakresie kwalifikowalności wydatków w ramach Europejskiego Funduszu Rozwoju Regionalnego, Europejskiego Funduszu Społecznego oraz Funduszu Spójności na lata 2014-2020</w:t>
      </w:r>
      <w:r w:rsidRPr="00E969AF">
        <w:rPr>
          <w:rFonts w:asciiTheme="minorHAnsi" w:hAnsiTheme="minorHAnsi"/>
          <w:b/>
        </w:rPr>
        <w:t xml:space="preserve"> wydane przez Ministra Infrastruktury i Rozwoju.</w:t>
      </w:r>
      <w:r w:rsidRPr="00E969AF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Oznacza to, iż zapisy w</w:t>
      </w:r>
      <w:r w:rsidRPr="00E969AF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>.</w:t>
      </w:r>
      <w:r w:rsidRPr="00E969AF">
        <w:rPr>
          <w:rFonts w:asciiTheme="minorHAnsi" w:hAnsiTheme="minorHAnsi"/>
          <w:b/>
        </w:rPr>
        <w:t xml:space="preserve"> wytycznych mają bezpośrednie zastosowanie we wdrażaniu RPO WD 2014-2020 (w części</w:t>
      </w:r>
      <w:r>
        <w:rPr>
          <w:rFonts w:asciiTheme="minorHAnsi" w:hAnsiTheme="minorHAnsi"/>
          <w:b/>
        </w:rPr>
        <w:t xml:space="preserve"> finansowanej z</w:t>
      </w:r>
      <w:r w:rsidRPr="00E969AF">
        <w:rPr>
          <w:rFonts w:asciiTheme="minorHAnsi" w:hAnsiTheme="minorHAnsi"/>
          <w:b/>
        </w:rPr>
        <w:t xml:space="preserve"> EFRR), z zastrzeżeniem zapisów niniejszego załącznika, który zawiera dodatkowe ograniczenia</w:t>
      </w:r>
      <w:r>
        <w:rPr>
          <w:rFonts w:asciiTheme="minorHAnsi" w:hAnsiTheme="minorHAnsi"/>
          <w:b/>
        </w:rPr>
        <w:t xml:space="preserve"> lub wskazuje na niekwalifikowalność</w:t>
      </w:r>
      <w:r w:rsidRPr="00E969AF">
        <w:rPr>
          <w:rFonts w:asciiTheme="minorHAnsi" w:hAnsiTheme="minorHAnsi"/>
          <w:b/>
        </w:rPr>
        <w:t xml:space="preserve"> w zakresie </w:t>
      </w:r>
      <w:r>
        <w:rPr>
          <w:rFonts w:asciiTheme="minorHAnsi" w:hAnsiTheme="minorHAnsi"/>
          <w:b/>
        </w:rPr>
        <w:t>poszczególnych kategorii</w:t>
      </w:r>
      <w:r w:rsidRPr="00E969AF">
        <w:rPr>
          <w:rFonts w:asciiTheme="minorHAnsi" w:hAnsiTheme="minorHAnsi"/>
          <w:b/>
        </w:rPr>
        <w:t xml:space="preserve"> wydatków wiążące dla wnioskodawców i beneficjentów RPO WD 2014-2020. </w:t>
      </w:r>
    </w:p>
    <w:p w:rsidR="00FE3F42" w:rsidRPr="00FE3F42" w:rsidRDefault="00FE3F42" w:rsidP="00FE3F42">
      <w:pPr>
        <w:widowControl/>
        <w:autoSpaceDE/>
        <w:autoSpaceDN/>
        <w:adjustRightInd/>
        <w:spacing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FE3F42">
        <w:rPr>
          <w:rFonts w:asciiTheme="minorHAnsi" w:eastAsia="Times New Roman" w:hAnsiTheme="minorHAnsi"/>
          <w:szCs w:val="24"/>
          <w:lang w:eastAsia="pl-PL"/>
        </w:rPr>
        <w:t>W przypadku projektów objętych zasadami pomocy publicznej w rozumieniu Traktatu o funkcjonowaniu Unii Europejskiej (art. 93, art. 106 ust. 2, art. 107 ust. 2 i 3), należy mieć dodatkowo na uwadze warunki wynikające z odpowiednich regulacji w zakresie pomocy publicznej, przyjęte na poziomie unijnym lub krajowym, w tym m.in.</w:t>
      </w:r>
    </w:p>
    <w:p w:rsidR="00FE3F42" w:rsidRPr="00FE3F42" w:rsidRDefault="00FE3F42" w:rsidP="00FE3F42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E3F42">
        <w:rPr>
          <w:rFonts w:eastAsia="Times New Roman"/>
          <w:sz w:val="24"/>
          <w:szCs w:val="24"/>
          <w:lang w:eastAsia="pl-PL"/>
        </w:rPr>
        <w:t xml:space="preserve">rozporządzenie Komisji (UE) nr 651/2014 z dnia 17 czerwca 2014 r. uznające niektóre rodzaje pomocy za zgodne z rynkiem wewnętrznym w zastosowaniu art. 107 i 108 Traktatu (Dz. Urz. UE L 187/1 z 26.6.2014, str. 1), </w:t>
      </w:r>
    </w:p>
    <w:p w:rsidR="00FE3F42" w:rsidRPr="00FE3F42" w:rsidRDefault="00FE3F42" w:rsidP="00FE3F42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E3F42">
        <w:rPr>
          <w:rFonts w:eastAsia="Times New Roman"/>
          <w:sz w:val="24"/>
          <w:szCs w:val="24"/>
          <w:lang w:eastAsia="pl-PL"/>
        </w:rPr>
        <w:t>rozporządzenie Parlamentu Europejskiego i Rady nr 1370/2007 z 23 października 2007 r. dotyczące usług publicznych w zakresie kolejowego i drogowego transportu pasażerskiego oraz uchylające rozporządzenia R</w:t>
      </w:r>
      <w:r w:rsidR="00E721E1">
        <w:rPr>
          <w:rFonts w:eastAsia="Times New Roman"/>
          <w:sz w:val="24"/>
          <w:szCs w:val="24"/>
          <w:lang w:eastAsia="pl-PL"/>
        </w:rPr>
        <w:t>ady (EWG) nr 1191/69 i (EWG) nr </w:t>
      </w:r>
      <w:r w:rsidRPr="00FE3F42">
        <w:rPr>
          <w:rFonts w:eastAsia="Times New Roman"/>
          <w:sz w:val="24"/>
          <w:szCs w:val="24"/>
          <w:lang w:eastAsia="pl-PL"/>
        </w:rPr>
        <w:t xml:space="preserve">1107/70 (Dz. Urz. L 315/1 z </w:t>
      </w:r>
      <w:r w:rsidRPr="00FE3F42">
        <w:rPr>
          <w:rFonts w:eastAsia="Times New Roman" w:cs="Times New Roman"/>
          <w:sz w:val="24"/>
          <w:szCs w:val="24"/>
          <w:lang w:eastAsia="pl-PL"/>
        </w:rPr>
        <w:t>3.12.2007, str. 1</w:t>
      </w:r>
      <w:r w:rsidRPr="00FE3F42">
        <w:rPr>
          <w:rFonts w:eastAsia="Times New Roman"/>
          <w:sz w:val="24"/>
          <w:szCs w:val="24"/>
          <w:lang w:eastAsia="pl-PL"/>
        </w:rPr>
        <w:t>)</w:t>
      </w:r>
      <w:r w:rsidR="00F2322B">
        <w:rPr>
          <w:rFonts w:eastAsia="Times New Roman"/>
          <w:sz w:val="24"/>
          <w:szCs w:val="24"/>
          <w:lang w:eastAsia="pl-PL"/>
        </w:rPr>
        <w:t>,</w:t>
      </w:r>
      <w:r w:rsidRPr="00FE3F42">
        <w:rPr>
          <w:rFonts w:eastAsia="Times New Roman"/>
          <w:sz w:val="24"/>
          <w:szCs w:val="24"/>
          <w:lang w:eastAsia="pl-PL"/>
        </w:rPr>
        <w:t xml:space="preserve"> </w:t>
      </w:r>
    </w:p>
    <w:p w:rsidR="00FE3F42" w:rsidRPr="00F2322B" w:rsidRDefault="00FE3F42" w:rsidP="00F2322B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2322B">
        <w:rPr>
          <w:rFonts w:eastAsia="Times New Roman"/>
          <w:sz w:val="24"/>
          <w:szCs w:val="24"/>
          <w:lang w:eastAsia="pl-PL"/>
        </w:rPr>
        <w:t>decyzj</w:t>
      </w:r>
      <w:r w:rsidR="00F2322B" w:rsidRPr="00F2322B">
        <w:rPr>
          <w:rFonts w:eastAsia="Times New Roman"/>
          <w:sz w:val="24"/>
          <w:szCs w:val="24"/>
          <w:lang w:eastAsia="pl-PL"/>
        </w:rPr>
        <w:t>ę</w:t>
      </w:r>
      <w:r w:rsidRPr="00F2322B">
        <w:rPr>
          <w:rFonts w:eastAsia="Times New Roman"/>
          <w:sz w:val="24"/>
          <w:szCs w:val="24"/>
          <w:lang w:eastAsia="pl-PL"/>
        </w:rPr>
        <w:t xml:space="preserve"> Komisji z 20 grudnia 2011 r. w sprawie stosowania art. 106 </w:t>
      </w:r>
      <w:r w:rsidR="00F2322B" w:rsidRPr="000A104C">
        <w:rPr>
          <w:rFonts w:eastAsia="Times New Roman"/>
          <w:sz w:val="24"/>
          <w:szCs w:val="24"/>
          <w:lang w:eastAsia="pl-PL"/>
        </w:rPr>
        <w:t>ust. 2 Traktatu o</w:t>
      </w:r>
      <w:r w:rsidR="00F2322B">
        <w:rPr>
          <w:rFonts w:eastAsia="Times New Roman"/>
          <w:sz w:val="24"/>
          <w:szCs w:val="24"/>
          <w:lang w:eastAsia="pl-PL"/>
        </w:rPr>
        <w:t> </w:t>
      </w:r>
      <w:r w:rsidRPr="00F2322B">
        <w:rPr>
          <w:rFonts w:eastAsia="Times New Roman"/>
          <w:sz w:val="24"/>
          <w:szCs w:val="24"/>
          <w:lang w:eastAsia="pl-PL"/>
        </w:rPr>
        <w:t xml:space="preserve">funkcjonowaniu Unii Europejskiej </w:t>
      </w:r>
      <w:r w:rsidRPr="000A104C">
        <w:rPr>
          <w:rFonts w:eastAsia="Times New Roman"/>
          <w:sz w:val="24"/>
          <w:szCs w:val="24"/>
          <w:lang w:eastAsia="pl-PL"/>
        </w:rPr>
        <w:t>do pomocy pań</w:t>
      </w:r>
      <w:r w:rsidRPr="00F2322B">
        <w:rPr>
          <w:rFonts w:eastAsia="Times New Roman"/>
          <w:sz w:val="24"/>
          <w:szCs w:val="24"/>
          <w:lang w:eastAsia="pl-PL"/>
        </w:rPr>
        <w:t>stwa w formie rekompensaty z tytułu świadczenia usług publicznych, przyznanej przedsiębiorstwom zobowiązanym do wykonywania usług świadczonych w ogólnym interesie go</w:t>
      </w:r>
      <w:r w:rsidR="00E721E1">
        <w:rPr>
          <w:rFonts w:eastAsia="Times New Roman"/>
          <w:sz w:val="24"/>
          <w:szCs w:val="24"/>
          <w:lang w:eastAsia="pl-PL"/>
        </w:rPr>
        <w:t>spodarczym (Dz. Urz. UE L 7/3 z </w:t>
      </w:r>
      <w:r w:rsidRPr="00F2322B">
        <w:rPr>
          <w:rFonts w:eastAsia="Times New Roman"/>
          <w:sz w:val="24"/>
          <w:szCs w:val="24"/>
          <w:lang w:eastAsia="pl-PL"/>
        </w:rPr>
        <w:t xml:space="preserve">11.1.2012, str. 3). </w:t>
      </w:r>
    </w:p>
    <w:p w:rsidR="00FE3F42" w:rsidRPr="00FE3F42" w:rsidRDefault="00FE3F42" w:rsidP="00971E9D">
      <w:pPr>
        <w:spacing w:before="240" w:line="276" w:lineRule="auto"/>
        <w:jc w:val="both"/>
        <w:rPr>
          <w:rFonts w:asciiTheme="minorHAnsi" w:hAnsiTheme="minorHAnsi"/>
          <w:b/>
          <w:szCs w:val="24"/>
        </w:rPr>
      </w:pPr>
    </w:p>
    <w:p w:rsidR="00971E9D" w:rsidRPr="00F13313" w:rsidRDefault="00971E9D" w:rsidP="00971E9D">
      <w:pPr>
        <w:spacing w:before="240" w:line="276" w:lineRule="auto"/>
        <w:jc w:val="both"/>
        <w:rPr>
          <w:rFonts w:asciiTheme="minorHAnsi" w:hAnsiTheme="minorHAnsi"/>
          <w:b/>
          <w:u w:val="single"/>
        </w:rPr>
      </w:pPr>
      <w:r w:rsidRPr="00F13313">
        <w:rPr>
          <w:rFonts w:asciiTheme="minorHAnsi" w:hAnsiTheme="minorHAnsi"/>
          <w:b/>
          <w:u w:val="single"/>
        </w:rPr>
        <w:t>Ogólne kategorie wydatków mające zastosowanie dla o</w:t>
      </w:r>
      <w:r>
        <w:rPr>
          <w:rFonts w:asciiTheme="minorHAnsi" w:hAnsiTheme="minorHAnsi"/>
          <w:b/>
          <w:u w:val="single"/>
        </w:rPr>
        <w:t>si priorytetowych 1-7 z</w:t>
      </w:r>
      <w:r w:rsidR="004E55EA">
        <w:rPr>
          <w:rFonts w:asciiTheme="minorHAnsi" w:hAnsiTheme="minorHAnsi"/>
          <w:b/>
          <w:u w:val="single"/>
        </w:rPr>
        <w:t> </w:t>
      </w:r>
      <w:r>
        <w:rPr>
          <w:rFonts w:asciiTheme="minorHAnsi" w:hAnsiTheme="minorHAnsi"/>
          <w:b/>
          <w:u w:val="single"/>
        </w:rPr>
        <w:t>wyłączeniem instrumentów zwrotnych</w:t>
      </w:r>
      <w:r w:rsidR="00FE3F42">
        <w:rPr>
          <w:rFonts w:asciiTheme="minorHAnsi" w:hAnsiTheme="minorHAnsi"/>
          <w:b/>
          <w:u w:val="single"/>
        </w:rPr>
        <w:t>.</w:t>
      </w:r>
    </w:p>
    <w:p w:rsidR="00E41E04" w:rsidRDefault="00971E9D" w:rsidP="00E721E1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704E1">
        <w:rPr>
          <w:rFonts w:asciiTheme="minorHAnsi" w:hAnsiTheme="minorHAnsi"/>
        </w:rPr>
        <w:t>Zwiększenie wysokości kosztów kwalifikowalnych w toku realizacji projektu przez Beneficjenta, niezależnie od przyczyny tego zwiększenia, nie stanowi dla Beneficjenta podstawy do roszczeń o zwiększenie kwoty dofinansowania przyznan</w:t>
      </w:r>
      <w:r>
        <w:rPr>
          <w:rFonts w:asciiTheme="minorHAnsi" w:hAnsiTheme="minorHAnsi"/>
        </w:rPr>
        <w:t>ego w umowie</w:t>
      </w:r>
      <w:r>
        <w:rPr>
          <w:rStyle w:val="Odwoanieprzypisudolnego"/>
          <w:rFonts w:asciiTheme="minorHAnsi" w:hAnsiTheme="minorHAnsi"/>
        </w:rPr>
        <w:footnoteReference w:id="2"/>
      </w:r>
      <w:r>
        <w:rPr>
          <w:rFonts w:asciiTheme="minorHAnsi" w:hAnsiTheme="minorHAnsi"/>
        </w:rPr>
        <w:t xml:space="preserve"> o</w:t>
      </w:r>
      <w:r w:rsidR="004E55EA">
        <w:rPr>
          <w:rFonts w:asciiTheme="minorHAnsi" w:hAnsiTheme="minorHAnsi"/>
        </w:rPr>
        <w:t> </w:t>
      </w:r>
      <w:r>
        <w:rPr>
          <w:rFonts w:asciiTheme="minorHAnsi" w:hAnsiTheme="minorHAnsi"/>
        </w:rPr>
        <w:t>dofinansowanie projektu.</w:t>
      </w:r>
      <w:r w:rsidR="0086572B">
        <w:rPr>
          <w:rFonts w:asciiTheme="minorHAnsi" w:hAnsiTheme="minorHAnsi"/>
        </w:rPr>
        <w:t xml:space="preserve"> Wniosek o zwiększenie dofinansowania jest rozpatrywany indywidualnie dla każdego przypadku</w:t>
      </w:r>
      <w:r w:rsidR="00A33A70">
        <w:rPr>
          <w:rFonts w:asciiTheme="minorHAnsi" w:hAnsiTheme="minorHAnsi"/>
        </w:rPr>
        <w:t xml:space="preserve">, a podejmując decyzję właściwa instytucja bierze pod </w:t>
      </w:r>
      <w:r w:rsidR="00A33A70">
        <w:rPr>
          <w:rFonts w:asciiTheme="minorHAnsi" w:hAnsiTheme="minorHAnsi"/>
        </w:rPr>
        <w:lastRenderedPageBreak/>
        <w:t>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9"/>
        <w:gridCol w:w="6561"/>
      </w:tblGrid>
      <w:tr w:rsidR="00971E9D" w:rsidRPr="00E969AF" w:rsidTr="001D731F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969AF">
              <w:rPr>
                <w:rFonts w:asciiTheme="minorHAnsi" w:hAnsiTheme="minorHAnsi"/>
                <w:b/>
              </w:rPr>
              <w:t>KRYTERIUM/</w:t>
            </w:r>
          </w:p>
          <w:p w:rsidR="00971E9D" w:rsidRPr="00E969AF" w:rsidRDefault="00971E9D" w:rsidP="001D731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969AF">
              <w:rPr>
                <w:rFonts w:asciiTheme="minorHAnsi" w:hAnsiTheme="minorHAnsi"/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:rsidR="00971E9D" w:rsidRPr="00E969AF" w:rsidRDefault="00971E9D" w:rsidP="001D731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969AF">
              <w:rPr>
                <w:rFonts w:asciiTheme="minorHAnsi" w:hAnsiTheme="minorHAnsi"/>
                <w:b/>
              </w:rPr>
              <w:t>WYDATKI NIEKWALIFIKOWALNE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Zasięg terytorialny</w:t>
            </w:r>
          </w:p>
        </w:tc>
        <w:tc>
          <w:tcPr>
            <w:tcW w:w="3562" w:type="pct"/>
            <w:vAlign w:val="center"/>
          </w:tcPr>
          <w:p w:rsidR="00AE0D21" w:rsidRPr="00916127" w:rsidRDefault="007A57DC" w:rsidP="001D731F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7A57DC">
              <w:rPr>
                <w:rFonts w:ascii="Calibri" w:hAnsi="Calibri"/>
                <w:b/>
                <w:bCs/>
              </w:rPr>
              <w:t>Kwalifikowalność projektów:</w:t>
            </w:r>
          </w:p>
          <w:p w:rsidR="00AE0D21" w:rsidRPr="00916127" w:rsidRDefault="007A57DC" w:rsidP="001D731F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 w:rsidRPr="007A57DC">
              <w:rPr>
                <w:rFonts w:ascii="Calibri" w:hAnsi="Calibri"/>
                <w:bCs/>
              </w:rPr>
              <w:t>Projekt współfinansowany z EFRR w ramach RPO WD 2014 – 2020 musi być realizowany w granicach administracyjnych województwa dolnośląskiego (poziom NUTS 2).</w:t>
            </w:r>
          </w:p>
          <w:p w:rsidR="006112E5" w:rsidRDefault="006112E5" w:rsidP="006112E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Reguła ta nie ma zastosowania w przypadku </w:t>
            </w:r>
            <w:r w:rsidRPr="00125FB5">
              <w:rPr>
                <w:rFonts w:asciiTheme="minorHAnsi" w:hAnsiTheme="minorHAnsi"/>
              </w:rPr>
              <w:t>Działania 1.4 Inte</w:t>
            </w:r>
            <w:r>
              <w:rPr>
                <w:rFonts w:asciiTheme="minorHAnsi" w:hAnsiTheme="minorHAnsi"/>
              </w:rPr>
              <w:t>rnacjonalizacja przedsiębiorstw -</w:t>
            </w:r>
            <w:r w:rsidRPr="00125FB5">
              <w:rPr>
                <w:rFonts w:asciiTheme="minorHAnsi" w:hAnsiTheme="minorHAnsi"/>
              </w:rPr>
              <w:t xml:space="preserve"> projekty, których celem jest promocja, </w:t>
            </w:r>
            <w:r>
              <w:rPr>
                <w:rFonts w:asciiTheme="minorHAnsi" w:hAnsiTheme="minorHAnsi"/>
              </w:rPr>
              <w:t xml:space="preserve">Działania </w:t>
            </w:r>
            <w:r w:rsidRPr="00125FB5">
              <w:rPr>
                <w:rFonts w:asciiTheme="minorHAnsi" w:hAnsiTheme="minorHAnsi"/>
              </w:rPr>
              <w:t>4.1 Gospodarka odpadami</w:t>
            </w:r>
            <w:r>
              <w:rPr>
                <w:rFonts w:asciiTheme="minorHAnsi" w:hAnsiTheme="minorHAnsi"/>
              </w:rPr>
              <w:t xml:space="preserve"> oraz Działania 5.2 System transportu kolejowego, zasady realizacji których</w:t>
            </w:r>
            <w:r w:rsidRPr="00125FB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zapisano bezpośrednio w RPO WD 2014 – 2020.</w:t>
            </w:r>
          </w:p>
          <w:p w:rsidR="006112E5" w:rsidRPr="006112E5" w:rsidRDefault="006112E5" w:rsidP="001D731F">
            <w:pPr>
              <w:spacing w:line="276" w:lineRule="auto"/>
              <w:jc w:val="both"/>
              <w:rPr>
                <w:rFonts w:ascii="Calibri" w:hAnsi="Calibri"/>
                <w:bCs/>
                <w:color w:val="1F497D"/>
              </w:rPr>
            </w:pPr>
          </w:p>
          <w:p w:rsidR="00F27DC9" w:rsidRPr="00916127" w:rsidRDefault="007A57DC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A57DC">
              <w:rPr>
                <w:rFonts w:ascii="Calibri" w:hAnsi="Calibri"/>
                <w:b/>
                <w:bCs/>
              </w:rPr>
              <w:t>Kwalifikowalność wydatków:</w:t>
            </w:r>
          </w:p>
          <w:p w:rsidR="00125FB5" w:rsidRDefault="00F27DC9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Niekwalifikowalne są wydatki </w:t>
            </w:r>
            <w:r w:rsidR="00971E9D" w:rsidRPr="00E969AF">
              <w:rPr>
                <w:rFonts w:asciiTheme="minorHAnsi" w:hAnsiTheme="minorHAnsi"/>
              </w:rPr>
              <w:t xml:space="preserve">poniesione na projekt realizowany poza granicami administracyjnymi województwa dolnośląskiego (poziom NUTS 2). </w:t>
            </w:r>
            <w:r w:rsidR="00EC358B">
              <w:rPr>
                <w:rFonts w:asciiTheme="minorHAnsi" w:hAnsiTheme="minorHAnsi"/>
              </w:rPr>
              <w:t xml:space="preserve">Reguła ta nie ma zastosowania w przypadku </w:t>
            </w:r>
          </w:p>
          <w:p w:rsidR="003A7A87" w:rsidRDefault="00125FB5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25FB5">
              <w:rPr>
                <w:rFonts w:asciiTheme="minorHAnsi" w:hAnsiTheme="minorHAnsi"/>
              </w:rPr>
              <w:t>Działania 1.4 Internacjonalizacja przedsiębiorstw, projekty, których celem jest promocja, 4.1 Gospodarka odpadami</w:t>
            </w:r>
            <w:r w:rsidR="00B7696B">
              <w:rPr>
                <w:rFonts w:asciiTheme="minorHAnsi" w:hAnsiTheme="minorHAnsi"/>
              </w:rPr>
              <w:t>, Działania 5.1 Drogowa dostępność transportowa</w:t>
            </w:r>
            <w:r w:rsidR="00EC358B">
              <w:rPr>
                <w:rFonts w:asciiTheme="minorHAnsi" w:hAnsiTheme="minorHAnsi"/>
              </w:rPr>
              <w:t xml:space="preserve"> oraz działania 5.2 System transportu kolejowego, zasady realizacji których</w:t>
            </w:r>
            <w:r w:rsidRPr="00125FB5">
              <w:rPr>
                <w:rFonts w:asciiTheme="minorHAnsi" w:hAnsiTheme="minorHAnsi"/>
              </w:rPr>
              <w:t xml:space="preserve"> </w:t>
            </w:r>
            <w:r w:rsidR="00EC358B">
              <w:rPr>
                <w:rFonts w:asciiTheme="minorHAnsi" w:hAnsiTheme="minorHAnsi"/>
              </w:rPr>
              <w:t xml:space="preserve">zapisano bezpośrednio w RPO WD 2014 – 2020. </w:t>
            </w:r>
          </w:p>
          <w:p w:rsidR="00125FB5" w:rsidRDefault="00125FB5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971E9D" w:rsidRPr="00E969AF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przypadku przedsiębior</w:t>
            </w:r>
            <w:r w:rsidR="008801AC">
              <w:rPr>
                <w:rFonts w:asciiTheme="minorHAnsi" w:hAnsiTheme="minorHAnsi"/>
              </w:rPr>
              <w:t>ców</w:t>
            </w:r>
            <w:r>
              <w:rPr>
                <w:rFonts w:asciiTheme="minorHAnsi" w:hAnsiTheme="minorHAnsi"/>
              </w:rPr>
              <w:t xml:space="preserve"> </w:t>
            </w:r>
            <w:r w:rsidR="008801AC">
              <w:rPr>
                <w:rFonts w:asciiTheme="minorHAnsi" w:hAnsiTheme="minorHAnsi"/>
              </w:rPr>
              <w:t>(</w:t>
            </w:r>
            <w:r w:rsidR="008C5725">
              <w:rPr>
                <w:rFonts w:asciiTheme="minorHAnsi" w:hAnsiTheme="minorHAnsi"/>
              </w:rPr>
              <w:t>rozumianych zgodnie z ustawą o swobodzie działalności gospodarczej</w:t>
            </w:r>
            <w:r w:rsidR="008801AC">
              <w:rPr>
                <w:rFonts w:asciiTheme="minorHAnsi" w:hAnsiTheme="minorHAnsi"/>
              </w:rPr>
              <w:t>)</w:t>
            </w:r>
            <w:r w:rsidR="001D7FEA">
              <w:rPr>
                <w:rFonts w:asciiTheme="minorHAnsi" w:hAnsiTheme="minorHAnsi"/>
              </w:rPr>
              <w:t>, niekwalifikowalne są</w:t>
            </w:r>
            <w:r w:rsidR="008801AC">
              <w:rPr>
                <w:rFonts w:asciiTheme="minorHAnsi" w:hAnsiTheme="minorHAnsi"/>
              </w:rPr>
              <w:t xml:space="preserve"> </w:t>
            </w:r>
            <w:r w:rsidR="006112E5">
              <w:rPr>
                <w:rFonts w:asciiTheme="minorHAnsi" w:hAnsiTheme="minorHAnsi"/>
              </w:rPr>
              <w:t xml:space="preserve">wydatki poniesione przez </w:t>
            </w:r>
            <w:r w:rsidRPr="00E969AF">
              <w:rPr>
                <w:rFonts w:asciiTheme="minorHAnsi" w:hAnsiTheme="minorHAnsi"/>
              </w:rPr>
              <w:t xml:space="preserve">wnioskodawców </w:t>
            </w:r>
            <w:r w:rsidR="0084217A">
              <w:rPr>
                <w:rFonts w:asciiTheme="minorHAnsi" w:hAnsiTheme="minorHAnsi"/>
              </w:rPr>
              <w:t xml:space="preserve">nie </w:t>
            </w:r>
            <w:r w:rsidR="009826D2">
              <w:rPr>
                <w:rFonts w:asciiTheme="minorHAnsi" w:hAnsiTheme="minorHAnsi"/>
              </w:rPr>
              <w:t>posiadających</w:t>
            </w:r>
            <w:r w:rsidR="008801AC">
              <w:rPr>
                <w:rFonts w:asciiTheme="minorHAnsi" w:hAnsiTheme="minorHAnsi"/>
              </w:rPr>
              <w:t xml:space="preserve"> co najmniej</w:t>
            </w:r>
            <w:r w:rsidR="009826D2">
              <w:rPr>
                <w:rFonts w:asciiTheme="minorHAnsi" w:hAnsiTheme="minorHAnsi"/>
              </w:rPr>
              <w:t xml:space="preserve"> zakładu lub oddziału </w:t>
            </w:r>
            <w:r w:rsidRPr="00E969AF">
              <w:rPr>
                <w:rFonts w:asciiTheme="minorHAnsi" w:hAnsiTheme="minorHAnsi"/>
              </w:rPr>
              <w:t>w</w:t>
            </w:r>
            <w:r w:rsidR="004E55EA">
              <w:rPr>
                <w:rFonts w:asciiTheme="minorHAnsi" w:hAnsiTheme="minorHAnsi"/>
              </w:rPr>
              <w:t> </w:t>
            </w:r>
            <w:r w:rsidRPr="00E969AF">
              <w:rPr>
                <w:rFonts w:asciiTheme="minorHAnsi" w:hAnsiTheme="minorHAnsi"/>
              </w:rPr>
              <w:t>granicach administracyjnych województwa dolnośląskiego</w:t>
            </w:r>
            <w:r w:rsidR="009826D2">
              <w:rPr>
                <w:rFonts w:asciiTheme="minorHAnsi" w:hAnsiTheme="minorHAnsi"/>
              </w:rPr>
              <w:t xml:space="preserve"> </w:t>
            </w:r>
            <w:r w:rsidR="00A154E7">
              <w:rPr>
                <w:rFonts w:asciiTheme="minorHAnsi" w:hAnsiTheme="minorHAnsi"/>
              </w:rPr>
              <w:t xml:space="preserve">przynajmniej od </w:t>
            </w:r>
            <w:r w:rsidR="00A154E7" w:rsidRPr="009826D2">
              <w:rPr>
                <w:rFonts w:asciiTheme="minorHAnsi" w:hAnsiTheme="minorHAnsi"/>
              </w:rPr>
              <w:t>momen</w:t>
            </w:r>
            <w:r w:rsidR="00A154E7">
              <w:rPr>
                <w:rFonts w:asciiTheme="minorHAnsi" w:hAnsiTheme="minorHAnsi"/>
              </w:rPr>
              <w:t>tu</w:t>
            </w:r>
            <w:r w:rsidR="00A154E7" w:rsidRPr="009826D2">
              <w:rPr>
                <w:rFonts w:asciiTheme="minorHAnsi" w:hAnsiTheme="minorHAnsi"/>
              </w:rPr>
              <w:t xml:space="preserve"> </w:t>
            </w:r>
            <w:r w:rsidR="009826D2" w:rsidRPr="009826D2">
              <w:rPr>
                <w:rFonts w:asciiTheme="minorHAnsi" w:hAnsiTheme="minorHAnsi"/>
              </w:rPr>
              <w:t>wypłaty pomocy</w:t>
            </w:r>
            <w:r w:rsidR="001D7FEA">
              <w:rPr>
                <w:rFonts w:asciiTheme="minorHAnsi" w:hAnsiTheme="minorHAnsi"/>
              </w:rPr>
              <w:t xml:space="preserve"> do zakończenia okresu trwałości projektu</w:t>
            </w:r>
            <w:r>
              <w:rPr>
                <w:rFonts w:asciiTheme="minorHAnsi" w:hAnsiTheme="minorHAnsi"/>
              </w:rPr>
              <w:t>.</w:t>
            </w:r>
          </w:p>
          <w:p w:rsidR="00971E9D" w:rsidRPr="00E969AF" w:rsidRDefault="00971E9D" w:rsidP="004E55EA">
            <w:pPr>
              <w:spacing w:line="276" w:lineRule="auto"/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Wydatki poniesione:</w:t>
            </w:r>
          </w:p>
          <w:p w:rsidR="00971E9D" w:rsidRPr="00E969AF" w:rsidRDefault="00971E9D" w:rsidP="00971E9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przed 1 stycznia 2014 r.;</w:t>
            </w:r>
          </w:p>
          <w:p w:rsidR="00971E9D" w:rsidRPr="00E969AF" w:rsidRDefault="00971E9D" w:rsidP="00971E9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 xml:space="preserve">po 31 grudnia 2023 r. (na poziomie Programu) oraz </w:t>
            </w:r>
            <w:r>
              <w:rPr>
                <w:rFonts w:asciiTheme="minorHAnsi" w:hAnsiTheme="minorHAnsi"/>
              </w:rPr>
              <w:br/>
            </w:r>
            <w:r w:rsidRPr="00E969AF">
              <w:rPr>
                <w:rFonts w:asciiTheme="minorHAnsi" w:hAnsiTheme="minorHAnsi"/>
              </w:rPr>
              <w:t xml:space="preserve">w terminie </w:t>
            </w:r>
            <w:r>
              <w:rPr>
                <w:rFonts w:asciiTheme="minorHAnsi" w:hAnsiTheme="minorHAnsi"/>
              </w:rPr>
              <w:t>niezgodnym z umową</w:t>
            </w:r>
            <w:r w:rsidRPr="00E969AF">
              <w:rPr>
                <w:rFonts w:asciiTheme="minorHAnsi" w:hAnsiTheme="minorHAnsi"/>
              </w:rPr>
              <w:t xml:space="preserve"> o dofinansowanie projektu</w:t>
            </w:r>
            <w:r>
              <w:rPr>
                <w:rFonts w:asciiTheme="minorHAnsi" w:hAnsiTheme="minorHAnsi"/>
              </w:rPr>
              <w:t>;</w:t>
            </w:r>
          </w:p>
          <w:p w:rsidR="00971E9D" w:rsidRPr="00E969AF" w:rsidRDefault="00971E9D" w:rsidP="00971E9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niezgodnie z terminami określonymi w programach pomocowych lub aktach prawnych;</w:t>
            </w:r>
          </w:p>
          <w:p w:rsidR="00971E9D" w:rsidRPr="00E969AF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Faktyczny okres kwalifikowania wydatków dla danego projektu zostanie określony w umowie o dofinansowanie projektu, która określi zarówno początkową, jak i końcową datę kwalifikowalności wydatków.</w:t>
            </w:r>
            <w:r>
              <w:rPr>
                <w:rFonts w:asciiTheme="minorHAnsi" w:hAnsiTheme="minorHAnsi"/>
              </w:rPr>
              <w:t xml:space="preserve"> Wydatki poniesione po okresie kwalifikowalności określonym w umowie stanowią wydatki </w:t>
            </w:r>
            <w:r>
              <w:rPr>
                <w:rFonts w:asciiTheme="minorHAnsi" w:hAnsiTheme="minorHAnsi"/>
              </w:rPr>
              <w:lastRenderedPageBreak/>
              <w:t>niekwalifikowalne.</w:t>
            </w:r>
          </w:p>
          <w:p w:rsidR="00971E9D" w:rsidRPr="00E969AF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Okres realizacji projektu określony w umowie nie może wykraczać poza daty graniczne wyżej określone.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lastRenderedPageBreak/>
              <w:t>Przygotowanie dokumentacji projektu</w:t>
            </w:r>
          </w:p>
        </w:tc>
        <w:tc>
          <w:tcPr>
            <w:tcW w:w="3562" w:type="pct"/>
            <w:vAlign w:val="center"/>
          </w:tcPr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 xml:space="preserve">Wydatki na przygotowanie dokumentacji projektu (wymaganej prawem krajowym lub wspólnotowym bądź przez IZ RPO WD) przekraczające 8% wartości całkowitych wydatków kwalifikowalnych projektu. </w:t>
            </w:r>
            <w:r>
              <w:rPr>
                <w:rFonts w:asciiTheme="minorHAnsi" w:hAnsiTheme="minorHAnsi"/>
              </w:rPr>
              <w:t>Limit ten weryfikowany jest jednorazowo na etapie oceny wniosku o dofinansowanie. Wydatki poniesione na dokumenty o charakterze planistycznym, takie jak Lokalny Plan Rewitalizacji czy Program Gospodarki Niskoemisyjnej</w:t>
            </w:r>
            <w:r w:rsidR="004E55E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nie mogą stanowić kosztów kwalifikowalnych </w:t>
            </w:r>
            <w:r>
              <w:rPr>
                <w:rFonts w:asciiTheme="minorHAnsi" w:hAnsiTheme="minorHAnsi"/>
              </w:rPr>
              <w:br/>
              <w:t xml:space="preserve">w projekcie. </w:t>
            </w:r>
          </w:p>
          <w:p w:rsidR="00286B4B" w:rsidRDefault="00286B4B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286B4B" w:rsidRDefault="00286B4B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Ograniczenie procentowe nie dotyczy projektów grantowych</w:t>
            </w:r>
            <w:r w:rsidR="00916127">
              <w:rPr>
                <w:rFonts w:asciiTheme="minorHAnsi" w:hAnsiTheme="minorHAnsi"/>
              </w:rPr>
              <w:t xml:space="preserve">, </w:t>
            </w:r>
            <w:r w:rsidR="00916127" w:rsidRPr="00C317CC">
              <w:rPr>
                <w:rFonts w:asciiTheme="minorHAnsi" w:hAnsiTheme="minorHAnsi"/>
              </w:rPr>
              <w:t xml:space="preserve"> </w:t>
            </w:r>
            <w:r w:rsidR="00916127" w:rsidRPr="00C317CC">
              <w:rPr>
                <w:rFonts w:asciiTheme="minorHAnsi" w:hAnsiTheme="minorHAnsi"/>
                <w:u w:val="single"/>
              </w:rPr>
              <w:t>dla których stosowne uregulowania znajdą się w regulaminach konkurs</w:t>
            </w:r>
            <w:r w:rsidR="00916127">
              <w:rPr>
                <w:rFonts w:asciiTheme="minorHAnsi" w:hAnsiTheme="minorHAnsi"/>
                <w:u w:val="single"/>
              </w:rPr>
              <w:t>ów</w:t>
            </w:r>
            <w:r w:rsidR="00916127" w:rsidRPr="00C317CC">
              <w:rPr>
                <w:rFonts w:asciiTheme="minorHAnsi" w:hAnsiTheme="minorHAnsi"/>
              </w:rPr>
              <w:t>.</w:t>
            </w:r>
          </w:p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---------------------------------------------------------------------------------------</w:t>
            </w:r>
          </w:p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Wydatkiem kwalifikowalnym może być w szczególności wydatek poniesiony na </w:t>
            </w:r>
            <w:r w:rsidRPr="000D446D">
              <w:rPr>
                <w:rFonts w:asciiTheme="minorHAnsi" w:hAnsiTheme="minorHAnsi"/>
                <w:b/>
              </w:rPr>
              <w:t>opracowanie</w:t>
            </w:r>
            <w:r>
              <w:rPr>
                <w:rFonts w:asciiTheme="minorHAnsi" w:hAnsiTheme="minorHAnsi"/>
              </w:rPr>
              <w:t xml:space="preserve"> dokumentacji związanej </w:t>
            </w:r>
            <w:r>
              <w:rPr>
                <w:rFonts w:asciiTheme="minorHAnsi" w:hAnsiTheme="minorHAnsi"/>
              </w:rPr>
              <w:br/>
              <w:t>z przygotowaniem projektu:</w:t>
            </w:r>
          </w:p>
          <w:p w:rsidR="00971E9D" w:rsidRPr="00FF5027" w:rsidRDefault="00971E9D" w:rsidP="003C2BAD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sz w:val="24"/>
                <w:szCs w:val="24"/>
              </w:rPr>
            </w:pPr>
            <w:r w:rsidRPr="00FF5027">
              <w:rPr>
                <w:sz w:val="24"/>
                <w:szCs w:val="24"/>
              </w:rPr>
              <w:t>biznesplan, studium wykonalności</w:t>
            </w:r>
            <w:r w:rsidR="003C2BAD">
              <w:rPr>
                <w:sz w:val="24"/>
                <w:szCs w:val="24"/>
              </w:rPr>
              <w:t xml:space="preserve"> </w:t>
            </w:r>
            <w:r w:rsidR="003C2BAD" w:rsidRPr="003C2BAD">
              <w:rPr>
                <w:sz w:val="24"/>
                <w:szCs w:val="24"/>
              </w:rPr>
              <w:t>(w przypadku, gdy ten sam wykonawca będzie w ramach jednego zamówienia opracowywał również niekwalifikowalną dokumentację projektową, np. formularz wniosku o dofinansowanie/ wniosek o potwierdzenie wkładu finansowego w</w:t>
            </w:r>
            <w:r w:rsidR="004E55EA">
              <w:rPr>
                <w:sz w:val="24"/>
                <w:szCs w:val="24"/>
              </w:rPr>
              <w:t> </w:t>
            </w:r>
            <w:r w:rsidR="003C2BAD" w:rsidRPr="003C2BAD">
              <w:rPr>
                <w:sz w:val="24"/>
                <w:szCs w:val="24"/>
              </w:rPr>
              <w:t>przypadku projektów dużych, warunkiem kwalifikowalności biznesplanu/ studium wykonalności, będzie rozbicie w umowie z tymże wykonawcą kosztów na dokumentację kwalifikowalną oraz niekwalifikowalną. Ww. rozbicie kosztów należy również zastosować na etapie rozliczania, tj. na fakturze lub innym dokumencie księgowym o równoważnej wartości dowodowej)</w:t>
            </w:r>
            <w:r w:rsidRPr="00FF5027">
              <w:rPr>
                <w:sz w:val="24"/>
                <w:szCs w:val="24"/>
              </w:rPr>
              <w:t>;</w:t>
            </w:r>
          </w:p>
          <w:p w:rsidR="00971E9D" w:rsidRPr="00FF5027" w:rsidRDefault="00971E9D" w:rsidP="00971E9D">
            <w:pPr>
              <w:pStyle w:val="Akapitzlist"/>
              <w:numPr>
                <w:ilvl w:val="0"/>
                <w:numId w:val="25"/>
              </w:numPr>
              <w:spacing w:after="0"/>
              <w:ind w:left="470"/>
              <w:jc w:val="both"/>
              <w:rPr>
                <w:sz w:val="24"/>
                <w:szCs w:val="24"/>
              </w:rPr>
            </w:pPr>
            <w:r w:rsidRPr="00FF5027">
              <w:rPr>
                <w:sz w:val="24"/>
                <w:szCs w:val="24"/>
              </w:rPr>
              <w:t>mapy lub szkiców sytuujących projekt;</w:t>
            </w:r>
          </w:p>
          <w:p w:rsidR="00971E9D" w:rsidRDefault="00971E9D" w:rsidP="00971E9D">
            <w:pPr>
              <w:pStyle w:val="Nagwek3"/>
              <w:numPr>
                <w:ilvl w:val="0"/>
                <w:numId w:val="25"/>
              </w:numPr>
              <w:spacing w:line="276" w:lineRule="auto"/>
              <w:ind w:left="470"/>
              <w:jc w:val="both"/>
            </w:pPr>
            <w:r w:rsidRPr="004B5465">
              <w:rPr>
                <w:rFonts w:asciiTheme="minorHAnsi" w:eastAsia="Times New Roman" w:hAnsiTheme="minorHAnsi" w:cs="Times New Roman"/>
                <w:color w:val="auto"/>
              </w:rPr>
              <w:t>inna dokumentacja techniczna lub finansowa niezbędna do realizacji projektu (</w:t>
            </w:r>
            <w:r>
              <w:rPr>
                <w:rFonts w:asciiTheme="minorHAnsi" w:eastAsia="Times New Roman" w:hAnsiTheme="minorHAnsi" w:cs="Times New Roman"/>
                <w:color w:val="auto"/>
              </w:rPr>
              <w:t xml:space="preserve">np. </w:t>
            </w:r>
            <w:r w:rsidRPr="004B5465">
              <w:rPr>
                <w:rFonts w:asciiTheme="minorHAnsi" w:eastAsia="Times New Roman" w:hAnsiTheme="minorHAnsi" w:cs="Times New Roman"/>
                <w:color w:val="auto"/>
              </w:rPr>
              <w:t>projekt budowlany, raport oddziaływania na środowisko, ekspertyzy)</w:t>
            </w:r>
            <w:r>
              <w:rPr>
                <w:rFonts w:asciiTheme="minorHAnsi" w:eastAsia="Times New Roman" w:hAnsiTheme="minorHAnsi" w:cs="Times New Roman"/>
                <w:color w:val="auto"/>
              </w:rPr>
              <w:t>.</w:t>
            </w:r>
          </w:p>
          <w:p w:rsidR="00971E9D" w:rsidRPr="00E969AF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Niekwalifikowalne są wydatki na </w:t>
            </w:r>
            <w:r w:rsidRPr="000D446D">
              <w:rPr>
                <w:rFonts w:asciiTheme="minorHAnsi" w:hAnsiTheme="minorHAnsi"/>
                <w:b/>
              </w:rPr>
              <w:t>wypełnienie</w:t>
            </w:r>
            <w:r>
              <w:rPr>
                <w:rFonts w:asciiTheme="minorHAnsi" w:hAnsiTheme="minorHAnsi"/>
              </w:rPr>
              <w:t xml:space="preserve"> formularza wniosku o dofinansowania oraz wniosku o potwierdzenie wkładu finansowego w przypadku dużych projektów.</w:t>
            </w:r>
          </w:p>
        </w:tc>
      </w:tr>
      <w:tr w:rsidR="00971E9D" w:rsidRPr="00E969AF" w:rsidTr="001D731F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VAT</w:t>
            </w:r>
          </w:p>
        </w:tc>
        <w:tc>
          <w:tcPr>
            <w:tcW w:w="3562" w:type="pct"/>
            <w:vAlign w:val="center"/>
          </w:tcPr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Podatek VAT, który może być odzyskany na podstawie przepisów krajowych stanowi wydatek niekwalifikowalny.</w:t>
            </w:r>
          </w:p>
          <w:p w:rsidR="00971E9D" w:rsidRPr="00E969AF" w:rsidRDefault="00971E9D" w:rsidP="004E55E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 xml:space="preserve">Podatek VAT w stosunku do wydatków, dla których beneficjent </w:t>
            </w:r>
            <w:r w:rsidRPr="00E969AF">
              <w:rPr>
                <w:rFonts w:asciiTheme="minorHAnsi" w:hAnsiTheme="minorHAnsi"/>
              </w:rPr>
              <w:lastRenderedPageBreak/>
              <w:t xml:space="preserve">odlicza ten podatek częściowo </w:t>
            </w:r>
            <w:r w:rsidR="00C40E1D">
              <w:rPr>
                <w:rFonts w:asciiTheme="minorHAnsi" w:hAnsiTheme="minorHAnsi"/>
              </w:rPr>
              <w:t>na podstawie</w:t>
            </w:r>
            <w:r w:rsidRPr="00E969AF">
              <w:rPr>
                <w:rFonts w:asciiTheme="minorHAnsi" w:hAnsiTheme="minorHAnsi"/>
              </w:rPr>
              <w:t xml:space="preserve"> art. </w:t>
            </w:r>
            <w:r w:rsidR="00C40E1D">
              <w:rPr>
                <w:rFonts w:asciiTheme="minorHAnsi" w:hAnsiTheme="minorHAnsi"/>
              </w:rPr>
              <w:t>86/</w:t>
            </w:r>
            <w:r w:rsidRPr="00E969AF">
              <w:rPr>
                <w:rFonts w:asciiTheme="minorHAnsi" w:hAnsiTheme="minorHAnsi"/>
              </w:rPr>
              <w:t xml:space="preserve">art. 90 ustawy o VAT, jest </w:t>
            </w:r>
            <w:r>
              <w:rPr>
                <w:rFonts w:asciiTheme="minorHAnsi" w:hAnsiTheme="minorHAnsi"/>
              </w:rPr>
              <w:t>kwalifikowalny, o ile beneficjent ustanowi dla projektu przejrzysty systemy</w:t>
            </w:r>
            <w:r w:rsidRPr="009B01EC">
              <w:rPr>
                <w:rFonts w:asciiTheme="minorHAnsi" w:hAnsiTheme="minorHAnsi"/>
              </w:rPr>
              <w:t xml:space="preserve"> ewidencjonowania i rozliczania tego podatku i będzie w</w:t>
            </w:r>
            <w:r w:rsidR="00C40E1D">
              <w:rPr>
                <w:rFonts w:asciiTheme="minorHAnsi" w:hAnsiTheme="minorHAnsi"/>
              </w:rPr>
              <w:t> </w:t>
            </w:r>
            <w:r w:rsidRPr="009B01EC">
              <w:rPr>
                <w:rFonts w:asciiTheme="minorHAnsi" w:hAnsiTheme="minorHAnsi"/>
              </w:rPr>
              <w:t>stanie udowodnić w sposób niebudzący wątpliwości</w:t>
            </w:r>
            <w:r w:rsidR="00965A71">
              <w:rPr>
                <w:rFonts w:asciiTheme="minorHAnsi" w:hAnsiTheme="minorHAnsi"/>
              </w:rPr>
              <w:t>,</w:t>
            </w:r>
            <w:r w:rsidRPr="009B01EC">
              <w:rPr>
                <w:rFonts w:asciiTheme="minorHAnsi" w:hAnsiTheme="minorHAnsi"/>
              </w:rPr>
              <w:t xml:space="preserve"> w jakiej części oraz w jakim zakresie VAT w projekcie może być kwalifikowalny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lastRenderedPageBreak/>
              <w:t xml:space="preserve">Wydatki na ubezpieczenie </w:t>
            </w:r>
            <w:r>
              <w:rPr>
                <w:rFonts w:asciiTheme="minorHAnsi" w:hAnsiTheme="minorHAnsi"/>
              </w:rPr>
              <w:t xml:space="preserve">nieobowiązkowe </w:t>
            </w:r>
          </w:p>
        </w:tc>
        <w:tc>
          <w:tcPr>
            <w:tcW w:w="3562" w:type="pct"/>
            <w:vAlign w:val="center"/>
          </w:tcPr>
          <w:p w:rsidR="00971E9D" w:rsidRPr="00E969AF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Wydatki na u</w:t>
            </w:r>
            <w:r w:rsidRPr="00E969AF">
              <w:rPr>
                <w:rFonts w:asciiTheme="minorHAnsi" w:hAnsiTheme="minorHAnsi"/>
              </w:rPr>
              <w:t>bezpieczenia nieobowiązkowe</w:t>
            </w:r>
            <w:r>
              <w:rPr>
                <w:rFonts w:asciiTheme="minorHAnsi" w:hAnsiTheme="minorHAnsi"/>
              </w:rPr>
              <w:t xml:space="preserve"> stanowią wydatek niekwalifikowalny. </w:t>
            </w:r>
          </w:p>
        </w:tc>
      </w:tr>
      <w:tr w:rsidR="00660CF6" w:rsidRPr="00E969AF" w:rsidTr="004D15E8">
        <w:tc>
          <w:tcPr>
            <w:tcW w:w="1438" w:type="pct"/>
            <w:shd w:val="clear" w:color="auto" w:fill="99CCFF"/>
            <w:vAlign w:val="center"/>
          </w:tcPr>
          <w:p w:rsidR="00660CF6" w:rsidRPr="00660CF6" w:rsidRDefault="00660CF6" w:rsidP="00B61A93">
            <w:pPr>
              <w:spacing w:line="276" w:lineRule="auto"/>
              <w:rPr>
                <w:rFonts w:asciiTheme="minorHAnsi" w:hAnsiTheme="minorHAnsi"/>
              </w:rPr>
            </w:pPr>
            <w:r w:rsidRPr="00660CF6">
              <w:rPr>
                <w:rFonts w:asciiTheme="minorHAnsi" w:hAnsiTheme="minorHAnsi"/>
              </w:rPr>
              <w:t xml:space="preserve">Wydatki poniesione na </w:t>
            </w:r>
            <w:r w:rsidR="003144D7">
              <w:rPr>
                <w:rFonts w:asciiTheme="minorHAnsi" w:hAnsiTheme="minorHAnsi"/>
              </w:rPr>
              <w:t xml:space="preserve">dodatkowe </w:t>
            </w:r>
            <w:r w:rsidRPr="00660CF6">
              <w:rPr>
                <w:rFonts w:asciiTheme="minorHAnsi" w:hAnsiTheme="minorHAnsi"/>
              </w:rPr>
              <w:t xml:space="preserve">zabezpieczenie zaliczki </w:t>
            </w:r>
          </w:p>
        </w:tc>
        <w:tc>
          <w:tcPr>
            <w:tcW w:w="3562" w:type="pct"/>
            <w:vAlign w:val="center"/>
          </w:tcPr>
          <w:p w:rsidR="007A57DC" w:rsidRPr="007A57DC" w:rsidRDefault="007A57DC" w:rsidP="007A57D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A57DC">
              <w:rPr>
                <w:rFonts w:asciiTheme="minorHAnsi" w:hAnsiTheme="minorHAnsi"/>
              </w:rPr>
              <w:t xml:space="preserve"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  <w:p w:rsidR="00B61A93" w:rsidRDefault="00B61A93" w:rsidP="004C2250">
            <w:pPr>
              <w:pStyle w:val="Zwykytekst"/>
              <w:jc w:val="both"/>
              <w:rPr>
                <w:sz w:val="24"/>
              </w:rPr>
            </w:pPr>
          </w:p>
          <w:p w:rsidR="007A57DC" w:rsidRDefault="007A57DC" w:rsidP="007A57DC">
            <w:pPr>
              <w:pStyle w:val="Zwykytekst"/>
              <w:jc w:val="both"/>
              <w:rPr>
                <w:sz w:val="24"/>
              </w:rPr>
            </w:pPr>
          </w:p>
          <w:p w:rsidR="00660CF6" w:rsidRPr="00E70F36" w:rsidRDefault="00660CF6" w:rsidP="00660CF6">
            <w:pPr>
              <w:pStyle w:val="Akapitzlist"/>
              <w:spacing w:after="0"/>
              <w:ind w:left="470"/>
              <w:jc w:val="both"/>
            </w:pP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Wydatki związane z realizacją projektu</w:t>
            </w:r>
          </w:p>
        </w:tc>
        <w:tc>
          <w:tcPr>
            <w:tcW w:w="3562" w:type="pct"/>
            <w:vAlign w:val="center"/>
          </w:tcPr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Niekwalifikowalne są: </w:t>
            </w:r>
          </w:p>
          <w:p w:rsidR="00971E9D" w:rsidRDefault="00971E9D" w:rsidP="00971E9D">
            <w:pPr>
              <w:pStyle w:val="Akapitzlist"/>
              <w:numPr>
                <w:ilvl w:val="0"/>
                <w:numId w:val="26"/>
              </w:numPr>
              <w:spacing w:after="0"/>
              <w:ind w:left="470"/>
              <w:jc w:val="both"/>
              <w:rPr>
                <w:sz w:val="24"/>
                <w:szCs w:val="24"/>
              </w:rPr>
            </w:pPr>
            <w:r w:rsidRPr="00E70F36">
              <w:rPr>
                <w:sz w:val="24"/>
                <w:szCs w:val="24"/>
              </w:rPr>
              <w:t>wydatki na usługi w zakresie księgowości</w:t>
            </w:r>
            <w:r w:rsidR="00D01240">
              <w:rPr>
                <w:sz w:val="24"/>
                <w:szCs w:val="24"/>
              </w:rPr>
              <w:t>;</w:t>
            </w:r>
          </w:p>
          <w:p w:rsidR="001924BA" w:rsidRPr="00E70F36" w:rsidRDefault="001924BA" w:rsidP="00971E9D">
            <w:pPr>
              <w:pStyle w:val="Akapitzlist"/>
              <w:numPr>
                <w:ilvl w:val="0"/>
                <w:numId w:val="26"/>
              </w:numPr>
              <w:spacing w:after="0"/>
              <w:ind w:left="470"/>
              <w:jc w:val="both"/>
              <w:rPr>
                <w:sz w:val="24"/>
                <w:szCs w:val="24"/>
              </w:rPr>
            </w:pPr>
            <w:r w:rsidRPr="00E70F36">
              <w:rPr>
                <w:sz w:val="24"/>
                <w:szCs w:val="24"/>
              </w:rPr>
              <w:t>wydatki na usługi w zakresie audytu</w:t>
            </w:r>
            <w:r>
              <w:rPr>
                <w:sz w:val="24"/>
                <w:szCs w:val="24"/>
              </w:rPr>
              <w:t>,</w:t>
            </w:r>
            <w:r w:rsidRPr="00E70F36">
              <w:rPr>
                <w:sz w:val="24"/>
                <w:szCs w:val="24"/>
              </w:rPr>
              <w:t xml:space="preserve"> </w:t>
            </w:r>
            <w:r w:rsidRPr="00D01240">
              <w:rPr>
                <w:sz w:val="24"/>
                <w:szCs w:val="24"/>
              </w:rPr>
              <w:t>o ile ich poniesienie nie jest wymagane przez IZ RPO/IP RPO bądź nie wynika ze specyfiki projektu i nie jest wymagane przepisami prawa</w:t>
            </w:r>
            <w:r>
              <w:rPr>
                <w:sz w:val="24"/>
                <w:szCs w:val="24"/>
              </w:rPr>
              <w:t>;</w:t>
            </w:r>
          </w:p>
          <w:p w:rsidR="00971E9D" w:rsidRPr="00E70F36" w:rsidRDefault="00971E9D" w:rsidP="00971E9D">
            <w:pPr>
              <w:pStyle w:val="Akapitzlist"/>
              <w:numPr>
                <w:ilvl w:val="0"/>
                <w:numId w:val="26"/>
              </w:numPr>
              <w:spacing w:after="0"/>
              <w:ind w:left="470"/>
              <w:jc w:val="both"/>
            </w:pPr>
            <w:r w:rsidRPr="00E70F36">
              <w:rPr>
                <w:sz w:val="24"/>
                <w:szCs w:val="24"/>
              </w:rPr>
              <w:t>wydatki na ewaluację.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7D19AB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Wydatki/koszty </w:t>
            </w:r>
            <w:r w:rsidRPr="007D19AB">
              <w:rPr>
                <w:rFonts w:asciiTheme="minorHAnsi" w:hAnsiTheme="minorHAnsi"/>
              </w:rPr>
              <w:t>osobowe</w:t>
            </w:r>
          </w:p>
          <w:p w:rsidR="00971E9D" w:rsidRPr="007D19AB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7D19AB">
              <w:rPr>
                <w:rFonts w:asciiTheme="minorHAnsi" w:hAnsiTheme="minorHAnsi"/>
              </w:rPr>
              <w:t>związane z zarządzaniem</w:t>
            </w:r>
          </w:p>
          <w:p w:rsidR="00971E9D" w:rsidRPr="00E969AF" w:rsidRDefault="00971E9D" w:rsidP="00425581">
            <w:pPr>
              <w:spacing w:line="276" w:lineRule="auto"/>
              <w:rPr>
                <w:rFonts w:asciiTheme="minorHAnsi" w:hAnsiTheme="minorHAnsi"/>
              </w:rPr>
            </w:pPr>
            <w:r w:rsidRPr="007D19AB">
              <w:rPr>
                <w:rFonts w:asciiTheme="minorHAnsi" w:hAnsiTheme="minorHAnsi"/>
              </w:rPr>
              <w:t xml:space="preserve">projektem </w:t>
            </w:r>
          </w:p>
        </w:tc>
        <w:tc>
          <w:tcPr>
            <w:tcW w:w="3562" w:type="pct"/>
            <w:vAlign w:val="center"/>
          </w:tcPr>
          <w:p w:rsidR="00971E9D" w:rsidRPr="00D53188" w:rsidRDefault="00971E9D" w:rsidP="001D731F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53188">
              <w:rPr>
                <w:sz w:val="24"/>
                <w:szCs w:val="24"/>
              </w:rPr>
              <w:t>Kwalifikowalne są wydatki związane z wynagrodzeniem osoby wykonującej – na podstawie stosunku pracy w oparciu o przepisy kodeksu pracy lub na podstawie umowy cywilnoprawnej bądź innej nienazwanej w oparciu o przepisy kodeksu cywilnego –na rzecz beneficjenta, partnera w projekcie lub podmiotu realizującego projekt</w:t>
            </w:r>
            <w:r w:rsidR="009E4A12">
              <w:rPr>
                <w:sz w:val="24"/>
                <w:szCs w:val="24"/>
              </w:rPr>
              <w:t xml:space="preserve"> czynności</w:t>
            </w:r>
            <w:r w:rsidRPr="00D53188">
              <w:rPr>
                <w:sz w:val="24"/>
                <w:szCs w:val="24"/>
              </w:rPr>
              <w:t xml:space="preserve"> związane z zarządzaniem projektem, </w:t>
            </w:r>
            <w:r w:rsidR="004E55EA">
              <w:rPr>
                <w:sz w:val="24"/>
                <w:szCs w:val="24"/>
              </w:rPr>
              <w:t>nie</w:t>
            </w:r>
            <w:r w:rsidRPr="00D53188">
              <w:rPr>
                <w:sz w:val="24"/>
                <w:szCs w:val="24"/>
              </w:rPr>
              <w:t>przekraczające 1% całkowitych wydatków kwalifikowalnych w ramach projektu</w:t>
            </w:r>
            <w:r>
              <w:rPr>
                <w:sz w:val="24"/>
                <w:szCs w:val="24"/>
              </w:rPr>
              <w:t xml:space="preserve"> (2% dla projektów o</w:t>
            </w:r>
            <w:r w:rsidR="004E55E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wartości poniżej 500 000 PLN wydatków kwalifikowalnych)</w:t>
            </w:r>
            <w:r w:rsidRPr="00D53188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 xml:space="preserve">nie </w:t>
            </w:r>
            <w:r w:rsidRPr="00D53188">
              <w:rPr>
                <w:sz w:val="24"/>
                <w:szCs w:val="24"/>
              </w:rPr>
              <w:t>przekraczające 5</w:t>
            </w:r>
            <w:r w:rsidR="004E55EA">
              <w:rPr>
                <w:sz w:val="24"/>
                <w:szCs w:val="24"/>
              </w:rPr>
              <w:t> </w:t>
            </w:r>
            <w:r w:rsidRPr="00D53188">
              <w:rPr>
                <w:sz w:val="24"/>
                <w:szCs w:val="24"/>
              </w:rPr>
              <w:t>000 PLN brutto miesięcznie</w:t>
            </w:r>
            <w:r w:rsidR="001B400E">
              <w:rPr>
                <w:sz w:val="24"/>
                <w:szCs w:val="24"/>
              </w:rPr>
              <w:t>.</w:t>
            </w:r>
            <w:r w:rsidRPr="00D53188">
              <w:rPr>
                <w:sz w:val="24"/>
                <w:szCs w:val="24"/>
              </w:rPr>
              <w:t xml:space="preserve"> </w:t>
            </w:r>
            <w:r w:rsidR="001B400E" w:rsidRPr="001B400E">
              <w:rPr>
                <w:sz w:val="24"/>
                <w:szCs w:val="24"/>
              </w:rPr>
              <w:t>Limit 5</w:t>
            </w:r>
            <w:r w:rsidR="004E55EA">
              <w:rPr>
                <w:sz w:val="24"/>
                <w:szCs w:val="24"/>
              </w:rPr>
              <w:t> </w:t>
            </w:r>
            <w:r w:rsidR="001B400E" w:rsidRPr="001B400E">
              <w:rPr>
                <w:sz w:val="24"/>
                <w:szCs w:val="24"/>
              </w:rPr>
              <w:t xml:space="preserve">000 PLN brutto miesięcznie jest liczony na poziomie projektu, niezależnie od ilości osób zaangażowanych w zarządzanie projektem. </w:t>
            </w:r>
            <w:r w:rsidRPr="00D53188">
              <w:rPr>
                <w:sz w:val="24"/>
                <w:szCs w:val="24"/>
              </w:rPr>
              <w:t>Przy czym kwalifikowalne mogą być wydatki osobowe związane z</w:t>
            </w:r>
            <w:r w:rsidR="004E55EA">
              <w:rPr>
                <w:sz w:val="24"/>
                <w:szCs w:val="24"/>
              </w:rPr>
              <w:t> </w:t>
            </w:r>
            <w:r w:rsidRPr="00D53188">
              <w:rPr>
                <w:sz w:val="24"/>
                <w:szCs w:val="24"/>
              </w:rPr>
              <w:t xml:space="preserve">wynagrodzeniem ww. osób przy wykonywaniu ww. czynności </w:t>
            </w:r>
            <w:r w:rsidRPr="00D53188">
              <w:rPr>
                <w:sz w:val="24"/>
                <w:szCs w:val="24"/>
              </w:rPr>
              <w:lastRenderedPageBreak/>
              <w:t>w</w:t>
            </w:r>
            <w:r w:rsidR="004E55EA">
              <w:rPr>
                <w:sz w:val="24"/>
                <w:szCs w:val="24"/>
              </w:rPr>
              <w:t> </w:t>
            </w:r>
            <w:r w:rsidRPr="00D53188">
              <w:rPr>
                <w:sz w:val="24"/>
                <w:szCs w:val="24"/>
              </w:rPr>
              <w:t>projekcie</w:t>
            </w:r>
            <w:r w:rsidR="004E55EA">
              <w:rPr>
                <w:sz w:val="24"/>
                <w:szCs w:val="24"/>
              </w:rPr>
              <w:t>,</w:t>
            </w:r>
            <w:r w:rsidRPr="00D53188">
              <w:rPr>
                <w:sz w:val="24"/>
                <w:szCs w:val="24"/>
              </w:rPr>
              <w:t xml:space="preserve"> jeżeli łącznie spełnione zostaną m.in. następujące warunki:</w:t>
            </w:r>
          </w:p>
          <w:p w:rsidR="00971E9D" w:rsidRPr="00D53188" w:rsidRDefault="00971E9D" w:rsidP="00971E9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D53188">
              <w:rPr>
                <w:sz w:val="24"/>
                <w:szCs w:val="24"/>
              </w:rPr>
              <w:t>ww. osoba jest bezpośrednio zaangażowana w</w:t>
            </w:r>
            <w:r w:rsidR="004E55EA">
              <w:rPr>
                <w:sz w:val="24"/>
                <w:szCs w:val="24"/>
              </w:rPr>
              <w:t> </w:t>
            </w:r>
            <w:r w:rsidRPr="00D53188">
              <w:rPr>
                <w:sz w:val="24"/>
                <w:szCs w:val="24"/>
              </w:rPr>
              <w:t>wykonywanie ww. czynności w ramach projektu;</w:t>
            </w:r>
          </w:p>
          <w:p w:rsidR="00971E9D" w:rsidRPr="00D53188" w:rsidRDefault="00971E9D" w:rsidP="00971E9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D53188">
              <w:rPr>
                <w:sz w:val="24"/>
                <w:szCs w:val="24"/>
              </w:rPr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</w:t>
            </w:r>
            <w:r w:rsidR="004E55EA">
              <w:rPr>
                <w:sz w:val="24"/>
                <w:szCs w:val="24"/>
              </w:rPr>
              <w:t> </w:t>
            </w:r>
            <w:r w:rsidRPr="00D53188">
              <w:rPr>
                <w:sz w:val="24"/>
                <w:szCs w:val="24"/>
              </w:rPr>
              <w:t>wykonywanie czynności w ramach projektu;</w:t>
            </w:r>
          </w:p>
          <w:p w:rsidR="00971E9D" w:rsidRDefault="00971E9D" w:rsidP="00971E9D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sz w:val="24"/>
                <w:szCs w:val="24"/>
              </w:rPr>
            </w:pPr>
            <w:r w:rsidRPr="00D53188">
              <w:rPr>
                <w:sz w:val="24"/>
                <w:szCs w:val="24"/>
              </w:rPr>
              <w:t>wydatki ponoszone są wyłącznie w okresie realizacji projektu oraz za okres, w którym ww. osoba wykonywała faktycznie czynn</w:t>
            </w:r>
            <w:r>
              <w:rPr>
                <w:sz w:val="24"/>
                <w:szCs w:val="24"/>
              </w:rPr>
              <w:t>ości związane w ramach projektu.</w:t>
            </w:r>
          </w:p>
          <w:p w:rsidR="00CE791F" w:rsidRDefault="00EE3659" w:rsidP="007C03EA">
            <w:pPr>
              <w:spacing w:line="276" w:lineRule="auto"/>
              <w:ind w:left="45"/>
              <w:jc w:val="both"/>
              <w:rPr>
                <w:rFonts w:asciiTheme="minorHAnsi" w:hAnsiTheme="minorHAnsi"/>
                <w:szCs w:val="24"/>
              </w:rPr>
            </w:pPr>
            <w:r w:rsidRPr="00EE3659">
              <w:rPr>
                <w:rFonts w:asciiTheme="minorHAnsi" w:hAnsiTheme="minorHAnsi"/>
                <w:szCs w:val="24"/>
              </w:rPr>
              <w:t xml:space="preserve">Ze </w:t>
            </w:r>
            <w:r>
              <w:rPr>
                <w:rFonts w:asciiTheme="minorHAnsi" w:hAnsiTheme="minorHAnsi"/>
                <w:szCs w:val="24"/>
              </w:rPr>
              <w:t>względu na specyficzny charakter niektórych projektów, gdzie koszty zarządzania stanowią istotny element projektu</w:t>
            </w:r>
            <w:r w:rsidR="00CE791F">
              <w:rPr>
                <w:rFonts w:asciiTheme="minorHAnsi" w:hAnsiTheme="minorHAnsi"/>
                <w:szCs w:val="24"/>
              </w:rPr>
              <w:t>,</w:t>
            </w:r>
            <w:r>
              <w:rPr>
                <w:rFonts w:asciiTheme="minorHAnsi" w:hAnsiTheme="minorHAnsi"/>
                <w:szCs w:val="24"/>
              </w:rPr>
              <w:t xml:space="preserve"> limit wydatków </w:t>
            </w:r>
            <w:r w:rsidR="001D731F">
              <w:rPr>
                <w:rFonts w:asciiTheme="minorHAnsi" w:hAnsiTheme="minorHAnsi"/>
                <w:szCs w:val="24"/>
              </w:rPr>
              <w:t>wzrasta</w:t>
            </w:r>
            <w:r w:rsidR="00CE791F">
              <w:rPr>
                <w:rFonts w:asciiTheme="minorHAnsi" w:hAnsiTheme="minorHAnsi"/>
                <w:szCs w:val="24"/>
              </w:rPr>
              <w:t xml:space="preserve"> do </w:t>
            </w:r>
            <w:r>
              <w:rPr>
                <w:rFonts w:asciiTheme="minorHAnsi" w:hAnsiTheme="minorHAnsi"/>
                <w:szCs w:val="24"/>
              </w:rPr>
              <w:t>3%</w:t>
            </w:r>
            <w:r w:rsidR="00CE791F">
              <w:rPr>
                <w:rFonts w:asciiTheme="minorHAnsi" w:hAnsiTheme="minorHAnsi"/>
                <w:szCs w:val="24"/>
              </w:rPr>
              <w:t xml:space="preserve"> bez ograniczenia w</w:t>
            </w:r>
            <w:r w:rsidR="004E55EA">
              <w:rPr>
                <w:rFonts w:asciiTheme="minorHAnsi" w:hAnsiTheme="minorHAnsi"/>
                <w:szCs w:val="24"/>
              </w:rPr>
              <w:t> </w:t>
            </w:r>
            <w:r w:rsidR="00CE791F">
              <w:rPr>
                <w:rFonts w:asciiTheme="minorHAnsi" w:hAnsiTheme="minorHAnsi"/>
                <w:szCs w:val="24"/>
              </w:rPr>
              <w:t xml:space="preserve">kwocie miesięcznej. </w:t>
            </w:r>
            <w:r w:rsidR="00C878C2">
              <w:rPr>
                <w:rFonts w:asciiTheme="minorHAnsi" w:hAnsiTheme="minorHAnsi"/>
                <w:szCs w:val="24"/>
              </w:rPr>
              <w:t>Specyfika ta</w:t>
            </w:r>
            <w:r w:rsidR="00CE791F">
              <w:rPr>
                <w:rFonts w:asciiTheme="minorHAnsi" w:hAnsiTheme="minorHAnsi"/>
                <w:szCs w:val="24"/>
              </w:rPr>
              <w:t xml:space="preserve"> dotyczy projektów</w:t>
            </w:r>
            <w:r w:rsidR="002C3178">
              <w:rPr>
                <w:rFonts w:asciiTheme="minorHAnsi" w:hAnsiTheme="minorHAnsi"/>
                <w:szCs w:val="24"/>
              </w:rPr>
              <w:t xml:space="preserve"> </w:t>
            </w:r>
            <w:r w:rsidR="00CE791F">
              <w:rPr>
                <w:rFonts w:asciiTheme="minorHAnsi" w:hAnsiTheme="minorHAnsi"/>
                <w:szCs w:val="24"/>
              </w:rPr>
              <w:t>realizowanych w ramach następujących schematów:</w:t>
            </w:r>
          </w:p>
          <w:p w:rsidR="002C3178" w:rsidRPr="00DA27CC" w:rsidRDefault="00CE791F" w:rsidP="007C03EA">
            <w:pPr>
              <w:pStyle w:val="Akapitzlist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7C03EA">
              <w:rPr>
                <w:sz w:val="24"/>
                <w:szCs w:val="24"/>
              </w:rPr>
              <w:t xml:space="preserve">1.4 </w:t>
            </w:r>
            <w:proofErr w:type="spellStart"/>
            <w:r w:rsidR="00237268">
              <w:rPr>
                <w:sz w:val="24"/>
                <w:szCs w:val="24"/>
              </w:rPr>
              <w:t>Bc</w:t>
            </w:r>
            <w:proofErr w:type="spellEnd"/>
            <w:r w:rsidR="00D432F2" w:rsidRPr="007C03EA">
              <w:rPr>
                <w:sz w:val="24"/>
                <w:szCs w:val="24"/>
              </w:rPr>
              <w:t xml:space="preserve"> </w:t>
            </w:r>
            <w:r w:rsidR="002C3178">
              <w:rPr>
                <w:sz w:val="24"/>
                <w:szCs w:val="24"/>
              </w:rPr>
              <w:t xml:space="preserve">i </w:t>
            </w:r>
            <w:r w:rsidR="00A44D2C">
              <w:rPr>
                <w:sz w:val="24"/>
                <w:szCs w:val="24"/>
              </w:rPr>
              <w:t>C</w:t>
            </w:r>
            <w:r w:rsidR="002C3178">
              <w:rPr>
                <w:sz w:val="24"/>
                <w:szCs w:val="24"/>
              </w:rPr>
              <w:t xml:space="preserve"> </w:t>
            </w:r>
          </w:p>
          <w:p w:rsidR="00CE791F" w:rsidRPr="003D268C" w:rsidRDefault="002C3178" w:rsidP="007C03EA">
            <w:pPr>
              <w:pStyle w:val="Akapitzlist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3.4.B.</w:t>
            </w:r>
          </w:p>
          <w:p w:rsidR="00250A55" w:rsidRDefault="00250A55" w:rsidP="001B400E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7C03EA">
              <w:rPr>
                <w:rFonts w:asciiTheme="minorHAnsi" w:hAnsiTheme="minorHAnsi"/>
              </w:rPr>
              <w:t xml:space="preserve">atalog schematów może być przez IZ </w:t>
            </w:r>
            <w:r w:rsidR="00D84969">
              <w:rPr>
                <w:rFonts w:asciiTheme="minorHAnsi" w:hAnsiTheme="minorHAnsi"/>
              </w:rPr>
              <w:t xml:space="preserve">RPO WD </w:t>
            </w:r>
            <w:r w:rsidR="00045701" w:rsidRPr="00045701">
              <w:rPr>
                <w:rFonts w:asciiTheme="minorHAnsi" w:hAnsiTheme="minorHAnsi"/>
              </w:rPr>
              <w:t>uzupełni</w:t>
            </w:r>
            <w:r w:rsidR="00045701">
              <w:rPr>
                <w:rFonts w:asciiTheme="minorHAnsi" w:hAnsiTheme="minorHAnsi"/>
              </w:rPr>
              <w:t>a</w:t>
            </w:r>
            <w:r w:rsidRPr="007C03EA">
              <w:rPr>
                <w:rFonts w:asciiTheme="minorHAnsi" w:hAnsiTheme="minorHAnsi"/>
              </w:rPr>
              <w:t>ny</w:t>
            </w:r>
            <w:r w:rsidR="00F536C4">
              <w:rPr>
                <w:rFonts w:asciiTheme="minorHAnsi" w:hAnsiTheme="minorHAnsi"/>
              </w:rPr>
              <w:t xml:space="preserve"> w</w:t>
            </w:r>
            <w:r w:rsidR="004E55EA">
              <w:rPr>
                <w:rFonts w:asciiTheme="minorHAnsi" w:hAnsiTheme="minorHAnsi"/>
              </w:rPr>
              <w:t> </w:t>
            </w:r>
            <w:r w:rsidR="00F536C4">
              <w:rPr>
                <w:rFonts w:asciiTheme="minorHAnsi" w:hAnsiTheme="minorHAnsi"/>
              </w:rPr>
              <w:t>trakcie wdrażania programu</w:t>
            </w:r>
            <w:r w:rsidR="00D84969">
              <w:rPr>
                <w:rFonts w:asciiTheme="minorHAnsi" w:hAnsiTheme="minorHAnsi"/>
              </w:rPr>
              <w:t>.</w:t>
            </w:r>
          </w:p>
          <w:p w:rsidR="00286B4B" w:rsidRDefault="00286B4B" w:rsidP="001B400E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286B4B" w:rsidRPr="00C317CC" w:rsidRDefault="00286B4B" w:rsidP="001B400E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Powyższe o</w:t>
            </w:r>
            <w:r w:rsidRPr="00286B4B">
              <w:rPr>
                <w:rFonts w:asciiTheme="minorHAnsi" w:hAnsiTheme="minorHAnsi"/>
              </w:rPr>
              <w:t>graniczeni</w:t>
            </w:r>
            <w:r>
              <w:rPr>
                <w:rFonts w:asciiTheme="minorHAnsi" w:hAnsiTheme="minorHAnsi"/>
              </w:rPr>
              <w:t>a</w:t>
            </w:r>
            <w:r w:rsidRPr="00286B4B">
              <w:rPr>
                <w:rFonts w:asciiTheme="minorHAnsi" w:hAnsiTheme="minorHAnsi"/>
              </w:rPr>
              <w:t xml:space="preserve"> nie dotycz</w:t>
            </w:r>
            <w:r>
              <w:rPr>
                <w:rFonts w:asciiTheme="minorHAnsi" w:hAnsiTheme="minorHAnsi"/>
              </w:rPr>
              <w:t>ą</w:t>
            </w:r>
            <w:r w:rsidRPr="00286B4B">
              <w:rPr>
                <w:rFonts w:asciiTheme="minorHAnsi" w:hAnsiTheme="minorHAnsi"/>
              </w:rPr>
              <w:t xml:space="preserve"> projektów </w:t>
            </w:r>
            <w:r w:rsidRPr="00C317CC">
              <w:rPr>
                <w:rFonts w:asciiTheme="minorHAnsi" w:hAnsiTheme="minorHAnsi"/>
              </w:rPr>
              <w:t>grantowych</w:t>
            </w:r>
            <w:r w:rsidR="00C317CC" w:rsidRPr="00C317CC">
              <w:rPr>
                <w:rFonts w:asciiTheme="minorHAnsi" w:hAnsiTheme="minorHAnsi"/>
              </w:rPr>
              <w:t xml:space="preserve">, </w:t>
            </w:r>
            <w:r w:rsidR="00C317CC" w:rsidRPr="00C317CC">
              <w:rPr>
                <w:rFonts w:asciiTheme="minorHAnsi" w:hAnsiTheme="minorHAnsi"/>
                <w:u w:val="single"/>
              </w:rPr>
              <w:t>dla których stosowne uregulowania znajdą się w regulaminach konkurs</w:t>
            </w:r>
            <w:r w:rsidR="00C317CC">
              <w:rPr>
                <w:rFonts w:asciiTheme="minorHAnsi" w:hAnsiTheme="minorHAnsi"/>
                <w:u w:val="single"/>
              </w:rPr>
              <w:t>ów</w:t>
            </w:r>
            <w:r w:rsidRPr="00C317CC">
              <w:rPr>
                <w:rFonts w:asciiTheme="minorHAnsi" w:hAnsiTheme="minorHAnsi"/>
              </w:rPr>
              <w:t>.</w:t>
            </w:r>
          </w:p>
          <w:p w:rsidR="001B400E" w:rsidRDefault="001B400E" w:rsidP="001B400E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B400E" w:rsidRPr="007C03EA" w:rsidRDefault="001B400E" w:rsidP="001B400E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przypadku</w:t>
            </w:r>
            <w:r w:rsidR="004E55EA">
              <w:rPr>
                <w:rFonts w:asciiTheme="minorHAnsi" w:hAnsiTheme="minorHAnsi"/>
                <w:szCs w:val="24"/>
              </w:rPr>
              <w:t>,</w:t>
            </w:r>
            <w:r>
              <w:rPr>
                <w:rFonts w:asciiTheme="minorHAnsi" w:hAnsiTheme="minorHAnsi"/>
                <w:szCs w:val="24"/>
              </w:rPr>
              <w:t xml:space="preserve"> gdy zarządzanie projektem jest wykonywane przez podmiot wybrany zgodnie z zasadą konkurencyjności/ ustawą Prawo zamówień publicznych, wydatki dotyczące jego wynagrodzenia są kwalifikowalne w takiej wysokości, jaka wynika z podpisanej umowy.</w:t>
            </w:r>
          </w:p>
        </w:tc>
      </w:tr>
      <w:tr w:rsidR="001D731F" w:rsidRPr="00E969AF" w:rsidTr="001D731F">
        <w:tc>
          <w:tcPr>
            <w:tcW w:w="1438" w:type="pct"/>
            <w:shd w:val="clear" w:color="auto" w:fill="99CCFF"/>
            <w:vAlign w:val="center"/>
          </w:tcPr>
          <w:p w:rsidR="001D731F" w:rsidRPr="007D19AB" w:rsidRDefault="001D731F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Wydatki/koszty </w:t>
            </w:r>
            <w:r w:rsidRPr="007D19AB">
              <w:rPr>
                <w:rFonts w:asciiTheme="minorHAnsi" w:hAnsiTheme="minorHAnsi"/>
              </w:rPr>
              <w:t>osobowe</w:t>
            </w:r>
          </w:p>
          <w:p w:rsidR="001D731F" w:rsidRDefault="001D731F" w:rsidP="001D731F">
            <w:pPr>
              <w:spacing w:line="276" w:lineRule="auto"/>
              <w:rPr>
                <w:rFonts w:asciiTheme="minorHAnsi" w:hAnsiTheme="minorHAnsi"/>
              </w:rPr>
            </w:pPr>
            <w:r w:rsidRPr="007D19AB">
              <w:rPr>
                <w:rFonts w:asciiTheme="minorHAnsi" w:hAnsiTheme="minorHAnsi"/>
              </w:rPr>
              <w:t xml:space="preserve">związane </w:t>
            </w:r>
            <w:r>
              <w:rPr>
                <w:rFonts w:asciiTheme="minorHAnsi" w:hAnsiTheme="minorHAnsi"/>
              </w:rPr>
              <w:t xml:space="preserve">z zaangażowaniem personelu (kadry merytorycznej) </w:t>
            </w:r>
          </w:p>
        </w:tc>
        <w:tc>
          <w:tcPr>
            <w:tcW w:w="3562" w:type="pct"/>
            <w:vAlign w:val="center"/>
          </w:tcPr>
          <w:p w:rsidR="001D731F" w:rsidRPr="00D53188" w:rsidRDefault="001D731F" w:rsidP="001D731F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związane z wynagrodzeniem personelu są kwalifikowane w ramach projektu, o ile wynika to ze specyfiki projektu</w:t>
            </w:r>
            <w:r w:rsidR="007044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na warunkach określonych w </w:t>
            </w:r>
            <w:r w:rsidR="00980276" w:rsidRPr="000A6C06">
              <w:rPr>
                <w:i/>
                <w:sz w:val="24"/>
                <w:szCs w:val="24"/>
              </w:rPr>
              <w:t>„Wytycznych w zakresie kwalifikowalności wydatków w ramach Europejskiego Funduszu Rozwoju Regionalnego, Europejskiego Funduszu Społecznego oraz Funduszu Spójności na lata 2014-2020”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 xml:space="preserve">Koszty bieżącego utrzymania </w:t>
            </w:r>
            <w:r>
              <w:rPr>
                <w:rFonts w:asciiTheme="minorHAnsi" w:hAnsiTheme="minorHAnsi"/>
              </w:rPr>
              <w:t xml:space="preserve">/koszty wyposażenia stanowiska </w:t>
            </w:r>
            <w:r>
              <w:rPr>
                <w:rFonts w:asciiTheme="minorHAnsi" w:hAnsiTheme="minorHAnsi"/>
              </w:rPr>
              <w:lastRenderedPageBreak/>
              <w:t>pracy (jeżeli nie jest to celem projektu)</w:t>
            </w:r>
            <w:r w:rsidRPr="00E969AF">
              <w:rPr>
                <w:rFonts w:asciiTheme="minorHAnsi" w:hAnsiTheme="minorHAnsi"/>
              </w:rPr>
              <w:t>/ koszty operacyjne/bieżące</w:t>
            </w:r>
          </w:p>
        </w:tc>
        <w:tc>
          <w:tcPr>
            <w:tcW w:w="3562" w:type="pct"/>
            <w:vAlign w:val="center"/>
          </w:tcPr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lastRenderedPageBreak/>
              <w:t>Koszty bieżącego utrzymania</w:t>
            </w:r>
            <w:r>
              <w:rPr>
                <w:rFonts w:asciiTheme="minorHAnsi" w:hAnsiTheme="minorHAnsi"/>
              </w:rPr>
              <w:t>/koszty wyposażenia stanowiska pracy (jeżeli nie jest to celem projektu)</w:t>
            </w:r>
            <w:r w:rsidRPr="00E969AF">
              <w:rPr>
                <w:rFonts w:asciiTheme="minorHAnsi" w:hAnsiTheme="minorHAnsi"/>
              </w:rPr>
              <w:t>/ koszty operacyjne/bieżące</w:t>
            </w:r>
            <w:r>
              <w:rPr>
                <w:rFonts w:asciiTheme="minorHAnsi" w:hAnsiTheme="minorHAnsi"/>
              </w:rPr>
              <w:t xml:space="preserve"> stanowią wydatki niekwalifikowalne.</w:t>
            </w:r>
          </w:p>
          <w:p w:rsidR="00286B4B" w:rsidRDefault="00286B4B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286B4B" w:rsidRDefault="00286B4B" w:rsidP="00286B4B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Powyższe o</w:t>
            </w:r>
            <w:r w:rsidRPr="00286B4B">
              <w:rPr>
                <w:rFonts w:asciiTheme="minorHAnsi" w:hAnsiTheme="minorHAnsi"/>
              </w:rPr>
              <w:t>graniczeni</w:t>
            </w:r>
            <w:r>
              <w:rPr>
                <w:rFonts w:asciiTheme="minorHAnsi" w:hAnsiTheme="minorHAnsi"/>
              </w:rPr>
              <w:t>a</w:t>
            </w:r>
            <w:r w:rsidRPr="00286B4B">
              <w:rPr>
                <w:rFonts w:asciiTheme="minorHAnsi" w:hAnsiTheme="minorHAnsi"/>
              </w:rPr>
              <w:t xml:space="preserve"> nie dotycz</w:t>
            </w:r>
            <w:r>
              <w:rPr>
                <w:rFonts w:asciiTheme="minorHAnsi" w:hAnsiTheme="minorHAnsi"/>
              </w:rPr>
              <w:t>ą</w:t>
            </w:r>
            <w:r w:rsidRPr="00286B4B">
              <w:rPr>
                <w:rFonts w:asciiTheme="minorHAnsi" w:hAnsiTheme="minorHAnsi"/>
              </w:rPr>
              <w:t xml:space="preserve"> projektów grantowych</w:t>
            </w:r>
            <w:r w:rsidR="00C317CC" w:rsidRPr="00C317CC">
              <w:rPr>
                <w:rFonts w:asciiTheme="minorHAnsi" w:hAnsiTheme="minorHAnsi"/>
              </w:rPr>
              <w:t xml:space="preserve">, </w:t>
            </w:r>
            <w:r w:rsidR="00C317CC" w:rsidRPr="00C317CC">
              <w:rPr>
                <w:rFonts w:asciiTheme="minorHAnsi" w:hAnsiTheme="minorHAnsi"/>
                <w:u w:val="single"/>
              </w:rPr>
              <w:t>dla których stosowne uregulowania znajdą się w regulaminach konkurs</w:t>
            </w:r>
            <w:r w:rsidR="00C317CC">
              <w:rPr>
                <w:rFonts w:asciiTheme="minorHAnsi" w:hAnsiTheme="minorHAnsi"/>
                <w:u w:val="single"/>
              </w:rPr>
              <w:t>ów</w:t>
            </w:r>
            <w:r w:rsidR="00C317CC" w:rsidRPr="00C317CC">
              <w:rPr>
                <w:rFonts w:asciiTheme="minorHAnsi" w:hAnsiTheme="minorHAnsi"/>
              </w:rPr>
              <w:t>.</w:t>
            </w:r>
          </w:p>
          <w:p w:rsidR="00286B4B" w:rsidRPr="00E969AF" w:rsidRDefault="00286B4B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9707B9">
              <w:rPr>
                <w:rFonts w:asciiTheme="minorHAnsi" w:hAnsiTheme="minorHAnsi"/>
              </w:rPr>
              <w:lastRenderedPageBreak/>
              <w:t>Wydatki związane z działaniami informacyjno-promocyjnymi</w:t>
            </w:r>
            <w:r>
              <w:rPr>
                <w:rFonts w:asciiTheme="minorHAnsi" w:hAnsiTheme="minorHAnsi"/>
              </w:rPr>
              <w:t xml:space="preserve"> projektu</w:t>
            </w:r>
          </w:p>
        </w:tc>
        <w:tc>
          <w:tcPr>
            <w:tcW w:w="3562" w:type="pct"/>
            <w:vAlign w:val="center"/>
          </w:tcPr>
          <w:p w:rsidR="00971E9D" w:rsidRDefault="00971E9D" w:rsidP="004E55E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9707B9">
              <w:rPr>
                <w:rFonts w:asciiTheme="minorHAnsi" w:hAnsiTheme="minorHAnsi"/>
              </w:rPr>
              <w:t>Wydatki związane z działaniami informacyjno</w:t>
            </w:r>
            <w:r>
              <w:rPr>
                <w:rFonts w:asciiTheme="minorHAnsi" w:hAnsiTheme="minorHAnsi"/>
              </w:rPr>
              <w:t>-</w:t>
            </w:r>
            <w:r w:rsidRPr="009707B9">
              <w:rPr>
                <w:rFonts w:asciiTheme="minorHAnsi" w:hAnsiTheme="minorHAnsi"/>
              </w:rPr>
              <w:t>promocyjnymi</w:t>
            </w:r>
            <w:r>
              <w:rPr>
                <w:rFonts w:asciiTheme="minorHAnsi" w:hAnsiTheme="minorHAnsi"/>
              </w:rPr>
              <w:t xml:space="preserve"> przekraczające 2% wydatków kwalifikowalnych dla projektów o</w:t>
            </w:r>
            <w:r w:rsidR="004E55EA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wartości poniżej 500 000 PLN wydatków kwalifikowalnych lub 1% dla projektów o wartości wydatków kwalifikowalnych </w:t>
            </w:r>
            <w:r w:rsidR="009D3EFE">
              <w:rPr>
                <w:rFonts w:asciiTheme="minorHAnsi" w:hAnsiTheme="minorHAnsi"/>
              </w:rPr>
              <w:t xml:space="preserve">nie niższych niż </w:t>
            </w:r>
            <w:r>
              <w:rPr>
                <w:rFonts w:asciiTheme="minorHAnsi" w:hAnsiTheme="minorHAnsi"/>
              </w:rPr>
              <w:t>500 000 PLN. Limit weryfikowany jest jednorazowo w</w:t>
            </w:r>
            <w:r w:rsidR="004E55EA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momencie oceny wniosku o dofinansowanie. </w:t>
            </w:r>
          </w:p>
          <w:p w:rsidR="00286B4B" w:rsidRDefault="00286B4B" w:rsidP="004E55E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286B4B" w:rsidRDefault="00286B4B" w:rsidP="00286B4B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Powyższe o</w:t>
            </w:r>
            <w:r w:rsidRPr="00286B4B">
              <w:rPr>
                <w:rFonts w:asciiTheme="minorHAnsi" w:hAnsiTheme="minorHAnsi"/>
              </w:rPr>
              <w:t>graniczeni</w:t>
            </w:r>
            <w:r>
              <w:rPr>
                <w:rFonts w:asciiTheme="minorHAnsi" w:hAnsiTheme="minorHAnsi"/>
              </w:rPr>
              <w:t>a</w:t>
            </w:r>
            <w:r w:rsidRPr="00286B4B">
              <w:rPr>
                <w:rFonts w:asciiTheme="minorHAnsi" w:hAnsiTheme="minorHAnsi"/>
              </w:rPr>
              <w:t xml:space="preserve"> nie dotycz</w:t>
            </w:r>
            <w:r>
              <w:rPr>
                <w:rFonts w:asciiTheme="minorHAnsi" w:hAnsiTheme="minorHAnsi"/>
              </w:rPr>
              <w:t>ą</w:t>
            </w:r>
            <w:r w:rsidRPr="00286B4B">
              <w:rPr>
                <w:rFonts w:asciiTheme="minorHAnsi" w:hAnsiTheme="minorHAnsi"/>
              </w:rPr>
              <w:t xml:space="preserve"> projektów grantowych</w:t>
            </w:r>
            <w:r w:rsidR="00C317CC" w:rsidRPr="00C317CC">
              <w:rPr>
                <w:rFonts w:asciiTheme="minorHAnsi" w:hAnsiTheme="minorHAnsi"/>
              </w:rPr>
              <w:t xml:space="preserve">, </w:t>
            </w:r>
            <w:r w:rsidR="00C317CC" w:rsidRPr="00C317CC">
              <w:rPr>
                <w:rFonts w:asciiTheme="minorHAnsi" w:hAnsiTheme="minorHAnsi"/>
                <w:u w:val="single"/>
              </w:rPr>
              <w:t>dla których stosowne uregulowania znajdą się w regulaminach konkurs</w:t>
            </w:r>
            <w:r w:rsidR="00C317CC">
              <w:rPr>
                <w:rFonts w:asciiTheme="minorHAnsi" w:hAnsiTheme="minorHAnsi"/>
                <w:u w:val="single"/>
              </w:rPr>
              <w:t>ów</w:t>
            </w:r>
            <w:r w:rsidRPr="00286B4B">
              <w:rPr>
                <w:rFonts w:asciiTheme="minorHAnsi" w:hAnsiTheme="minorHAnsi"/>
              </w:rPr>
              <w:t>.</w:t>
            </w:r>
          </w:p>
          <w:p w:rsidR="00286B4B" w:rsidRDefault="00286B4B" w:rsidP="004E55E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Pr="00E969AF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 w:rsidRPr="00E969AF">
              <w:rPr>
                <w:rFonts w:asciiTheme="minorHAnsi" w:hAnsiTheme="minorHAnsi"/>
              </w:rPr>
              <w:t>Rezerwa</w:t>
            </w:r>
          </w:p>
        </w:tc>
        <w:tc>
          <w:tcPr>
            <w:tcW w:w="3562" w:type="pct"/>
            <w:vAlign w:val="center"/>
          </w:tcPr>
          <w:p w:rsidR="00971E9D" w:rsidRPr="00E969AF" w:rsidRDefault="00971E9D" w:rsidP="009F5CD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969AF">
              <w:rPr>
                <w:rFonts w:asciiTheme="minorHAnsi" w:eastAsia="Calibri" w:hAnsiTheme="minorHAnsi"/>
              </w:rPr>
              <w:t xml:space="preserve">Rezerwa na </w:t>
            </w:r>
            <w:r w:rsidRPr="00E969AF">
              <w:rPr>
                <w:rFonts w:asciiTheme="minorHAnsi" w:hAnsiTheme="minorHAnsi"/>
              </w:rPr>
              <w:t>wypadek przekroczenia ilości robót oszacowanych w</w:t>
            </w:r>
            <w:r w:rsidR="009F5CD8">
              <w:rPr>
                <w:rFonts w:asciiTheme="minorHAnsi" w:hAnsiTheme="minorHAnsi"/>
              </w:rPr>
              <w:t> </w:t>
            </w:r>
            <w:r w:rsidRPr="00E969AF">
              <w:rPr>
                <w:rFonts w:asciiTheme="minorHAnsi" w:hAnsiTheme="minorHAnsi"/>
              </w:rPr>
              <w:t>przedmiarze lub na</w:t>
            </w:r>
            <w:r w:rsidRPr="00E969AF">
              <w:rPr>
                <w:rFonts w:asciiTheme="minorHAnsi" w:eastAsia="Calibri" w:hAnsiTheme="minorHAnsi"/>
              </w:rPr>
              <w:t xml:space="preserve"> pokrycie nieprzewidzianych wydatków w</w:t>
            </w:r>
            <w:r w:rsidR="009F5CD8">
              <w:rPr>
                <w:rFonts w:asciiTheme="minorHAnsi" w:eastAsia="Calibri" w:hAnsiTheme="minorHAnsi"/>
              </w:rPr>
              <w:t> </w:t>
            </w:r>
            <w:r w:rsidRPr="00E969AF">
              <w:rPr>
                <w:rFonts w:asciiTheme="minorHAnsi" w:eastAsia="Calibri" w:hAnsiTheme="minorHAnsi"/>
              </w:rPr>
              <w:t>projekcie bądź inne nieprzewidziane wydatki w projekcie.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Płatności kartą</w:t>
            </w:r>
          </w:p>
        </w:tc>
        <w:tc>
          <w:tcPr>
            <w:tcW w:w="3562" w:type="pct"/>
            <w:vAlign w:val="center"/>
          </w:tcPr>
          <w:p w:rsidR="00971E9D" w:rsidRDefault="00971E9D" w:rsidP="009F5CD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Płatności dokonywane kartą płatniczą, która nie jest powiązana z</w:t>
            </w:r>
            <w:r w:rsidR="009F5CD8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rachunkiem beneficjenta/podmiotu realizującego projekt.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:rsidR="00971E9D" w:rsidRDefault="00971E9D" w:rsidP="001D731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Zwiększenie wynagrodzenia wykonawcy na skutek okoliczności opisanych w punkcie 6.3 1) i) tiret iii, iv, v stanowi wydatek kwalifikowalny. </w:t>
            </w:r>
          </w:p>
        </w:tc>
      </w:tr>
      <w:tr w:rsidR="00971E9D" w:rsidRPr="00E969AF" w:rsidTr="001D731F">
        <w:tc>
          <w:tcPr>
            <w:tcW w:w="1438" w:type="pct"/>
            <w:shd w:val="clear" w:color="auto" w:fill="99CCFF"/>
            <w:vAlign w:val="center"/>
          </w:tcPr>
          <w:p w:rsidR="00971E9D" w:rsidRDefault="00971E9D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Cross – financing</w:t>
            </w:r>
          </w:p>
        </w:tc>
        <w:tc>
          <w:tcPr>
            <w:tcW w:w="3562" w:type="pct"/>
            <w:vAlign w:val="center"/>
          </w:tcPr>
          <w:p w:rsidR="00971E9D" w:rsidRDefault="007C03EA" w:rsidP="007C03E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CF591E" w:rsidRPr="00E969AF" w:rsidTr="001D731F">
        <w:tc>
          <w:tcPr>
            <w:tcW w:w="1438" w:type="pct"/>
            <w:shd w:val="clear" w:color="auto" w:fill="99CCFF"/>
            <w:vAlign w:val="center"/>
          </w:tcPr>
          <w:p w:rsidR="00CF591E" w:rsidRDefault="00CF591E" w:rsidP="001D73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Zakup gruntu</w:t>
            </w:r>
          </w:p>
        </w:tc>
        <w:tc>
          <w:tcPr>
            <w:tcW w:w="3562" w:type="pct"/>
            <w:vAlign w:val="center"/>
          </w:tcPr>
          <w:p w:rsidR="00CF591E" w:rsidRDefault="00CF591E" w:rsidP="007C03E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Pr="00CF591E">
              <w:rPr>
                <w:rFonts w:asciiTheme="minorHAnsi" w:hAnsiTheme="minorHAnsi"/>
              </w:rPr>
              <w:t>akup gruntu (zabudowanego i niezabudowanego) w projektach objętych pomocą publiczną, w tym częściowo objętych pomocą publiczną (tam gdzie występuje efekt zachęty)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971E9D" w:rsidRDefault="00971E9D" w:rsidP="00971E9D">
      <w:pPr>
        <w:spacing w:line="276" w:lineRule="auto"/>
        <w:jc w:val="both"/>
        <w:rPr>
          <w:rFonts w:asciiTheme="minorHAnsi" w:hAnsiTheme="minorHAnsi"/>
          <w:b/>
          <w:color w:val="0D0D0D" w:themeColor="text1" w:themeTint="F2"/>
          <w:u w:val="single"/>
        </w:rPr>
      </w:pPr>
    </w:p>
    <w:p w:rsidR="00BA584B" w:rsidRDefault="00BA584B" w:rsidP="00971E9D">
      <w:pPr>
        <w:spacing w:line="276" w:lineRule="auto"/>
        <w:jc w:val="both"/>
        <w:rPr>
          <w:rFonts w:asciiTheme="minorHAnsi" w:hAnsiTheme="minorHAnsi"/>
          <w:b/>
          <w:color w:val="0D0D0D" w:themeColor="text1" w:themeTint="F2"/>
          <w:u w:val="single"/>
        </w:rPr>
      </w:pPr>
    </w:p>
    <w:p w:rsidR="00BA584B" w:rsidRPr="00DC6043" w:rsidRDefault="00BA584B" w:rsidP="00971E9D">
      <w:pPr>
        <w:spacing w:line="276" w:lineRule="auto"/>
        <w:jc w:val="both"/>
        <w:rPr>
          <w:rFonts w:asciiTheme="minorHAnsi" w:hAnsiTheme="minorHAnsi"/>
          <w:b/>
          <w:color w:val="0D0D0D" w:themeColor="text1" w:themeTint="F2"/>
          <w:u w:val="single"/>
        </w:rPr>
      </w:pPr>
    </w:p>
    <w:p w:rsidR="00971E9D" w:rsidRPr="00B23E41" w:rsidRDefault="00971E9D" w:rsidP="00971E9D">
      <w:pPr>
        <w:spacing w:line="276" w:lineRule="auto"/>
        <w:jc w:val="both"/>
        <w:rPr>
          <w:rFonts w:asciiTheme="minorHAnsi" w:hAnsiTheme="minorHAnsi"/>
          <w:b/>
          <w:u w:val="single"/>
        </w:rPr>
      </w:pPr>
      <w:r w:rsidRPr="00DC6043">
        <w:rPr>
          <w:rFonts w:asciiTheme="minorHAnsi" w:hAnsiTheme="minorHAnsi"/>
          <w:b/>
          <w:u w:val="single"/>
        </w:rPr>
        <w:t xml:space="preserve">Szczegółowe zapisy dot. poszczególnych </w:t>
      </w:r>
      <w:r w:rsidR="001E3C9A">
        <w:rPr>
          <w:rFonts w:asciiTheme="minorHAnsi" w:hAnsiTheme="minorHAnsi"/>
          <w:b/>
          <w:u w:val="single"/>
        </w:rPr>
        <w:t>D</w:t>
      </w:r>
      <w:r w:rsidRPr="00DC6043">
        <w:rPr>
          <w:rFonts w:asciiTheme="minorHAnsi" w:hAnsiTheme="minorHAnsi"/>
          <w:b/>
          <w:u w:val="single"/>
        </w:rPr>
        <w:t>ziałań</w:t>
      </w:r>
      <w:r>
        <w:rPr>
          <w:rFonts w:asciiTheme="minorHAnsi" w:hAnsiTheme="minorHAnsi"/>
          <w:b/>
          <w:u w:val="single"/>
        </w:rPr>
        <w:t xml:space="preserve"> – wydatki niekwalifikowalne</w:t>
      </w: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1.1 Wzmacnianie potencjału B+R i wdrożeniowego uczelni i jednostek naukowych</w:t>
      </w:r>
      <w:r w:rsidR="001E3C9A">
        <w:rPr>
          <w:rFonts w:asciiTheme="minorHAnsi" w:hAnsiTheme="minorHAnsi"/>
          <w:b/>
        </w:rPr>
        <w:t>: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Koszty wynagrodzeń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971E9D" w:rsidRPr="00A4085E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osobowe związane z zarządzaniem projektem i realizacją projektu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obsługę techniczną/koszty utrzymania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lastRenderedPageBreak/>
        <w:t>Wydatki na infrastrukturę do badań podstawowych</w:t>
      </w:r>
      <w:r w:rsidRPr="00E969AF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E969AF">
        <w:rPr>
          <w:rFonts w:eastAsia="Times New Roman" w:cs="Times New Roman"/>
          <w:sz w:val="24"/>
          <w:szCs w:val="24"/>
          <w:lang w:eastAsia="pl-PL"/>
        </w:rPr>
        <w:t>, jeśli nie jest ona zgodna z zakresem regionalnych strategii inteligentnej specjalizacji i nie ma uzasadnienia, w jaki sposób rezultaty projektu mogą się przełożyć na rozwój regionu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2B4E05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Wydatki na infrastrukturę TIK jeśli nie zostanie uzasadniona ich celowość w</w:t>
      </w:r>
      <w:r w:rsidR="006C1FB5">
        <w:rPr>
          <w:rFonts w:eastAsia="Times New Roman" w:cs="Times New Roman"/>
          <w:sz w:val="24"/>
          <w:szCs w:val="24"/>
          <w:lang w:eastAsia="pl-PL"/>
        </w:rPr>
        <w:t> </w:t>
      </w:r>
      <w:r>
        <w:rPr>
          <w:rFonts w:eastAsia="Times New Roman" w:cs="Times New Roman"/>
          <w:sz w:val="24"/>
          <w:szCs w:val="24"/>
          <w:lang w:eastAsia="pl-PL"/>
        </w:rPr>
        <w:t xml:space="preserve">kontekście planowanej działalności wnioskodawcy w zakresie B+R. </w:t>
      </w:r>
    </w:p>
    <w:p w:rsidR="00971E9D" w:rsidRPr="002B4E05" w:rsidRDefault="00971E9D" w:rsidP="00971E9D">
      <w:pPr>
        <w:pStyle w:val="Akapitzlist"/>
        <w:spacing w:after="0"/>
        <w:jc w:val="both"/>
        <w:rPr>
          <w:sz w:val="24"/>
          <w:szCs w:val="24"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1.2 Innowacyjne przedsiębiorstwa</w:t>
      </w:r>
      <w:r w:rsidR="001E3C9A">
        <w:rPr>
          <w:rFonts w:asciiTheme="minorHAnsi" w:hAnsiTheme="minorHAnsi"/>
          <w:b/>
        </w:rPr>
        <w:t>:</w:t>
      </w:r>
    </w:p>
    <w:p w:rsidR="00971E9D" w:rsidRPr="000A6C06" w:rsidRDefault="00980276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0A6C06">
        <w:rPr>
          <w:rFonts w:asciiTheme="minorHAnsi" w:hAnsiTheme="minorHAnsi"/>
          <w:b/>
        </w:rPr>
        <w:t>1.2.A i B: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Wydatki na budowę, przebudowę, </w:t>
      </w:r>
      <w:r w:rsidRPr="0079247C">
        <w:rPr>
          <w:rFonts w:eastAsia="Times New Roman" w:cs="Times New Roman"/>
          <w:sz w:val="24"/>
          <w:szCs w:val="24"/>
          <w:lang w:eastAsia="pl-PL"/>
        </w:rPr>
        <w:t>odbudowę, rozbudowę, nadbudowę obiektu budowlanego przekraczające 50% całkowitych wydatków kwalifikowalnych projektu.</w:t>
      </w:r>
    </w:p>
    <w:p w:rsidR="002C05AE" w:rsidRPr="00463230" w:rsidRDefault="00532907" w:rsidP="002C05AE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63230">
        <w:rPr>
          <w:sz w:val="24"/>
          <w:szCs w:val="24"/>
        </w:rPr>
        <w:t>Wydatki związane z działaniami informacyjno-promocyjnymi projektu.</w:t>
      </w:r>
    </w:p>
    <w:p w:rsidR="00532907" w:rsidRPr="00973C3F" w:rsidRDefault="00532907" w:rsidP="00532907">
      <w:pPr>
        <w:pStyle w:val="Akapitzlist"/>
        <w:spacing w:after="0"/>
        <w:jc w:val="both"/>
        <w:rPr>
          <w:sz w:val="24"/>
          <w:szCs w:val="24"/>
        </w:rPr>
      </w:pPr>
    </w:p>
    <w:p w:rsidR="0067067F" w:rsidRPr="000A6C06" w:rsidRDefault="00980276" w:rsidP="0067067F">
      <w:pPr>
        <w:jc w:val="both"/>
        <w:rPr>
          <w:rFonts w:ascii="Calibri" w:eastAsia="Times New Roman" w:hAnsi="Calibri" w:cs="Times New Roman"/>
          <w:b/>
          <w:szCs w:val="24"/>
          <w:lang w:eastAsia="pl-PL"/>
        </w:rPr>
      </w:pPr>
      <w:r w:rsidRPr="000A6C06">
        <w:rPr>
          <w:rFonts w:ascii="Calibri" w:eastAsia="Times New Roman" w:hAnsi="Calibri" w:cs="Times New Roman"/>
          <w:b/>
          <w:szCs w:val="24"/>
          <w:lang w:eastAsia="pl-PL"/>
        </w:rPr>
        <w:t>1.2.B:</w:t>
      </w:r>
    </w:p>
    <w:p w:rsidR="0095645E" w:rsidRDefault="00E84110" w:rsidP="00E84110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84110">
        <w:rPr>
          <w:rFonts w:eastAsia="Times New Roman" w:cs="Times New Roman"/>
          <w:sz w:val="24"/>
          <w:szCs w:val="24"/>
          <w:lang w:eastAsia="pl-PL"/>
        </w:rPr>
        <w:t>Wkład niepieniężny stanowiący część wkładu własnego przekraczający 10% całkowitych wydatków kwalifikowalnych</w:t>
      </w:r>
      <w:r w:rsidR="00463230">
        <w:rPr>
          <w:rFonts w:eastAsia="Times New Roman" w:cs="Times New Roman"/>
          <w:sz w:val="24"/>
          <w:szCs w:val="24"/>
          <w:lang w:eastAsia="pl-PL"/>
        </w:rPr>
        <w:t>.</w:t>
      </w:r>
    </w:p>
    <w:p w:rsidR="006F56AD" w:rsidRPr="006F56AD" w:rsidRDefault="006F56AD" w:rsidP="006F56AD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6F56AD">
        <w:rPr>
          <w:rFonts w:eastAsia="Times New Roman" w:cs="Times New Roman"/>
          <w:sz w:val="24"/>
          <w:szCs w:val="24"/>
          <w:lang w:eastAsia="pl-PL"/>
        </w:rPr>
        <w:t>Szacunkowe koszty płacy wynikające z utworzenia miejsc pracy w następstwie inwestycji początkowej.</w:t>
      </w:r>
    </w:p>
    <w:p w:rsidR="006F56AD" w:rsidRDefault="006F56AD" w:rsidP="006F56A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6AD">
        <w:rPr>
          <w:rFonts w:eastAsia="Times New Roman" w:cs="Times New Roman"/>
          <w:sz w:val="24"/>
          <w:szCs w:val="24"/>
          <w:lang w:eastAsia="pl-PL"/>
        </w:rPr>
        <w:t>Połączenie kosztów wchodzących w zakres lit. a) i b) pkt. Art. 14 GBER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6F56AD" w:rsidRDefault="006F56AD" w:rsidP="006F56AD">
      <w:pPr>
        <w:pStyle w:val="Akapitzlist"/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63230" w:rsidRPr="00003D21" w:rsidRDefault="00003D21" w:rsidP="00003D21">
      <w:pPr>
        <w:jc w:val="both"/>
        <w:rPr>
          <w:rFonts w:ascii="Calibri" w:eastAsia="Times New Roman" w:hAnsi="Calibri" w:cs="Times New Roman"/>
          <w:b/>
          <w:szCs w:val="24"/>
          <w:lang w:eastAsia="pl-PL"/>
        </w:rPr>
      </w:pPr>
      <w:r w:rsidRPr="00003D21">
        <w:rPr>
          <w:rFonts w:ascii="Calibri" w:eastAsia="Times New Roman" w:hAnsi="Calibri" w:cs="Times New Roman"/>
          <w:b/>
          <w:szCs w:val="24"/>
          <w:lang w:eastAsia="pl-PL"/>
        </w:rPr>
        <w:t>1.2 C</w:t>
      </w:r>
    </w:p>
    <w:p w:rsidR="00003D21" w:rsidRDefault="00003D21" w:rsidP="00003D2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Wydatki ponoszone przez Beneficjenta projektu grantowego (Grantodawcę) przekraczające 15% całkowitych wydatków kwalifikowalnych projektu grantowego.</w:t>
      </w:r>
    </w:p>
    <w:p w:rsidR="00971E9D" w:rsidRPr="00973C3F" w:rsidRDefault="00971E9D" w:rsidP="00971E9D">
      <w:pPr>
        <w:pStyle w:val="Akapitzlist"/>
        <w:spacing w:after="0"/>
        <w:jc w:val="both"/>
        <w:rPr>
          <w:sz w:val="24"/>
          <w:szCs w:val="24"/>
        </w:rPr>
      </w:pPr>
    </w:p>
    <w:p w:rsidR="00971E9D" w:rsidRPr="000A6C06" w:rsidRDefault="00980276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0A6C06">
        <w:rPr>
          <w:rFonts w:asciiTheme="minorHAnsi" w:hAnsiTheme="minorHAnsi"/>
          <w:b/>
        </w:rPr>
        <w:t xml:space="preserve">1.2.D:  </w:t>
      </w:r>
    </w:p>
    <w:p w:rsidR="00971E9D" w:rsidRPr="0079247C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Wydatki na budowę, przebudowę, </w:t>
      </w:r>
      <w:r w:rsidRPr="0079247C">
        <w:rPr>
          <w:rFonts w:eastAsia="Times New Roman" w:cs="Times New Roman"/>
          <w:sz w:val="24"/>
          <w:szCs w:val="24"/>
          <w:lang w:eastAsia="pl-PL"/>
        </w:rPr>
        <w:t>odbudowę, rozbudowę, nadbudowę obiektu budowlanego przekraczające 50% całkowitych wydatków kwalifikowalnych projektu.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uzyskanie certyfikatów jakości dla instytucji, które zarządzają IOB.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B5315" w:rsidRDefault="004B5315" w:rsidP="004B5315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B5315">
        <w:rPr>
          <w:rFonts w:eastAsia="Times New Roman" w:cs="Times New Roman"/>
          <w:sz w:val="24"/>
          <w:szCs w:val="24"/>
          <w:lang w:eastAsia="pl-PL"/>
        </w:rPr>
        <w:t>Ze wsparcia wyłączone są wydatki na infrastrukturę administracyjną (np. o charakterze biurowym).</w:t>
      </w:r>
    </w:p>
    <w:p w:rsidR="00532907" w:rsidRPr="00463230" w:rsidRDefault="00532907" w:rsidP="00532907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63230">
        <w:rPr>
          <w:sz w:val="24"/>
          <w:szCs w:val="24"/>
        </w:rPr>
        <w:t>Wydatki związane z działaniami informacyjno-promocyjnymi projektu.</w:t>
      </w:r>
    </w:p>
    <w:p w:rsidR="00971E9D" w:rsidRDefault="00971E9D" w:rsidP="00971E9D">
      <w:pPr>
        <w:spacing w:line="276" w:lineRule="auto"/>
        <w:jc w:val="both"/>
        <w:rPr>
          <w:rFonts w:asciiTheme="minorHAnsi" w:hAnsiTheme="minorHAnsi"/>
        </w:rPr>
      </w:pPr>
    </w:p>
    <w:p w:rsidR="009F5CD8" w:rsidRDefault="009F5CD8" w:rsidP="00973C3F">
      <w:pPr>
        <w:pStyle w:val="Akapitzlist"/>
        <w:spacing w:after="0"/>
        <w:jc w:val="both"/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1.3 Rozwój przedsiębiorczości</w:t>
      </w:r>
    </w:p>
    <w:p w:rsidR="00971E9D" w:rsidRPr="000A6C06" w:rsidRDefault="00980276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0A6C06">
        <w:rPr>
          <w:rFonts w:asciiTheme="minorHAnsi" w:hAnsiTheme="minorHAnsi"/>
          <w:b/>
        </w:rPr>
        <w:t>1.3.A: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wewnętrzną infrastrukturę komunikacyjną przewyższające 49% wartości projektu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lastRenderedPageBreak/>
        <w:t>Wydatki na zewnętrzną infrastrukturę komunikacyjną (drogi dojazdowe do terenów inwestycyjnych będących przedmiotem projektu)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0B1A23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 xml:space="preserve">Wydatki na zakup </w:t>
      </w:r>
      <w:r w:rsidR="00374A03">
        <w:rPr>
          <w:rFonts w:eastAsia="Times New Roman" w:cs="Times New Roman"/>
          <w:sz w:val="24"/>
          <w:szCs w:val="24"/>
          <w:lang w:eastAsia="pl-PL"/>
        </w:rPr>
        <w:t xml:space="preserve">używanych </w:t>
      </w:r>
      <w:r w:rsidRPr="000B1A23">
        <w:rPr>
          <w:rFonts w:eastAsia="Times New Roman" w:cs="Times New Roman"/>
          <w:sz w:val="24"/>
          <w:szCs w:val="24"/>
          <w:lang w:eastAsia="pl-PL"/>
        </w:rPr>
        <w:t xml:space="preserve">środków trwałych </w:t>
      </w:r>
      <w:r w:rsidR="00374A03">
        <w:rPr>
          <w:rFonts w:eastAsia="Times New Roman" w:cs="Times New Roman"/>
          <w:sz w:val="24"/>
          <w:szCs w:val="24"/>
          <w:lang w:eastAsia="pl-PL"/>
        </w:rPr>
        <w:t>innych niż budynki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0B1A2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74A03" w:rsidRPr="000B1A23" w:rsidRDefault="00374A03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15408">
        <w:rPr>
          <w:rFonts w:cs="Arial"/>
          <w:sz w:val="24"/>
          <w:szCs w:val="24"/>
        </w:rPr>
        <w:t>Wydatki na zakup środków transportu i urządzeń transportowych</w:t>
      </w:r>
      <w:r>
        <w:rPr>
          <w:rFonts w:cs="Arial"/>
          <w:sz w:val="24"/>
          <w:szCs w:val="24"/>
        </w:rPr>
        <w:t>.</w:t>
      </w:r>
    </w:p>
    <w:p w:rsidR="00971E9D" w:rsidRPr="00BB2D85" w:rsidRDefault="00971E9D" w:rsidP="00973C3F">
      <w:pPr>
        <w:pStyle w:val="Akapitzlist"/>
        <w:spacing w:after="0"/>
        <w:jc w:val="both"/>
      </w:pPr>
    </w:p>
    <w:p w:rsidR="00971E9D" w:rsidRPr="000A6C06" w:rsidRDefault="00980276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0A6C06">
        <w:rPr>
          <w:rFonts w:asciiTheme="minorHAnsi" w:hAnsiTheme="minorHAnsi"/>
          <w:b/>
        </w:rPr>
        <w:t xml:space="preserve">1.3.B: 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 xml:space="preserve">Wydatki na zakup używanych środków trwałych </w:t>
      </w:r>
      <w:r w:rsidR="00374A03">
        <w:rPr>
          <w:rFonts w:eastAsia="Times New Roman" w:cs="Times New Roman"/>
          <w:sz w:val="24"/>
          <w:szCs w:val="24"/>
          <w:lang w:eastAsia="pl-PL"/>
        </w:rPr>
        <w:t>innych niż budynki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 xml:space="preserve">Wydatki na uzyskanie certyfikatów jakości dla instytucji, które zarządzają </w:t>
      </w:r>
      <w:r w:rsidRPr="00E969AF">
        <w:rPr>
          <w:rFonts w:cs="Arial"/>
          <w:sz w:val="24"/>
          <w:szCs w:val="24"/>
        </w:rPr>
        <w:t>infrastrukturą dla przedsiębiorstw</w:t>
      </w:r>
      <w:r>
        <w:rPr>
          <w:rFonts w:cs="Arial"/>
          <w:sz w:val="24"/>
          <w:szCs w:val="24"/>
        </w:rPr>
        <w:t>.</w:t>
      </w:r>
    </w:p>
    <w:p w:rsidR="00971E9D" w:rsidRPr="000B1A23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0B1A2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615408">
        <w:rPr>
          <w:rFonts w:cs="Arial"/>
          <w:sz w:val="24"/>
          <w:szCs w:val="24"/>
        </w:rPr>
        <w:t>Wydatki na zakup środków transportu i urządzeń transportowych</w:t>
      </w:r>
      <w:r>
        <w:rPr>
          <w:rFonts w:cs="Arial"/>
          <w:sz w:val="24"/>
          <w:szCs w:val="24"/>
        </w:rPr>
        <w:t>.</w:t>
      </w:r>
      <w:r w:rsidRPr="00615408">
        <w:rPr>
          <w:rFonts w:cs="Arial"/>
          <w:sz w:val="24"/>
          <w:szCs w:val="24"/>
        </w:rPr>
        <w:t xml:space="preserve"> </w:t>
      </w:r>
    </w:p>
    <w:p w:rsidR="00971E9D" w:rsidRDefault="00971E9D" w:rsidP="00973C3F">
      <w:pPr>
        <w:pStyle w:val="Akapitzlist"/>
        <w:spacing w:after="0"/>
        <w:jc w:val="both"/>
      </w:pPr>
    </w:p>
    <w:p w:rsidR="00971E9D" w:rsidRPr="000A6C06" w:rsidRDefault="00980276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0A6C06">
        <w:rPr>
          <w:rFonts w:asciiTheme="minorHAnsi" w:hAnsiTheme="minorHAnsi"/>
          <w:b/>
        </w:rPr>
        <w:t>1.3.C: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uzyskanie przez IOB certyfikatów potwierdzających standard świadczonych usług doradczych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0B1A2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D598F" w:rsidRPr="008D598F" w:rsidRDefault="008D598F" w:rsidP="008D598F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pl-PL"/>
        </w:rPr>
      </w:pPr>
      <w:r w:rsidRPr="008D598F">
        <w:rPr>
          <w:rFonts w:eastAsia="Times New Roman" w:cs="Times New Roman"/>
          <w:sz w:val="24"/>
          <w:szCs w:val="24"/>
          <w:lang w:eastAsia="pl-PL"/>
        </w:rPr>
        <w:t>Wydatki ponoszone przez Beneficjenta projektu grantowego (Grantodawcę) przekraczające 15% całkowitych wydatków kwalifikowalnych projektu grantowego.</w:t>
      </w:r>
    </w:p>
    <w:p w:rsidR="008D598F" w:rsidRPr="0090644B" w:rsidRDefault="008D598F" w:rsidP="008D598F">
      <w:pPr>
        <w:pStyle w:val="Akapitzlist"/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1E9D" w:rsidRPr="00E969AF" w:rsidRDefault="00971E9D" w:rsidP="00973C3F">
      <w:pPr>
        <w:pStyle w:val="Akapitzlist"/>
        <w:spacing w:after="0"/>
        <w:jc w:val="both"/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eastAsiaTheme="majorEastAsia" w:hAnsiTheme="minorHAnsi" w:cstheme="majorBidi"/>
          <w:b/>
          <w:bCs/>
        </w:rPr>
      </w:pPr>
      <w:r w:rsidRPr="00E969AF">
        <w:rPr>
          <w:rFonts w:asciiTheme="minorHAnsi" w:hAnsiTheme="minorHAnsi"/>
          <w:b/>
        </w:rPr>
        <w:t>1.4</w:t>
      </w:r>
      <w:bookmarkStart w:id="1" w:name="_Toc194291240"/>
      <w:bookmarkStart w:id="2" w:name="_Toc209405135"/>
      <w:r w:rsidRPr="00E969AF">
        <w:rPr>
          <w:rFonts w:asciiTheme="minorHAnsi" w:hAnsiTheme="minorHAnsi"/>
          <w:b/>
        </w:rPr>
        <w:t xml:space="preserve"> </w:t>
      </w:r>
      <w:bookmarkEnd w:id="1"/>
      <w:bookmarkEnd w:id="2"/>
      <w:r w:rsidRPr="00E969AF">
        <w:rPr>
          <w:rFonts w:asciiTheme="minorHAnsi" w:eastAsiaTheme="majorEastAsia" w:hAnsiTheme="minorHAnsi" w:cstheme="majorBidi"/>
          <w:b/>
          <w:bCs/>
        </w:rPr>
        <w:t>Internacjonalizacja przedsiębiorstw</w:t>
      </w:r>
    </w:p>
    <w:p w:rsidR="00841547" w:rsidRDefault="00841547" w:rsidP="00841547">
      <w:pPr>
        <w:spacing w:before="40" w:after="40" w:line="276" w:lineRule="auto"/>
        <w:ind w:left="33"/>
        <w:rPr>
          <w:rFonts w:asciiTheme="minorHAnsi" w:hAnsiTheme="minorHAnsi"/>
        </w:rPr>
      </w:pPr>
      <w:r>
        <w:rPr>
          <w:rFonts w:asciiTheme="minorHAnsi" w:hAnsiTheme="minorHAnsi"/>
          <w:b/>
        </w:rPr>
        <w:t>1.4.A</w:t>
      </w:r>
      <w:r w:rsidR="001E3C9A">
        <w:rPr>
          <w:rFonts w:asciiTheme="minorHAnsi" w:hAnsiTheme="minorHAnsi"/>
          <w:b/>
        </w:rPr>
        <w:t>:</w:t>
      </w:r>
      <w:r w:rsidRPr="00E969AF">
        <w:rPr>
          <w:rFonts w:asciiTheme="minorHAnsi" w:hAnsiTheme="minorHAnsi"/>
        </w:rPr>
        <w:t xml:space="preserve"> </w:t>
      </w:r>
    </w:p>
    <w:p w:rsidR="00841547" w:rsidRPr="00841547" w:rsidRDefault="00841547" w:rsidP="00841547">
      <w:pPr>
        <w:pStyle w:val="Akapitzlist"/>
        <w:numPr>
          <w:ilvl w:val="0"/>
          <w:numId w:val="29"/>
        </w:numPr>
        <w:spacing w:before="40" w:after="40"/>
        <w:rPr>
          <w:rFonts w:eastAsiaTheme="majorEastAsia" w:cstheme="majorBidi"/>
          <w:bCs/>
          <w:sz w:val="24"/>
          <w:szCs w:val="24"/>
        </w:rPr>
      </w:pPr>
      <w:r w:rsidRPr="00841547">
        <w:rPr>
          <w:rFonts w:eastAsiaTheme="majorEastAsia" w:cstheme="majorBidi"/>
          <w:bCs/>
          <w:sz w:val="24"/>
          <w:szCs w:val="24"/>
        </w:rPr>
        <w:t>Wydatki związane z działaniami informacyjno-promocyjnymi projektu</w:t>
      </w:r>
      <w:r>
        <w:rPr>
          <w:rFonts w:eastAsiaTheme="majorEastAsia" w:cstheme="majorBidi"/>
          <w:bCs/>
          <w:sz w:val="24"/>
          <w:szCs w:val="24"/>
        </w:rPr>
        <w:t>.</w:t>
      </w:r>
    </w:p>
    <w:p w:rsidR="00841547" w:rsidRDefault="00841547" w:rsidP="00973C3F">
      <w:pPr>
        <w:pStyle w:val="Akapitzlist"/>
        <w:spacing w:after="0"/>
        <w:jc w:val="both"/>
        <w:rPr>
          <w:b/>
        </w:rPr>
      </w:pPr>
    </w:p>
    <w:p w:rsidR="00971E9D" w:rsidRPr="00E969AF" w:rsidRDefault="00971E9D" w:rsidP="00971E9D">
      <w:pPr>
        <w:spacing w:before="40" w:after="40" w:line="276" w:lineRule="auto"/>
        <w:ind w:left="33"/>
        <w:rPr>
          <w:rFonts w:asciiTheme="minorHAnsi" w:hAnsiTheme="minorHAnsi"/>
        </w:rPr>
      </w:pPr>
      <w:r w:rsidRPr="00E969AF">
        <w:rPr>
          <w:rFonts w:asciiTheme="minorHAnsi" w:hAnsiTheme="minorHAnsi"/>
          <w:b/>
        </w:rPr>
        <w:t>1.4.B</w:t>
      </w:r>
      <w:r w:rsidR="00237268">
        <w:rPr>
          <w:rFonts w:asciiTheme="minorHAnsi" w:hAnsiTheme="minorHAnsi"/>
          <w:b/>
        </w:rPr>
        <w:t>ab</w:t>
      </w:r>
      <w:r w:rsidR="001E3C9A">
        <w:rPr>
          <w:rFonts w:asciiTheme="minorHAnsi" w:hAnsiTheme="minorHAnsi"/>
          <w:b/>
        </w:rPr>
        <w:t>:</w:t>
      </w:r>
      <w:r w:rsidRPr="00E969AF">
        <w:rPr>
          <w:rFonts w:asciiTheme="minorHAnsi" w:hAnsiTheme="minorHAnsi"/>
        </w:rPr>
        <w:t xml:space="preserve"> </w:t>
      </w:r>
    </w:p>
    <w:p w:rsidR="00971E9D" w:rsidRPr="00E969AF" w:rsidRDefault="00971E9D" w:rsidP="00971E9D">
      <w:pPr>
        <w:pStyle w:val="Akapitzlist"/>
        <w:numPr>
          <w:ilvl w:val="0"/>
          <w:numId w:val="21"/>
        </w:numPr>
        <w:jc w:val="both"/>
        <w:rPr>
          <w:rFonts w:eastAsiaTheme="majorEastAsia" w:cstheme="majorBidi"/>
          <w:b/>
          <w:bCs/>
          <w:sz w:val="24"/>
          <w:szCs w:val="24"/>
        </w:rPr>
      </w:pPr>
      <w:r w:rsidRPr="00E969AF">
        <w:rPr>
          <w:rFonts w:eastAsiaTheme="majorEastAsia" w:cstheme="majorBidi"/>
          <w:bCs/>
          <w:sz w:val="24"/>
          <w:szCs w:val="24"/>
        </w:rPr>
        <w:t xml:space="preserve">Wydatki na usługi </w:t>
      </w:r>
      <w:r>
        <w:rPr>
          <w:rFonts w:eastAsiaTheme="majorEastAsia" w:cstheme="majorBidi"/>
          <w:bCs/>
          <w:sz w:val="24"/>
          <w:szCs w:val="24"/>
        </w:rPr>
        <w:t>będące w zakresie działania 1.4.A</w:t>
      </w:r>
      <w:r w:rsidR="00965A71">
        <w:rPr>
          <w:rFonts w:eastAsiaTheme="majorEastAsia" w:cstheme="majorBidi"/>
          <w:bCs/>
          <w:sz w:val="24"/>
          <w:szCs w:val="24"/>
        </w:rPr>
        <w:t xml:space="preserve"> </w:t>
      </w:r>
      <w:r>
        <w:rPr>
          <w:rFonts w:eastAsiaTheme="majorEastAsia" w:cstheme="majorBidi"/>
          <w:bCs/>
          <w:sz w:val="24"/>
          <w:szCs w:val="24"/>
        </w:rPr>
        <w:t xml:space="preserve">a. </w:t>
      </w:r>
    </w:p>
    <w:p w:rsidR="00971E9D" w:rsidRDefault="00971E9D" w:rsidP="00971E9D">
      <w:pPr>
        <w:pStyle w:val="Akapitzlist"/>
        <w:numPr>
          <w:ilvl w:val="0"/>
          <w:numId w:val="21"/>
        </w:numPr>
        <w:jc w:val="both"/>
        <w:rPr>
          <w:rFonts w:eastAsiaTheme="majorEastAsia" w:cstheme="majorBidi"/>
          <w:bCs/>
          <w:sz w:val="24"/>
          <w:szCs w:val="24"/>
        </w:rPr>
      </w:pPr>
      <w:r w:rsidRPr="00E969AF">
        <w:rPr>
          <w:rFonts w:eastAsiaTheme="majorEastAsia" w:cstheme="majorBidi"/>
          <w:bCs/>
          <w:sz w:val="24"/>
          <w:szCs w:val="24"/>
        </w:rPr>
        <w:t>Wydatki na roboty budowlane, materiały budowlane, niezbędne do budowy, przebudowy i rozbudowy budynków, zakup budynków i budowli oraz gruntów, a</w:t>
      </w:r>
      <w:r w:rsidR="00965A71">
        <w:rPr>
          <w:rFonts w:eastAsiaTheme="majorEastAsia" w:cstheme="majorBidi"/>
          <w:bCs/>
          <w:sz w:val="24"/>
          <w:szCs w:val="24"/>
        </w:rPr>
        <w:t> </w:t>
      </w:r>
      <w:r w:rsidRPr="00E969AF">
        <w:rPr>
          <w:rFonts w:eastAsiaTheme="majorEastAsia" w:cstheme="majorBidi"/>
          <w:bCs/>
          <w:sz w:val="24"/>
          <w:szCs w:val="24"/>
        </w:rPr>
        <w:t>także nieruchomości zabudowanej.</w:t>
      </w:r>
    </w:p>
    <w:p w:rsidR="00971E9D" w:rsidRDefault="00971E9D" w:rsidP="00971E9D">
      <w:pPr>
        <w:pStyle w:val="Akapitzlist"/>
        <w:numPr>
          <w:ilvl w:val="0"/>
          <w:numId w:val="21"/>
        </w:num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W przypadku wyjazdów biznesowych wydatkami niekwalifikowalnymi są wydatki analogiczne jak w działaniu 1.4 C.</w:t>
      </w:r>
    </w:p>
    <w:p w:rsidR="00971E9D" w:rsidRPr="00841547" w:rsidRDefault="00971E9D" w:rsidP="00971E9D">
      <w:pPr>
        <w:pStyle w:val="Akapitzlist"/>
        <w:numPr>
          <w:ilvl w:val="0"/>
          <w:numId w:val="21"/>
        </w:numPr>
        <w:jc w:val="both"/>
        <w:rPr>
          <w:rFonts w:eastAsiaTheme="majorEastAsia" w:cstheme="majorBidi"/>
          <w:bCs/>
          <w:sz w:val="24"/>
          <w:szCs w:val="24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841547" w:rsidRPr="00841547" w:rsidRDefault="00841547" w:rsidP="00971E9D">
      <w:pPr>
        <w:pStyle w:val="Akapitzlist"/>
        <w:numPr>
          <w:ilvl w:val="0"/>
          <w:numId w:val="21"/>
        </w:numPr>
        <w:jc w:val="both"/>
        <w:rPr>
          <w:rFonts w:eastAsiaTheme="majorEastAsia" w:cstheme="majorBidi"/>
          <w:bCs/>
          <w:sz w:val="24"/>
          <w:szCs w:val="24"/>
        </w:rPr>
      </w:pPr>
      <w:r w:rsidRPr="00841547">
        <w:rPr>
          <w:sz w:val="24"/>
          <w:szCs w:val="24"/>
        </w:rPr>
        <w:t>Wydatki związane z działaniami informacyjno-promocyjnymi projektu.</w:t>
      </w:r>
    </w:p>
    <w:p w:rsidR="00971E9D" w:rsidRPr="00F92B1F" w:rsidRDefault="00971E9D" w:rsidP="00973C3F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:rsidR="00971E9D" w:rsidRPr="00E969AF" w:rsidRDefault="00971E9D" w:rsidP="00971E9D">
      <w:pPr>
        <w:spacing w:before="40" w:after="40" w:line="276" w:lineRule="auto"/>
        <w:ind w:left="33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1.4.</w:t>
      </w:r>
      <w:r w:rsidR="00237268">
        <w:rPr>
          <w:rFonts w:asciiTheme="minorHAnsi" w:hAnsiTheme="minorHAnsi"/>
          <w:b/>
        </w:rPr>
        <w:t>Bc</w:t>
      </w:r>
      <w:r w:rsidR="001E3C9A">
        <w:rPr>
          <w:rFonts w:asciiTheme="minorHAnsi" w:hAnsiTheme="minorHAnsi"/>
          <w:b/>
        </w:rPr>
        <w:t>:</w:t>
      </w:r>
      <w:r w:rsidRPr="00E969AF">
        <w:rPr>
          <w:rFonts w:asciiTheme="minorHAnsi" w:hAnsiTheme="minorHAnsi"/>
          <w:b/>
        </w:rPr>
        <w:t xml:space="preserve"> 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jc w:val="both"/>
        <w:rPr>
          <w:rFonts w:eastAsiaTheme="majorEastAsia" w:cstheme="majorBidi"/>
          <w:b/>
          <w:bCs/>
          <w:sz w:val="24"/>
          <w:szCs w:val="24"/>
        </w:rPr>
      </w:pPr>
      <w:r w:rsidRPr="00E969AF">
        <w:rPr>
          <w:rFonts w:eastAsiaTheme="majorEastAsia" w:cstheme="majorBidi"/>
          <w:bCs/>
          <w:sz w:val="24"/>
          <w:szCs w:val="24"/>
        </w:rPr>
        <w:t xml:space="preserve">Wydatki na usługi </w:t>
      </w:r>
      <w:r>
        <w:rPr>
          <w:rFonts w:eastAsiaTheme="majorEastAsia" w:cstheme="majorBidi"/>
          <w:bCs/>
          <w:sz w:val="24"/>
          <w:szCs w:val="24"/>
        </w:rPr>
        <w:t>będące w zakresie działania 1.4.A b.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Podróże służbowe przedstawicieli beneficjenta uczestniczących w imprezach wystawienniczych i targowych (transport, diety), powyżej 5 osób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Koszty podróży inne niż ryczałtowe określone w odpowiednich przepisach prawa oraz inne niż bilety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lastRenderedPageBreak/>
        <w:t>Dotacje na udział w targach/wystawach/misjach dla przedsiębiorców mających siedzibę lub prowadzących działalność gospodarczą poza granicami administracyjnymi województwa dolnośląskiego.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 xml:space="preserve">Wydatki na udział w misji więcej niż 5 przedstawicieli </w:t>
      </w:r>
      <w:r>
        <w:rPr>
          <w:rFonts w:eastAsia="Times New Roman" w:cs="Times New Roman"/>
          <w:sz w:val="24"/>
          <w:szCs w:val="24"/>
          <w:lang w:eastAsia="pl-PL"/>
        </w:rPr>
        <w:t xml:space="preserve">jednego </w:t>
      </w:r>
      <w:r w:rsidRPr="00E969AF">
        <w:rPr>
          <w:rFonts w:eastAsia="Times New Roman" w:cs="Times New Roman"/>
          <w:sz w:val="24"/>
          <w:szCs w:val="24"/>
          <w:lang w:eastAsia="pl-PL"/>
        </w:rPr>
        <w:t>przedsiębiorcy oraz dwóch przedstawicieli Organizatora.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przejazd, zakwaterowanie i</w:t>
      </w:r>
      <w:r w:rsidR="009F5CD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969AF">
        <w:rPr>
          <w:rFonts w:eastAsia="Times New Roman" w:cs="Times New Roman"/>
          <w:sz w:val="24"/>
          <w:szCs w:val="24"/>
          <w:lang w:eastAsia="pl-PL"/>
        </w:rPr>
        <w:t>diety przedstawicieli Organizatora misji (beneficjenta) wcześniej niż 2 dni przed i później niż 1 dzień po misji gospodarczej.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Zakwaterowanie przedstawicieli beneficjenta wcześniej niż 1 dzień przed i</w:t>
      </w:r>
      <w:r w:rsidR="009F5CD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969AF">
        <w:rPr>
          <w:rFonts w:eastAsia="Times New Roman" w:cs="Times New Roman"/>
          <w:sz w:val="24"/>
          <w:szCs w:val="24"/>
          <w:lang w:eastAsia="pl-PL"/>
        </w:rPr>
        <w:t>później niż 1 dzień po targach, wystawach oraz powyżej 5 osób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CC140B" w:rsidRPr="00973C3F" w:rsidRDefault="00CC140B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C3F">
        <w:rPr>
          <w:sz w:val="24"/>
          <w:szCs w:val="24"/>
        </w:rPr>
        <w:t>Wydatki związane z działaniami informacyjno-promocyjnymi projektu.</w:t>
      </w:r>
    </w:p>
    <w:p w:rsidR="00971E9D" w:rsidRPr="00E969AF" w:rsidRDefault="00971E9D" w:rsidP="00973C3F">
      <w:pPr>
        <w:pStyle w:val="Akapitzlist"/>
        <w:spacing w:after="0"/>
        <w:jc w:val="both"/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 xml:space="preserve">1.5 </w:t>
      </w:r>
      <w:r w:rsidRPr="00E969AF">
        <w:rPr>
          <w:rFonts w:asciiTheme="minorHAnsi" w:eastAsiaTheme="majorEastAsia" w:hAnsiTheme="minorHAnsi" w:cstheme="majorBidi"/>
          <w:b/>
          <w:bCs/>
        </w:rPr>
        <w:t>Rozwój produktów i usług w MŚP</w:t>
      </w: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Wsparcie dotacyjne: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 xml:space="preserve">Wydatki związane z bieżącymi naprawami maszyn/parku maszynowego. 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Budowa</w:t>
      </w:r>
      <w:r>
        <w:rPr>
          <w:rFonts w:eastAsia="Times New Roman" w:cs="Times New Roman"/>
          <w:sz w:val="24"/>
          <w:szCs w:val="24"/>
          <w:lang w:eastAsia="pl-PL"/>
        </w:rPr>
        <w:t>/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przebudowa/rozbudowa/modernizacja nieruchomości zabudowanej powyżej 25% </w:t>
      </w:r>
      <w:r w:rsidR="00D80C64">
        <w:rPr>
          <w:rFonts w:eastAsia="Times New Roman" w:cs="Times New Roman"/>
          <w:sz w:val="24"/>
          <w:szCs w:val="24"/>
          <w:lang w:eastAsia="pl-PL"/>
        </w:rPr>
        <w:t xml:space="preserve">całkowitych </w:t>
      </w:r>
      <w:r w:rsidRPr="00E969AF">
        <w:rPr>
          <w:rFonts w:eastAsia="Times New Roman" w:cs="Times New Roman"/>
          <w:sz w:val="24"/>
          <w:szCs w:val="24"/>
          <w:lang w:eastAsia="pl-PL"/>
        </w:rPr>
        <w:t>wydatków kwalifikowalnych</w:t>
      </w:r>
      <w:r w:rsidR="0095645E">
        <w:rPr>
          <w:rFonts w:eastAsia="Times New Roman" w:cs="Times New Roman"/>
          <w:sz w:val="24"/>
          <w:szCs w:val="24"/>
          <w:lang w:eastAsia="pl-PL"/>
        </w:rPr>
        <w:t xml:space="preserve"> projektu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71E9D" w:rsidRPr="00E969AF" w:rsidRDefault="00971E9D" w:rsidP="00971E9D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przeznaczone na oprogramowanie dedykowane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7F060A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poniesione na budowę, przebudowę, rozbudowę, modernizację lub nabycie nieruchomości w celu prowadzenia działalności związanej z wynajmem</w:t>
      </w:r>
      <w:r w:rsidR="007F060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F060A" w:rsidRPr="007F060A">
        <w:t xml:space="preserve"> </w:t>
      </w:r>
      <w:r w:rsidR="007F060A" w:rsidRPr="007F060A">
        <w:rPr>
          <w:rFonts w:eastAsia="Times New Roman" w:cs="Times New Roman"/>
          <w:sz w:val="24"/>
          <w:szCs w:val="24"/>
          <w:lang w:eastAsia="pl-PL"/>
        </w:rPr>
        <w:t>(nie dotyczy usług hotelarskich w rozumieniu art. 36 ustawy o usługach turystycznych)</w:t>
      </w:r>
      <w:r w:rsidR="007F060A">
        <w:rPr>
          <w:rFonts w:eastAsia="Times New Roman" w:cs="Times New Roman"/>
          <w:sz w:val="24"/>
          <w:szCs w:val="24"/>
          <w:lang w:eastAsia="pl-PL"/>
        </w:rPr>
        <w:t>.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5645E" w:rsidRDefault="00E84110" w:rsidP="00E84110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84110">
        <w:rPr>
          <w:rFonts w:eastAsia="Times New Roman" w:cs="Times New Roman"/>
          <w:sz w:val="24"/>
          <w:szCs w:val="24"/>
          <w:lang w:eastAsia="pl-PL"/>
        </w:rPr>
        <w:t>Wkład niepieniężny stanowiący część wkł</w:t>
      </w:r>
      <w:r w:rsidR="009F5CD8">
        <w:rPr>
          <w:rFonts w:eastAsia="Times New Roman" w:cs="Times New Roman"/>
          <w:sz w:val="24"/>
          <w:szCs w:val="24"/>
          <w:lang w:eastAsia="pl-PL"/>
        </w:rPr>
        <w:t>adu własnego przekraczający 10% </w:t>
      </w:r>
      <w:r w:rsidRPr="00E84110">
        <w:rPr>
          <w:rFonts w:eastAsia="Times New Roman" w:cs="Times New Roman"/>
          <w:sz w:val="24"/>
          <w:szCs w:val="24"/>
          <w:lang w:eastAsia="pl-PL"/>
        </w:rPr>
        <w:t>całkowitych wydatków kwalifikowalnych</w:t>
      </w:r>
      <w:r w:rsidR="00CC140B">
        <w:rPr>
          <w:rFonts w:eastAsia="Times New Roman" w:cs="Times New Roman"/>
          <w:sz w:val="24"/>
          <w:szCs w:val="24"/>
          <w:lang w:eastAsia="pl-PL"/>
        </w:rPr>
        <w:t>.</w:t>
      </w:r>
    </w:p>
    <w:p w:rsidR="00CC140B" w:rsidRPr="00E27661" w:rsidRDefault="00CC140B" w:rsidP="00973C3F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140B">
        <w:rPr>
          <w:sz w:val="24"/>
          <w:szCs w:val="24"/>
        </w:rPr>
        <w:t>Wydatki związane z działaniami informacyjno-promocyjnymi projektu.</w:t>
      </w:r>
    </w:p>
    <w:p w:rsidR="00E27661" w:rsidRDefault="00E27661" w:rsidP="00E27661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27661">
        <w:rPr>
          <w:rFonts w:eastAsia="Times New Roman" w:cs="Times New Roman"/>
          <w:sz w:val="24"/>
          <w:szCs w:val="24"/>
          <w:lang w:eastAsia="pl-PL"/>
        </w:rPr>
        <w:t>Szacunkowe koszty płacy wynikające z utworzenia miejsc pracy w następstwie inwestycji początkowej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E27661" w:rsidRPr="00E27661" w:rsidRDefault="00E27661" w:rsidP="00E27661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27661">
        <w:rPr>
          <w:rFonts w:eastAsia="Times New Roman" w:cs="Times New Roman"/>
          <w:sz w:val="24"/>
          <w:szCs w:val="24"/>
          <w:lang w:eastAsia="pl-PL"/>
        </w:rPr>
        <w:t>Połączenie kosztów wchodzących w zakres lit. a) i b) pkt. Art. 14 GBER</w:t>
      </w:r>
    </w:p>
    <w:p w:rsidR="00971E9D" w:rsidRPr="00E969AF" w:rsidRDefault="00971E9D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eastAsia="Calibri" w:hAnsiTheme="minorHAnsi"/>
          <w:b/>
        </w:rPr>
      </w:pPr>
      <w:r w:rsidRPr="00E969AF">
        <w:rPr>
          <w:rFonts w:asciiTheme="minorHAnsi" w:eastAsia="Calibri" w:hAnsiTheme="minorHAnsi"/>
          <w:b/>
        </w:rPr>
        <w:t>2.1. Technologie informacyjno-komunikacyjne</w:t>
      </w:r>
      <w:r w:rsidR="001E3C9A">
        <w:rPr>
          <w:rFonts w:asciiTheme="minorHAnsi" w:eastAsia="Calibri" w:hAnsiTheme="minorHAnsi"/>
          <w:b/>
        </w:rPr>
        <w:t>:</w:t>
      </w:r>
      <w:r w:rsidRPr="00E969AF">
        <w:rPr>
          <w:rFonts w:asciiTheme="minorHAnsi" w:eastAsia="Calibri" w:hAnsiTheme="minorHAnsi"/>
          <w:b/>
        </w:rPr>
        <w:t xml:space="preserve"> </w:t>
      </w:r>
    </w:p>
    <w:p w:rsidR="00971E9D" w:rsidRPr="00E969AF" w:rsidRDefault="00971E9D" w:rsidP="00971E9D">
      <w:pPr>
        <w:pStyle w:val="Akapitzlist"/>
        <w:numPr>
          <w:ilvl w:val="0"/>
          <w:numId w:val="20"/>
        </w:numPr>
        <w:jc w:val="both"/>
        <w:rPr>
          <w:rFonts w:eastAsia="Calibri"/>
          <w:sz w:val="24"/>
          <w:szCs w:val="24"/>
        </w:rPr>
      </w:pPr>
      <w:r w:rsidRPr="00E969AF">
        <w:rPr>
          <w:rFonts w:eastAsia="Calibri"/>
          <w:sz w:val="24"/>
          <w:szCs w:val="24"/>
        </w:rPr>
        <w:t>Wydatki na utrzymanie dotychczasowej infrastruktury i wydatki bieżące: np. koszt dzierżawy łącz</w:t>
      </w:r>
      <w:r>
        <w:rPr>
          <w:rFonts w:eastAsia="Calibri"/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20"/>
        </w:numPr>
        <w:jc w:val="both"/>
        <w:rPr>
          <w:rFonts w:eastAsia="Calibri"/>
          <w:sz w:val="24"/>
          <w:szCs w:val="24"/>
        </w:rPr>
      </w:pPr>
      <w:r w:rsidRPr="00E969AF">
        <w:rPr>
          <w:rFonts w:eastAsia="Calibri"/>
          <w:sz w:val="24"/>
          <w:szCs w:val="24"/>
        </w:rPr>
        <w:t>Wydatki na usługi związane z np. prowadzeniem serwisu www, kont poczty elektronicznej, utrzymaniem/hostingiem/</w:t>
      </w:r>
      <w:proofErr w:type="spellStart"/>
      <w:r w:rsidRPr="00E969AF">
        <w:rPr>
          <w:rFonts w:eastAsia="Calibri"/>
          <w:sz w:val="24"/>
          <w:szCs w:val="24"/>
        </w:rPr>
        <w:t>hote</w:t>
      </w:r>
      <w:r>
        <w:rPr>
          <w:rFonts w:eastAsia="Calibri"/>
          <w:sz w:val="24"/>
          <w:szCs w:val="24"/>
        </w:rPr>
        <w:t>lingiem</w:t>
      </w:r>
      <w:proofErr w:type="spellEnd"/>
      <w:r>
        <w:rPr>
          <w:rFonts w:eastAsia="Calibri"/>
          <w:sz w:val="24"/>
          <w:szCs w:val="24"/>
        </w:rPr>
        <w:t xml:space="preserve"> serwerów, rejestracją i </w:t>
      </w:r>
      <w:r w:rsidRPr="00E969AF">
        <w:rPr>
          <w:rFonts w:eastAsia="Calibri"/>
          <w:sz w:val="24"/>
          <w:szCs w:val="24"/>
        </w:rPr>
        <w:t xml:space="preserve">utrzymaniem domen </w:t>
      </w:r>
      <w:r>
        <w:rPr>
          <w:rFonts w:eastAsia="Calibri"/>
          <w:sz w:val="24"/>
          <w:szCs w:val="24"/>
        </w:rPr>
        <w:t>–</w:t>
      </w:r>
      <w:r w:rsidRPr="00E969AF">
        <w:rPr>
          <w:rFonts w:eastAsia="Calibri"/>
          <w:sz w:val="24"/>
          <w:szCs w:val="24"/>
        </w:rPr>
        <w:t xml:space="preserve"> powyżej 5% kosztów kwalifikowalnych projektów.</w:t>
      </w:r>
    </w:p>
    <w:p w:rsidR="00971E9D" w:rsidRPr="00EF026F" w:rsidRDefault="00971E9D" w:rsidP="00971E9D">
      <w:pPr>
        <w:pStyle w:val="Akapitzlist"/>
        <w:numPr>
          <w:ilvl w:val="0"/>
          <w:numId w:val="12"/>
        </w:numPr>
        <w:jc w:val="both"/>
        <w:rPr>
          <w:rFonts w:eastAsia="Calibri" w:cs="Times New Roman"/>
          <w:sz w:val="24"/>
          <w:szCs w:val="24"/>
        </w:rPr>
      </w:pPr>
      <w:r w:rsidRPr="00E969AF">
        <w:rPr>
          <w:rFonts w:eastAsia="Calibri" w:cs="Times New Roman"/>
          <w:sz w:val="24"/>
          <w:szCs w:val="24"/>
        </w:rPr>
        <w:t>Koszty adaptacji pomieszczeń dla celów realizacji projektów powyżej 20% łącznych kosztów wynajmu lub utrzymania budynków</w:t>
      </w:r>
      <w:r>
        <w:rPr>
          <w:rFonts w:eastAsia="Calibri" w:cs="Times New Roman"/>
          <w:sz w:val="24"/>
          <w:szCs w:val="24"/>
        </w:rPr>
        <w:t>.</w:t>
      </w:r>
      <w:r w:rsidRPr="00E969AF">
        <w:rPr>
          <w:rFonts w:eastAsia="Calibri" w:cs="Times New Roman"/>
          <w:sz w:val="24"/>
          <w:szCs w:val="24"/>
        </w:rPr>
        <w:t xml:space="preserve"> </w:t>
      </w:r>
    </w:p>
    <w:p w:rsidR="00971E9D" w:rsidRPr="00EF026F" w:rsidRDefault="00971E9D" w:rsidP="00971E9D">
      <w:pPr>
        <w:pStyle w:val="Akapitzlist"/>
        <w:numPr>
          <w:ilvl w:val="0"/>
          <w:numId w:val="12"/>
        </w:numPr>
        <w:jc w:val="both"/>
        <w:rPr>
          <w:rFonts w:eastAsia="Calibri" w:cs="Times New Roman"/>
          <w:sz w:val="24"/>
          <w:szCs w:val="24"/>
        </w:rPr>
      </w:pPr>
      <w:r w:rsidRPr="00EF026F">
        <w:rPr>
          <w:rFonts w:eastAsia="Calibri" w:cs="Times New Roman"/>
          <w:sz w:val="24"/>
          <w:szCs w:val="24"/>
        </w:rPr>
        <w:t>Materiały i inne środki nie stanowiące środków trwałych</w:t>
      </w:r>
      <w:r>
        <w:rPr>
          <w:rFonts w:eastAsia="Calibri" w:cs="Times New Roman"/>
          <w:sz w:val="24"/>
          <w:szCs w:val="24"/>
        </w:rPr>
        <w:t>.</w:t>
      </w:r>
    </w:p>
    <w:p w:rsidR="00973C3F" w:rsidRDefault="00971E9D" w:rsidP="00973C3F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eastAsia="Calibri"/>
          <w:sz w:val="24"/>
          <w:szCs w:val="24"/>
        </w:rPr>
      </w:pPr>
      <w:r w:rsidRPr="00EF026F">
        <w:rPr>
          <w:rFonts w:eastAsia="Calibri" w:cs="Times New Roman"/>
          <w:sz w:val="24"/>
          <w:szCs w:val="24"/>
        </w:rPr>
        <w:lastRenderedPageBreak/>
        <w:t>Wydatki na sprzęt służący</w:t>
      </w:r>
      <w:r w:rsidRPr="00E969AF">
        <w:rPr>
          <w:rFonts w:eastAsia="Calibri"/>
          <w:sz w:val="24"/>
          <w:szCs w:val="24"/>
        </w:rPr>
        <w:t xml:space="preserve"> digitalizacji przekraczające 49% całkowitych wyd</w:t>
      </w:r>
      <w:r>
        <w:rPr>
          <w:rFonts w:eastAsia="Calibri"/>
          <w:sz w:val="24"/>
          <w:szCs w:val="24"/>
        </w:rPr>
        <w:t>atków kwalifikowalnych projektu.</w:t>
      </w:r>
    </w:p>
    <w:p w:rsidR="00973C3F" w:rsidRPr="00973C3F" w:rsidRDefault="00973C3F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eastAsia="Calibri" w:hAnsiTheme="minorHAnsi"/>
          <w:b/>
        </w:rPr>
        <w:t>3.1</w:t>
      </w:r>
      <w:r w:rsidRPr="00E969AF">
        <w:rPr>
          <w:rFonts w:asciiTheme="minorHAnsi" w:hAnsiTheme="minorHAnsi"/>
          <w:b/>
        </w:rPr>
        <w:t xml:space="preserve"> Produkcja i dystrybucja energii ze źródeł odnawialnych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Wydatki na budowę i/lub modernizację infrastruktury służącej produkcji energii pochodzącej z konwencjonalnych źródeł energii tj. paliw kopalnych (np. węgiel kamienny, węgiel brunatny, ropa naftowa, gaz ziemny).</w:t>
      </w:r>
    </w:p>
    <w:p w:rsidR="00971E9D" w:rsidRPr="00E969AF" w:rsidRDefault="00971E9D" w:rsidP="00971E9D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Wydatki związane z demontażem urządzeń służących produkcji energii pochodzącej z</w:t>
      </w:r>
      <w:r w:rsidR="009F5CD8">
        <w:rPr>
          <w:rFonts w:asciiTheme="minorHAnsi" w:hAnsiTheme="minorHAnsi"/>
        </w:rPr>
        <w:t> </w:t>
      </w:r>
      <w:r w:rsidRPr="00E969AF">
        <w:rPr>
          <w:rFonts w:asciiTheme="minorHAnsi" w:hAnsiTheme="minorHAnsi"/>
        </w:rPr>
        <w:t>konwencjonalnych źródeł energii</w:t>
      </w:r>
      <w:r w:rsidR="009F5CD8">
        <w:rPr>
          <w:rFonts w:asciiTheme="minorHAnsi" w:hAnsiTheme="minorHAnsi"/>
        </w:rPr>
        <w:t>,</w:t>
      </w:r>
      <w:r w:rsidRPr="00E969AF">
        <w:rPr>
          <w:rFonts w:asciiTheme="minorHAnsi" w:hAnsiTheme="minorHAnsi"/>
        </w:rPr>
        <w:t xml:space="preserve"> tj. paliw kopalnych (np. węgiel kamienny, węgiel brunatny, ropa naftowa, gaz ziemny).</w:t>
      </w:r>
    </w:p>
    <w:p w:rsidR="00971E9D" w:rsidRPr="00E969AF" w:rsidRDefault="00971E9D" w:rsidP="00971E9D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Wydatki związane z zakupem środków transportu.</w:t>
      </w:r>
    </w:p>
    <w:p w:rsidR="00971E9D" w:rsidRDefault="00971E9D" w:rsidP="00971E9D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 w:rsidRPr="00E969AF">
        <w:rPr>
          <w:rFonts w:cs="Arial"/>
          <w:sz w:val="24"/>
          <w:szCs w:val="24"/>
        </w:rPr>
        <w:t>Wydatki poniesione na infrastrukturę służącą do przyłączenia do najbliżej istniejącej sieci przekraczające 49% wartości całkowitych wydatków kwalifikowalnych projektu.</w:t>
      </w:r>
    </w:p>
    <w:p w:rsidR="00971E9D" w:rsidRDefault="00971E9D" w:rsidP="00971E9D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0B1A2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317CC" w:rsidRDefault="00C317CC" w:rsidP="00971E9D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Wydatki ponoszone przez Beneficjenta projektu grantowego (Grantodawcę) przekraczające 15% całkowitych wydatków kwalifikowalnych projektu grantowego.</w:t>
      </w:r>
    </w:p>
    <w:p w:rsidR="00973C3F" w:rsidRPr="00973C3F" w:rsidRDefault="00973C3F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hAnsiTheme="minorHAnsi"/>
          <w:b/>
        </w:rPr>
      </w:pPr>
      <w:r w:rsidRPr="00E969AF">
        <w:rPr>
          <w:rFonts w:asciiTheme="minorHAnsi" w:eastAsia="Calibri" w:hAnsiTheme="minorHAnsi"/>
          <w:b/>
        </w:rPr>
        <w:t>3.2</w:t>
      </w:r>
      <w:r w:rsidRPr="00E969AF">
        <w:rPr>
          <w:rFonts w:asciiTheme="minorHAnsi" w:hAnsiTheme="minorHAnsi"/>
          <w:b/>
        </w:rPr>
        <w:t xml:space="preserve">  Efektywność energetyczna w MŚP</w:t>
      </w:r>
      <w:r w:rsidR="001E3C9A">
        <w:rPr>
          <w:rFonts w:asciiTheme="minorHAnsi" w:hAnsiTheme="minorHAnsi"/>
          <w:b/>
        </w:rPr>
        <w:t>:</w:t>
      </w:r>
    </w:p>
    <w:p w:rsidR="00971E9D" w:rsidRPr="00CB3CF4" w:rsidRDefault="00971E9D" w:rsidP="00971E9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CB3CF4">
        <w:rPr>
          <w:rFonts w:asciiTheme="minorHAnsi" w:hAnsiTheme="minorHAnsi"/>
        </w:rPr>
        <w:t>Wydatki w ramach projektu dotyczące budynków mieszkalnych i użyteczności publicznej</w:t>
      </w:r>
      <w:r w:rsidR="000C3205">
        <w:rPr>
          <w:rFonts w:asciiTheme="minorHAnsi" w:hAnsiTheme="minorHAnsi"/>
        </w:rPr>
        <w:t>,</w:t>
      </w:r>
      <w:r w:rsidRPr="00CB3CF4">
        <w:rPr>
          <w:rFonts w:asciiTheme="minorHAnsi" w:hAnsiTheme="minorHAnsi"/>
        </w:rPr>
        <w:t xml:space="preserve"> których właścicielem jest JST lub </w:t>
      </w:r>
      <w:r w:rsidR="00CB3CF4" w:rsidRPr="00CB3CF4">
        <w:rPr>
          <w:rFonts w:asciiTheme="minorHAnsi" w:hAnsiTheme="minorHAnsi"/>
        </w:rPr>
        <w:t>są własnością jednostek</w:t>
      </w:r>
      <w:r w:rsidR="000C3205">
        <w:rPr>
          <w:rFonts w:asciiTheme="minorHAnsi" w:hAnsiTheme="minorHAnsi"/>
        </w:rPr>
        <w:t>,</w:t>
      </w:r>
      <w:r w:rsidR="00CB3CF4" w:rsidRPr="00CB3CF4">
        <w:rPr>
          <w:rFonts w:asciiTheme="minorHAnsi" w:hAnsiTheme="minorHAnsi"/>
        </w:rPr>
        <w:t xml:space="preserve"> </w:t>
      </w:r>
      <w:r w:rsidRPr="00761B8E">
        <w:rPr>
          <w:rFonts w:asciiTheme="minorHAnsi" w:hAnsiTheme="minorHAnsi"/>
        </w:rPr>
        <w:t>dla których podmiotem założycielskim jest JST.</w:t>
      </w:r>
      <w:r w:rsidR="00CB3CF4" w:rsidRPr="00761B8E">
        <w:rPr>
          <w:rFonts w:asciiTheme="minorHAnsi" w:hAnsiTheme="minorHAnsi"/>
        </w:rPr>
        <w:t xml:space="preserve"> </w:t>
      </w:r>
      <w:r w:rsidR="00CB3CF4" w:rsidRPr="00CB3CF4">
        <w:rPr>
          <w:rFonts w:asciiTheme="minorHAnsi" w:hAnsiTheme="minorHAnsi"/>
        </w:rPr>
        <w:t xml:space="preserve">Nie dotyczy </w:t>
      </w:r>
      <w:r w:rsidR="00CB3CF4" w:rsidRPr="00CB3CF4">
        <w:rPr>
          <w:rFonts w:asciiTheme="minorHAnsi" w:eastAsia="TTE1ABE920t00" w:hAnsiTheme="minorHAnsi"/>
        </w:rPr>
        <w:t>przedsiębiorstw, których większość udziałów lub akcji należy do JST.</w:t>
      </w:r>
    </w:p>
    <w:p w:rsidR="00ED5902" w:rsidRDefault="00971E9D" w:rsidP="00971E9D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B1A23">
        <w:rPr>
          <w:rFonts w:eastAsia="Times New Roman" w:cs="Times New Roman"/>
          <w:sz w:val="24"/>
          <w:szCs w:val="24"/>
          <w:lang w:eastAsia="pl-PL"/>
        </w:rPr>
        <w:t>Wydatki na wynagrodzenia będące efektem tworzenia nowych miejsc pracy</w:t>
      </w:r>
      <w:r w:rsidR="00ED5902"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D5902" w:rsidRDefault="00ED5902" w:rsidP="00971E9D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5902">
        <w:rPr>
          <w:sz w:val="24"/>
          <w:szCs w:val="24"/>
        </w:rPr>
        <w:t>Wydatki związane z działaniami informacyjno-promocyjnymi projektu.</w:t>
      </w:r>
      <w:r w:rsidR="00971E9D" w:rsidRPr="00ED5902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71E9D" w:rsidRPr="00973C3F" w:rsidRDefault="00971E9D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8B200F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3.3 Efektywność energetyczna w budynkach użyteczności publicznej i sektorze mieszkaniowym</w:t>
      </w:r>
      <w:r w:rsidR="001E3C9A">
        <w:rPr>
          <w:rFonts w:asciiTheme="minorHAnsi" w:hAnsiTheme="minorHAnsi"/>
          <w:b/>
        </w:rPr>
        <w:t>:</w:t>
      </w:r>
    </w:p>
    <w:p w:rsidR="00FB145C" w:rsidRPr="00E969AF" w:rsidRDefault="00971E9D" w:rsidP="00971E9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na oświetlenie energooszczędne i wymianę innych urządzeń stanowiących wyposażenie budynku (np. windy</w:t>
      </w:r>
      <w:r>
        <w:rPr>
          <w:sz w:val="24"/>
          <w:szCs w:val="24"/>
        </w:rPr>
        <w:t>, pompy</w:t>
      </w:r>
      <w:r w:rsidRPr="00E969AF">
        <w:rPr>
          <w:sz w:val="24"/>
          <w:szCs w:val="24"/>
        </w:rPr>
        <w:t>) na energooszczędne</w:t>
      </w:r>
      <w:r w:rsidR="007C427F">
        <w:rPr>
          <w:sz w:val="24"/>
          <w:szCs w:val="24"/>
        </w:rPr>
        <w:t>,</w:t>
      </w:r>
      <w:r w:rsidRPr="00E969AF">
        <w:rPr>
          <w:sz w:val="24"/>
          <w:szCs w:val="24"/>
        </w:rPr>
        <w:t xml:space="preserve"> przekraczające wartość </w:t>
      </w:r>
      <w:r>
        <w:rPr>
          <w:sz w:val="24"/>
          <w:szCs w:val="24"/>
        </w:rPr>
        <w:t>10</w:t>
      </w:r>
      <w:r w:rsidR="009F5CD8">
        <w:rPr>
          <w:sz w:val="24"/>
          <w:szCs w:val="24"/>
        </w:rPr>
        <w:t> </w:t>
      </w:r>
      <w:r w:rsidRPr="00E969AF">
        <w:rPr>
          <w:sz w:val="24"/>
          <w:szCs w:val="24"/>
        </w:rPr>
        <w:t>% wydatków kwalifikowalnych w projekcie.</w:t>
      </w:r>
    </w:p>
    <w:p w:rsidR="008B200F" w:rsidRPr="00CB3CF4" w:rsidRDefault="00971E9D" w:rsidP="00971E9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na podłączenie do sieci ciepłowniczej przewyższające 49% wydatków kwalifikowalnych w projekcie</w:t>
      </w:r>
      <w:r>
        <w:rPr>
          <w:sz w:val="24"/>
          <w:szCs w:val="24"/>
        </w:rPr>
        <w:t>.</w:t>
      </w:r>
      <w:r w:rsidRPr="00D1201E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01846" w:rsidRPr="00C94CC1" w:rsidRDefault="00301846" w:rsidP="00971E9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Wydatki na roboty budowlane nie związane bezpośrednio z poprawą efektywności energetycznej (np. nie wynikające z audytu, dot. remontu sanitariatów, zmiana układu pomieszczeń, wyposażenie pomieszczeń w meble</w:t>
      </w:r>
      <w:r w:rsidR="00EF2191">
        <w:rPr>
          <w:rFonts w:eastAsia="Times New Roman" w:cs="Times New Roman"/>
          <w:sz w:val="24"/>
          <w:szCs w:val="24"/>
          <w:lang w:eastAsia="pl-PL"/>
        </w:rPr>
        <w:t xml:space="preserve">, remont/modernizacja klatki schodowej, remont/modernizacja instalacji </w:t>
      </w:r>
      <w:r w:rsidR="00F25D49">
        <w:rPr>
          <w:rFonts w:eastAsia="Times New Roman" w:cs="Times New Roman"/>
          <w:sz w:val="24"/>
          <w:szCs w:val="24"/>
          <w:lang w:eastAsia="pl-PL"/>
        </w:rPr>
        <w:t xml:space="preserve">w zakresie nie związanym bezpośrednio z poprawą efektywności energetycznej, </w:t>
      </w:r>
      <w:r w:rsidR="00EF2191">
        <w:rPr>
          <w:rFonts w:eastAsia="Times New Roman" w:cs="Times New Roman"/>
          <w:sz w:val="24"/>
          <w:szCs w:val="24"/>
          <w:lang w:eastAsia="pl-PL"/>
        </w:rPr>
        <w:t>zagospodarowanie terenu,</w:t>
      </w:r>
      <w:r w:rsidR="00F25D49">
        <w:rPr>
          <w:rFonts w:eastAsia="Times New Roman" w:cs="Times New Roman"/>
          <w:sz w:val="24"/>
          <w:szCs w:val="24"/>
          <w:lang w:eastAsia="pl-PL"/>
        </w:rPr>
        <w:t xml:space="preserve"> itp.).</w:t>
      </w:r>
    </w:p>
    <w:p w:rsidR="00971E9D" w:rsidRPr="00973C3F" w:rsidRDefault="00971E9D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3.4 Wdrażanie strategii niskoemisyjnych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lastRenderedPageBreak/>
        <w:t xml:space="preserve">Wydatki na </w:t>
      </w:r>
      <w:r w:rsidR="00940A02" w:rsidRPr="00E27118">
        <w:rPr>
          <w:sz w:val="24"/>
          <w:szCs w:val="24"/>
        </w:rPr>
        <w:t>i</w:t>
      </w:r>
      <w:r w:rsidR="00940A02" w:rsidRPr="00E27118">
        <w:rPr>
          <w:rFonts w:cs="Arial"/>
          <w:sz w:val="24"/>
          <w:szCs w:val="24"/>
        </w:rPr>
        <w:t>nwestycje infrastruktury drogowej stanowiące element uzupełniający projektu</w:t>
      </w:r>
      <w:r w:rsidR="00940A02">
        <w:rPr>
          <w:rFonts w:cs="Arial"/>
        </w:rPr>
        <w:t xml:space="preserve"> </w:t>
      </w:r>
      <w:r w:rsidRPr="00E969AF">
        <w:rPr>
          <w:sz w:val="24"/>
          <w:szCs w:val="24"/>
        </w:rPr>
        <w:t>przekraczające wartość 35% wartości wydatków kwalifikowalnych w projekcie.</w:t>
      </w:r>
    </w:p>
    <w:p w:rsidR="00971E9D" w:rsidRDefault="00971E9D" w:rsidP="00971E9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na zakup środków transportu nie spełniających europejskich norm dotyczących komunikacji zbiorowej (np. bezpieczeństwa, środowiskowych, technicznych).</w:t>
      </w:r>
    </w:p>
    <w:p w:rsidR="00971E9D" w:rsidRDefault="00971E9D" w:rsidP="00971E9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Wydatki na energooszczędne oświetlenie miejskie przekraczające wartość 50% wydatków kwalifikowalnych w projekcie.</w:t>
      </w:r>
    </w:p>
    <w:p w:rsidR="00D63456" w:rsidRPr="00866CA4" w:rsidRDefault="00D63456" w:rsidP="00D6345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66CA4">
        <w:rPr>
          <w:sz w:val="24"/>
          <w:szCs w:val="24"/>
        </w:rPr>
        <w:t>Powyższe limity nie podlegają sumowaniu, tzn. elementy uzupełniające muszą zawsze stanowić mniej niż 50% wydatków kwalifikowalnych w projekcie. Jeśli np. projekt składa się z budowy centrum przesiadkowego, drogi prowadzącej do centrum oraz oświetlenia miejskiego na innym obszarze, wówczas wydatki na centrum przesiadkowe powinny stanowić więcej niż 50% wydatków kwalifikowalnych, wydatki na drogę do 35% a pozostałą część wydatki na oświetlenie na innym obszarze, przy czym jeśli oświetlenie drogi jest obligatoryjne (wynika z przepisów prawa) to nie jest traktowane jako element projektu poświęconego oświetleniu lecz drogom).</w:t>
      </w:r>
    </w:p>
    <w:p w:rsidR="00971E9D" w:rsidRPr="00973C3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hAnsiTheme="minorHAnsi"/>
        </w:rPr>
      </w:pPr>
      <w:r w:rsidRPr="00E969AF">
        <w:rPr>
          <w:rFonts w:asciiTheme="minorHAnsi" w:hAnsiTheme="minorHAnsi"/>
          <w:b/>
        </w:rPr>
        <w:t>3.5</w:t>
      </w:r>
      <w:r w:rsidRPr="00E969AF">
        <w:rPr>
          <w:rFonts w:asciiTheme="minorHAnsi" w:hAnsiTheme="minorHAnsi"/>
        </w:rPr>
        <w:t xml:space="preserve"> </w:t>
      </w:r>
      <w:r w:rsidRPr="00E969AF">
        <w:rPr>
          <w:rFonts w:asciiTheme="minorHAnsi" w:hAnsiTheme="minorHAnsi"/>
          <w:b/>
        </w:rPr>
        <w:t xml:space="preserve">Wysokosprawna </w:t>
      </w:r>
      <w:r w:rsidR="001E3C9A">
        <w:rPr>
          <w:rFonts w:asciiTheme="minorHAnsi" w:hAnsiTheme="minorHAnsi"/>
          <w:b/>
        </w:rPr>
        <w:t>Kogeneracja:</w:t>
      </w:r>
    </w:p>
    <w:p w:rsidR="00971E9D" w:rsidRPr="00414C68" w:rsidRDefault="00971E9D" w:rsidP="00971E9D">
      <w:pPr>
        <w:spacing w:line="276" w:lineRule="auto"/>
        <w:ind w:left="728" w:hanging="364"/>
        <w:jc w:val="both"/>
        <w:rPr>
          <w:rFonts w:asciiTheme="minorHAnsi" w:hAnsiTheme="minorHAnsi"/>
          <w:szCs w:val="24"/>
        </w:rPr>
      </w:pPr>
      <w:r w:rsidRPr="00E969AF">
        <w:rPr>
          <w:rFonts w:asciiTheme="minorHAnsi" w:hAnsiTheme="minorHAnsi"/>
        </w:rPr>
        <w:t>•</w:t>
      </w:r>
      <w:r w:rsidRPr="00E969AF">
        <w:rPr>
          <w:rFonts w:asciiTheme="minorHAnsi" w:hAnsiTheme="minorHAnsi"/>
        </w:rPr>
        <w:tab/>
        <w:t>Wydatki poniesione na wykonanie wew</w:t>
      </w:r>
      <w:r>
        <w:rPr>
          <w:rFonts w:asciiTheme="minorHAnsi" w:hAnsiTheme="minorHAnsi"/>
        </w:rPr>
        <w:t xml:space="preserve">nętrznej instalacji odbiorczej </w:t>
      </w:r>
      <w:r w:rsidRPr="00E969AF">
        <w:rPr>
          <w:rFonts w:asciiTheme="minorHAnsi" w:hAnsiTheme="minorHAnsi"/>
        </w:rPr>
        <w:t xml:space="preserve">z wyłączeniem </w:t>
      </w:r>
      <w:r w:rsidRPr="00414C68">
        <w:rPr>
          <w:rFonts w:asciiTheme="minorHAnsi" w:hAnsiTheme="minorHAnsi"/>
          <w:szCs w:val="24"/>
        </w:rPr>
        <w:t xml:space="preserve">sytuacji, w której wytwarzana energia służy m.in. zaspokojeniu potrzeb własnych.  </w:t>
      </w:r>
    </w:p>
    <w:p w:rsidR="00971E9D" w:rsidRPr="00414C68" w:rsidRDefault="00971E9D" w:rsidP="00971E9D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14C68">
        <w:rPr>
          <w:rFonts w:eastAsia="Times New Roman" w:cs="Times New Roman"/>
          <w:sz w:val="24"/>
          <w:szCs w:val="24"/>
          <w:lang w:eastAsia="pl-PL"/>
        </w:rPr>
        <w:t xml:space="preserve">Wydatki na wynagrodzenia będące efektem tworzenia nowych miejsc pracy. </w:t>
      </w:r>
    </w:p>
    <w:p w:rsidR="00414C68" w:rsidRPr="00A25650" w:rsidRDefault="00414C68" w:rsidP="00414C68">
      <w:pPr>
        <w:pStyle w:val="Akapitzlist"/>
        <w:numPr>
          <w:ilvl w:val="0"/>
          <w:numId w:val="2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A25650">
        <w:rPr>
          <w:rFonts w:eastAsia="Times New Roman" w:cs="Times New Roman"/>
          <w:sz w:val="24"/>
          <w:szCs w:val="24"/>
          <w:lang w:eastAsia="pl-PL"/>
        </w:rPr>
        <w:t>Wydatki na działania związane z utrzymaniem funkcjonowania źródła energii oraz zwykła wymiana części, które podlegałyby wymianie w trakcie zwykłego okresu eksploatacji przedmiotowej instalacji</w:t>
      </w:r>
      <w:r w:rsidR="00DB5DB4" w:rsidRPr="00A25650">
        <w:rPr>
          <w:rFonts w:eastAsia="Times New Roman" w:cs="Times New Roman"/>
          <w:sz w:val="24"/>
          <w:szCs w:val="24"/>
          <w:lang w:eastAsia="pl-PL"/>
        </w:rPr>
        <w:t>,</w:t>
      </w:r>
      <w:r w:rsidR="00E72C8B" w:rsidRPr="00A25650">
        <w:rPr>
          <w:rFonts w:eastAsia="Times New Roman" w:cs="Times New Roman"/>
          <w:sz w:val="24"/>
          <w:szCs w:val="24"/>
          <w:lang w:eastAsia="pl-PL"/>
        </w:rPr>
        <w:t xml:space="preserve"> nie prowadzące do wydłużenia przewidywanego okresu </w:t>
      </w:r>
      <w:r w:rsidR="00DB5DB4" w:rsidRPr="00A25650">
        <w:rPr>
          <w:rFonts w:eastAsia="Times New Roman" w:cs="Times New Roman"/>
          <w:sz w:val="24"/>
          <w:szCs w:val="24"/>
          <w:lang w:eastAsia="pl-PL"/>
        </w:rPr>
        <w:t xml:space="preserve">jej </w:t>
      </w:r>
      <w:r w:rsidR="00E72C8B" w:rsidRPr="00A25650">
        <w:rPr>
          <w:rFonts w:eastAsia="Times New Roman" w:cs="Times New Roman"/>
          <w:sz w:val="24"/>
          <w:szCs w:val="24"/>
          <w:lang w:eastAsia="pl-PL"/>
        </w:rPr>
        <w:t>ekonomicznego wykorzystania.</w:t>
      </w:r>
      <w:r w:rsidRPr="00A2565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D5902" w:rsidRPr="00ED5902" w:rsidRDefault="00ED5902" w:rsidP="00414C68">
      <w:pPr>
        <w:pStyle w:val="Akapitzlist"/>
        <w:numPr>
          <w:ilvl w:val="0"/>
          <w:numId w:val="21"/>
        </w:numPr>
        <w:jc w:val="both"/>
        <w:rPr>
          <w:iCs/>
          <w:color w:val="1F497D" w:themeColor="text2"/>
          <w:sz w:val="24"/>
          <w:szCs w:val="24"/>
        </w:rPr>
      </w:pPr>
      <w:r w:rsidRPr="00ED5902">
        <w:rPr>
          <w:sz w:val="24"/>
          <w:szCs w:val="24"/>
        </w:rPr>
        <w:t>Wydatki związane z działaniami informacyjno-promocyjnymi projektu.</w:t>
      </w:r>
    </w:p>
    <w:p w:rsidR="00414C68" w:rsidRPr="00973C3F" w:rsidRDefault="00414C68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4.1 Gospodarka odpadami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Zakup środków transportu, z wyłączeniem specjalistycznych środków transportu odpadów.</w:t>
      </w:r>
    </w:p>
    <w:p w:rsidR="00973C3F" w:rsidRPr="00973C3F" w:rsidRDefault="00971E9D" w:rsidP="00973C3F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poniesione na instalacje służące do odzysku energii z odpadów przekraczające 49% wartości całkowitych wydatków kwalifikowalnych projektu.</w:t>
      </w:r>
    </w:p>
    <w:p w:rsidR="00973C3F" w:rsidRPr="00973C3F" w:rsidRDefault="00973C3F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hAnsiTheme="minorHAnsi"/>
        </w:rPr>
      </w:pPr>
      <w:r w:rsidRPr="00E969AF">
        <w:rPr>
          <w:rFonts w:asciiTheme="minorHAnsi" w:hAnsiTheme="minorHAnsi"/>
          <w:b/>
        </w:rPr>
        <w:t>4.2 Gospodarka</w:t>
      </w:r>
      <w:r w:rsidRPr="00E969AF">
        <w:rPr>
          <w:rFonts w:asciiTheme="minorHAnsi" w:eastAsia="TTE1ABE920t00" w:hAnsiTheme="minorHAnsi"/>
          <w:b/>
        </w:rPr>
        <w:t xml:space="preserve"> wodno-ściekowa</w:t>
      </w:r>
      <w:r w:rsidR="001E3C9A">
        <w:rPr>
          <w:rFonts w:asciiTheme="minorHAnsi" w:eastAsia="TTE1ABE920t00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eastAsia="pl-PL"/>
        </w:rPr>
      </w:pPr>
      <w:r w:rsidRPr="00E969AF">
        <w:rPr>
          <w:sz w:val="24"/>
          <w:szCs w:val="24"/>
        </w:rPr>
        <w:t>Zakup środków transportu, z wyłączeniem specjalistycznych środków transportu niezbędnych do prawidłowego funkcjonowania</w:t>
      </w:r>
      <w:r w:rsidR="009F5CD8">
        <w:rPr>
          <w:sz w:val="24"/>
          <w:szCs w:val="24"/>
        </w:rPr>
        <w:t xml:space="preserve"> </w:t>
      </w:r>
      <w:r w:rsidRPr="00E969AF">
        <w:rPr>
          <w:sz w:val="24"/>
          <w:szCs w:val="24"/>
        </w:rPr>
        <w:t>gospodarki wodno-ściekowej w</w:t>
      </w:r>
      <w:r>
        <w:t> </w:t>
      </w:r>
      <w:r w:rsidRPr="0021418A">
        <w:rPr>
          <w:sz w:val="24"/>
          <w:szCs w:val="24"/>
        </w:rPr>
        <w:t xml:space="preserve">aglomeracjach </w:t>
      </w:r>
      <w:r w:rsidRPr="0021418A">
        <w:rPr>
          <w:rFonts w:cs="Arial"/>
          <w:sz w:val="24"/>
          <w:szCs w:val="24"/>
        </w:rPr>
        <w:t>uwzględnionych w </w:t>
      </w:r>
      <w:r w:rsidRPr="0021418A">
        <w:rPr>
          <w:sz w:val="24"/>
          <w:szCs w:val="24"/>
        </w:rPr>
        <w:t xml:space="preserve">Krajowym Programie Oczyszczania Ścieków Komunalnych (KPOŚK) </w:t>
      </w:r>
      <w:r>
        <w:rPr>
          <w:sz w:val="24"/>
          <w:szCs w:val="24"/>
        </w:rPr>
        <w:t>–</w:t>
      </w:r>
      <w:r w:rsidRPr="0021418A">
        <w:rPr>
          <w:sz w:val="24"/>
          <w:szCs w:val="24"/>
        </w:rPr>
        <w:t xml:space="preserve"> od 2 do 10 tys. RLM</w:t>
      </w:r>
      <w:r w:rsidRPr="00E969AF">
        <w:rPr>
          <w:sz w:val="24"/>
          <w:szCs w:val="24"/>
        </w:rPr>
        <w:t>.</w:t>
      </w:r>
    </w:p>
    <w:p w:rsidR="00971E9D" w:rsidRPr="0021418A" w:rsidRDefault="00971E9D" w:rsidP="00971E9D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eastAsia="pl-PL"/>
        </w:rPr>
      </w:pPr>
      <w:r w:rsidRPr="00E969AF">
        <w:rPr>
          <w:sz w:val="24"/>
          <w:szCs w:val="24"/>
        </w:rPr>
        <w:t xml:space="preserve">Wydatki na infrastrukturę wodociągową stanowiące powyżej 15% kosztów kwalifikowalnych </w:t>
      </w:r>
      <w:r>
        <w:rPr>
          <w:sz w:val="24"/>
          <w:szCs w:val="24"/>
        </w:rPr>
        <w:t>całkowitych</w:t>
      </w:r>
      <w:r w:rsidRPr="00E969AF">
        <w:rPr>
          <w:sz w:val="24"/>
          <w:szCs w:val="24"/>
        </w:rPr>
        <w:t xml:space="preserve"> projektu regulującego gospodarkę wodno</w:t>
      </w:r>
      <w:r>
        <w:rPr>
          <w:sz w:val="24"/>
          <w:szCs w:val="24"/>
        </w:rPr>
        <w:t>-</w:t>
      </w:r>
      <w:r w:rsidRPr="00E969AF">
        <w:rPr>
          <w:sz w:val="24"/>
          <w:szCs w:val="24"/>
        </w:rPr>
        <w:t>ściekową</w:t>
      </w:r>
      <w:r>
        <w:rPr>
          <w:sz w:val="24"/>
          <w:szCs w:val="24"/>
        </w:rPr>
        <w:t xml:space="preserve"> </w:t>
      </w:r>
      <w:r w:rsidRPr="0021418A">
        <w:rPr>
          <w:sz w:val="24"/>
          <w:szCs w:val="24"/>
        </w:rPr>
        <w:t xml:space="preserve">na </w:t>
      </w:r>
      <w:r w:rsidRPr="0021418A">
        <w:rPr>
          <w:sz w:val="24"/>
          <w:szCs w:val="24"/>
        </w:rPr>
        <w:lastRenderedPageBreak/>
        <w:t xml:space="preserve">terenie aglomeracji </w:t>
      </w:r>
      <w:r w:rsidRPr="0021418A">
        <w:rPr>
          <w:rFonts w:cs="Arial"/>
          <w:sz w:val="24"/>
          <w:szCs w:val="24"/>
        </w:rPr>
        <w:t>uwzględnionej w </w:t>
      </w:r>
      <w:r w:rsidRPr="0021418A">
        <w:rPr>
          <w:sz w:val="24"/>
          <w:szCs w:val="24"/>
        </w:rPr>
        <w:t xml:space="preserve">Krajowym Programie Oczyszczania Ścieków Komunalnych (KPOŚK) </w:t>
      </w:r>
      <w:r>
        <w:rPr>
          <w:sz w:val="24"/>
          <w:szCs w:val="24"/>
        </w:rPr>
        <w:t>–</w:t>
      </w:r>
      <w:r w:rsidRPr="0021418A">
        <w:rPr>
          <w:sz w:val="24"/>
          <w:szCs w:val="24"/>
        </w:rPr>
        <w:t xml:space="preserve"> od 2 do 10 tys. RLM.</w:t>
      </w:r>
    </w:p>
    <w:p w:rsidR="00971E9D" w:rsidRPr="0021418A" w:rsidRDefault="00971E9D" w:rsidP="00973C3F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cs="Times New Roman"/>
          <w:sz w:val="24"/>
          <w:szCs w:val="24"/>
          <w:lang w:eastAsia="pl-PL"/>
        </w:rPr>
      </w:pPr>
      <w:r w:rsidRPr="0021418A">
        <w:rPr>
          <w:rFonts w:cs="Times New Roman"/>
          <w:sz w:val="24"/>
          <w:szCs w:val="24"/>
          <w:lang w:eastAsia="pl-PL"/>
        </w:rPr>
        <w:t>Wydatki na infrastrukturę wodno</w:t>
      </w:r>
      <w:r>
        <w:rPr>
          <w:rFonts w:cs="Times New Roman"/>
          <w:sz w:val="24"/>
          <w:szCs w:val="24"/>
          <w:lang w:eastAsia="pl-PL"/>
        </w:rPr>
        <w:t>-</w:t>
      </w:r>
      <w:r w:rsidRPr="0021418A">
        <w:rPr>
          <w:rFonts w:cs="Times New Roman"/>
          <w:sz w:val="24"/>
          <w:szCs w:val="24"/>
          <w:lang w:eastAsia="pl-PL"/>
        </w:rPr>
        <w:t>kanalizacyjną zlokalizowaną poza granicami aglomeracji uwzględnionej w Krajowym Programie Oczyszczania Ścieków Komunalnyc</w:t>
      </w:r>
      <w:r>
        <w:rPr>
          <w:rFonts w:cs="Times New Roman"/>
          <w:sz w:val="24"/>
          <w:szCs w:val="24"/>
          <w:lang w:eastAsia="pl-PL"/>
        </w:rPr>
        <w:t>h (KPOŚK) – od 2 do 10 tys. RLM.</w:t>
      </w:r>
    </w:p>
    <w:p w:rsidR="00971E9D" w:rsidRPr="00E969AF" w:rsidRDefault="00971E9D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4.3 Dziedzictwo kulturowe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 xml:space="preserve">Wydatki związane z termomodernizacją, przekraczające 49% wartości całkowitych wydatków kwalifikowalnych projektu. </w:t>
      </w:r>
    </w:p>
    <w:p w:rsidR="00971E9D" w:rsidRPr="00E969AF" w:rsidRDefault="00971E9D" w:rsidP="00971E9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Zakup (ruchomych i nieruchomych) dzieł sztuki, w tym m.in. nabycie praw do nich.</w:t>
      </w:r>
    </w:p>
    <w:p w:rsidR="00971E9D" w:rsidRPr="00E969AF" w:rsidRDefault="00971E9D" w:rsidP="00971E9D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  <w:lang w:eastAsia="pl-PL"/>
        </w:rPr>
      </w:pPr>
      <w:r w:rsidRPr="00E969AF">
        <w:rPr>
          <w:sz w:val="24"/>
          <w:szCs w:val="24"/>
        </w:rPr>
        <w:t>Wydatki na infrastrukturę towarzyszącą (np. drogi, chodniki, parkingi) stanowiące powyżej 15% całkowitych kosztów kwalifikowalnych projektu.</w:t>
      </w:r>
      <w:r w:rsidRPr="00E969AF">
        <w:rPr>
          <w:rFonts w:cs="Times New Roman"/>
          <w:sz w:val="24"/>
          <w:szCs w:val="24"/>
          <w:lang w:eastAsia="pl-PL"/>
        </w:rPr>
        <w:t xml:space="preserve"> </w:t>
      </w:r>
    </w:p>
    <w:p w:rsidR="00971E9D" w:rsidRPr="00973C3F" w:rsidRDefault="00971E9D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after="200" w:line="276" w:lineRule="auto"/>
        <w:jc w:val="both"/>
        <w:rPr>
          <w:rFonts w:asciiTheme="minorHAnsi" w:hAnsiTheme="minorHAnsi" w:cstheme="minorBidi"/>
          <w:b/>
        </w:rPr>
      </w:pPr>
      <w:r w:rsidRPr="00E969AF">
        <w:rPr>
          <w:rFonts w:asciiTheme="minorHAnsi" w:hAnsiTheme="minorHAnsi" w:cstheme="minorBidi"/>
          <w:b/>
        </w:rPr>
        <w:t>4.4 Ochrona i udostępnianie zasobów przyrodniczych</w:t>
      </w:r>
      <w:r w:rsidR="001E3C9A">
        <w:rPr>
          <w:rFonts w:asciiTheme="minorHAnsi" w:hAnsiTheme="minorHAnsi" w:cstheme="minorBidi"/>
          <w:b/>
        </w:rPr>
        <w:t>:</w:t>
      </w:r>
    </w:p>
    <w:p w:rsidR="00973C3F" w:rsidRDefault="00971E9D" w:rsidP="00973C3F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na wyposażenie parków krajobrazowych i rezerwatów nie przyczyniające się bezpośrednio do czynnej ochrony przyrody.</w:t>
      </w:r>
    </w:p>
    <w:p w:rsidR="00973C3F" w:rsidRPr="00973C3F" w:rsidRDefault="00973C3F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4.5 Bezpieczeństwo</w:t>
      </w:r>
      <w:r w:rsidR="00897C87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 xml:space="preserve">W przypadku realizacji projektów na potrzeby systemu monitoringu i zagrożeń </w:t>
      </w:r>
      <w:r>
        <w:rPr>
          <w:sz w:val="24"/>
          <w:szCs w:val="24"/>
        </w:rPr>
        <w:t>–</w:t>
      </w:r>
      <w:r w:rsidRPr="00E969AF">
        <w:rPr>
          <w:sz w:val="24"/>
          <w:szCs w:val="24"/>
        </w:rPr>
        <w:t xml:space="preserve"> wydatki na zakup używanego sprzętu i wyposażenia.</w:t>
      </w:r>
    </w:p>
    <w:p w:rsidR="00971E9D" w:rsidRDefault="00971E9D" w:rsidP="00971E9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 xml:space="preserve">W przypadku realizacji projektów na potrzeby służb ratowniczych </w:t>
      </w:r>
      <w:r>
        <w:rPr>
          <w:sz w:val="24"/>
          <w:szCs w:val="24"/>
        </w:rPr>
        <w:t>–</w:t>
      </w:r>
      <w:r w:rsidRPr="00E969AF">
        <w:rPr>
          <w:sz w:val="24"/>
          <w:szCs w:val="24"/>
        </w:rPr>
        <w:t xml:space="preserve"> wydatki na zakup używanego sprzętu i wyposażenia</w:t>
      </w:r>
      <w:r w:rsidR="000E0794">
        <w:rPr>
          <w:sz w:val="24"/>
          <w:szCs w:val="24"/>
        </w:rPr>
        <w:t xml:space="preserve"> oraz wydatki</w:t>
      </w:r>
      <w:r w:rsidR="000E0794" w:rsidRPr="000E0794">
        <w:rPr>
          <w:sz w:val="24"/>
          <w:szCs w:val="24"/>
        </w:rPr>
        <w:t xml:space="preserve"> </w:t>
      </w:r>
      <w:r w:rsidR="000E0794">
        <w:rPr>
          <w:sz w:val="24"/>
          <w:szCs w:val="24"/>
        </w:rPr>
        <w:t xml:space="preserve">na budowę/przebudowę, remont, itp. infrastruktury niezbędnej do przechowywanie zakupionego w ramach projektu sprzętu, </w:t>
      </w:r>
      <w:r w:rsidR="000E0794" w:rsidRPr="00E969AF">
        <w:rPr>
          <w:sz w:val="24"/>
          <w:szCs w:val="24"/>
        </w:rPr>
        <w:t xml:space="preserve">stanowiące powyżej </w:t>
      </w:r>
      <w:r w:rsidR="000E0794">
        <w:rPr>
          <w:sz w:val="24"/>
          <w:szCs w:val="24"/>
        </w:rPr>
        <w:t>2</w:t>
      </w:r>
      <w:r w:rsidR="000E0794" w:rsidRPr="00E969AF">
        <w:rPr>
          <w:sz w:val="24"/>
          <w:szCs w:val="24"/>
        </w:rPr>
        <w:t>5% całkowitych kosztów kwalifikowalnych projektu.</w:t>
      </w:r>
    </w:p>
    <w:p w:rsidR="00973C3F" w:rsidRPr="00973C3F" w:rsidRDefault="00973C3F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5.1 Drogowa dostępność transportowa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na zakup (w tym leasing) sprzętu służącego do utrzymania lub remontu dróg.</w:t>
      </w:r>
    </w:p>
    <w:p w:rsidR="00971E9D" w:rsidRPr="00E969AF" w:rsidRDefault="00971E9D" w:rsidP="00971E9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 xml:space="preserve">W przypadku projektów dotyczących budowy i przebudowy dróg </w:t>
      </w:r>
      <w:r>
        <w:rPr>
          <w:sz w:val="24"/>
          <w:szCs w:val="24"/>
        </w:rPr>
        <w:t xml:space="preserve">niektóre </w:t>
      </w:r>
      <w:r w:rsidRPr="00E969AF">
        <w:rPr>
          <w:sz w:val="24"/>
          <w:szCs w:val="24"/>
        </w:rPr>
        <w:t>wydatki na tzw. infrastrukturę towarzyszącą, stanowiącą wyposażenie techniczne dróg</w:t>
      </w:r>
      <w:r w:rsidRPr="00E969AF">
        <w:rPr>
          <w:rStyle w:val="Odwoanieprzypisudolnego"/>
          <w:sz w:val="24"/>
          <w:szCs w:val="24"/>
        </w:rPr>
        <w:footnoteReference w:id="4"/>
      </w:r>
      <w:r w:rsidRPr="00E969AF">
        <w:rPr>
          <w:sz w:val="24"/>
          <w:szCs w:val="24"/>
        </w:rPr>
        <w:t xml:space="preserve"> </w:t>
      </w:r>
      <w:r>
        <w:rPr>
          <w:sz w:val="24"/>
          <w:szCs w:val="24"/>
        </w:rPr>
        <w:t>można uznać za kwalifikowalne zgodnie z poniższymi regułami:</w:t>
      </w:r>
    </w:p>
    <w:p w:rsidR="00971E9D" w:rsidRPr="00E969AF" w:rsidRDefault="00971E9D" w:rsidP="00971E9D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urządzenia odwadniające oraz odprowadzające wodę (np. rowy odwadniające, urządzenia ś</w:t>
      </w:r>
      <w:r>
        <w:rPr>
          <w:rFonts w:asciiTheme="minorHAnsi" w:hAnsiTheme="minorHAnsi"/>
        </w:rPr>
        <w:t>ciekowe, kanalizacja deszczowa) – stanowią w całości wydatek kwalifikowalny;</w:t>
      </w:r>
    </w:p>
    <w:p w:rsidR="00971E9D" w:rsidRPr="00E969AF" w:rsidRDefault="00971E9D" w:rsidP="00971E9D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>urządzenia oświetleniowe</w:t>
      </w:r>
      <w:r>
        <w:rPr>
          <w:rFonts w:asciiTheme="minorHAnsi" w:hAnsiTheme="minorHAnsi"/>
        </w:rPr>
        <w:t xml:space="preserve"> – stanowią w całości wydatek kwalifikowalny</w:t>
      </w:r>
      <w:r w:rsidR="009F5CD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jeśli obowiązek ich budowy lub instalacji wynika z przepisów prawa</w:t>
      </w:r>
      <w:r w:rsidRPr="00E969A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w przeciwnym razie mogą stanowić wydatek kwalifikowalny do wysokości 25% wydatków kwalifikowalnych w projekcie;</w:t>
      </w:r>
    </w:p>
    <w:p w:rsidR="00971E9D" w:rsidRPr="00E969AF" w:rsidRDefault="00971E9D" w:rsidP="00971E9D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lastRenderedPageBreak/>
        <w:t>obiekty i urządzenia obsługi uczestników ruchu</w:t>
      </w:r>
      <w:r w:rsidR="009F5CD8">
        <w:rPr>
          <w:rFonts w:asciiTheme="minorHAnsi" w:hAnsiTheme="minorHAnsi"/>
        </w:rPr>
        <w:t>,</w:t>
      </w:r>
      <w:r w:rsidRPr="00E969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takie jak </w:t>
      </w:r>
      <w:r w:rsidRPr="00E969AF">
        <w:rPr>
          <w:rFonts w:asciiTheme="minorHAnsi" w:hAnsiTheme="minorHAnsi"/>
        </w:rPr>
        <w:t>zatoki postojowe, zatoki autobusowe, perony tramwajowe, pętle autobusowe, place do zawracania, mijanki, przejścia dla pieszych</w:t>
      </w:r>
      <w:r>
        <w:rPr>
          <w:rFonts w:asciiTheme="minorHAnsi" w:hAnsiTheme="minorHAnsi"/>
        </w:rPr>
        <w:t>,</w:t>
      </w:r>
      <w:r w:rsidRPr="00E969AF">
        <w:rPr>
          <w:rFonts w:asciiTheme="minorHAnsi" w:hAnsiTheme="minorHAnsi"/>
        </w:rPr>
        <w:t xml:space="preserve"> punkty kontroli samochodów ciężarowych</w:t>
      </w:r>
      <w:r>
        <w:rPr>
          <w:rFonts w:asciiTheme="minorHAnsi" w:hAnsiTheme="minorHAnsi"/>
        </w:rPr>
        <w:t xml:space="preserve">, </w:t>
      </w:r>
      <w:r w:rsidRPr="001243F6">
        <w:rPr>
          <w:rFonts w:asciiTheme="minorHAnsi" w:hAnsiTheme="minorHAnsi"/>
        </w:rPr>
        <w:t>miejsc</w:t>
      </w:r>
      <w:r>
        <w:rPr>
          <w:rFonts w:asciiTheme="minorHAnsi" w:hAnsiTheme="minorHAnsi"/>
        </w:rPr>
        <w:t>a</w:t>
      </w:r>
      <w:r w:rsidRPr="001243F6">
        <w:rPr>
          <w:rFonts w:asciiTheme="minorHAnsi" w:hAnsiTheme="minorHAnsi"/>
        </w:rPr>
        <w:t xml:space="preserve"> obsługi podróżnych</w:t>
      </w:r>
      <w:r>
        <w:rPr>
          <w:rFonts w:asciiTheme="minorHAnsi" w:hAnsiTheme="minorHAnsi"/>
        </w:rPr>
        <w:t xml:space="preserve"> typu I o funkcji wypoczynkowej (</w:t>
      </w:r>
      <w:r w:rsidRPr="00E969AF">
        <w:rPr>
          <w:rFonts w:asciiTheme="minorHAnsi" w:hAnsiTheme="minorHAnsi"/>
        </w:rPr>
        <w:t>MOP</w:t>
      </w:r>
      <w:r w:rsidR="009F5CD8">
        <w:rPr>
          <w:rFonts w:asciiTheme="minorHAnsi" w:hAnsiTheme="minorHAnsi"/>
        </w:rPr>
        <w:t>-</w:t>
      </w:r>
      <w:r>
        <w:rPr>
          <w:rFonts w:asciiTheme="minorHAnsi" w:hAnsiTheme="minorHAnsi"/>
        </w:rPr>
        <w:t>I</w:t>
      </w:r>
      <w:r>
        <w:rPr>
          <w:rStyle w:val="Odwoanieprzypisudolnego"/>
          <w:rFonts w:asciiTheme="minorHAnsi" w:hAnsiTheme="minorHAnsi"/>
        </w:rPr>
        <w:footnoteReference w:id="5"/>
      </w:r>
      <w:r>
        <w:rPr>
          <w:rFonts w:asciiTheme="minorHAnsi" w:hAnsiTheme="minorHAnsi"/>
        </w:rPr>
        <w:t>)</w:t>
      </w:r>
      <w:r w:rsidRPr="00E969A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mogą stanowić wydatek kwalifikowalny do wysokości </w:t>
      </w:r>
      <w:r w:rsidR="009F5CD8">
        <w:rPr>
          <w:rFonts w:asciiTheme="minorHAnsi" w:hAnsiTheme="minorHAnsi"/>
        </w:rPr>
        <w:t>25% wydatków kwalifikowalnych w </w:t>
      </w:r>
      <w:r>
        <w:rPr>
          <w:rFonts w:asciiTheme="minorHAnsi" w:hAnsiTheme="minorHAnsi"/>
        </w:rPr>
        <w:t>projekcie. Wydatki na MOP typu II i III</w:t>
      </w:r>
      <w:r>
        <w:rPr>
          <w:rStyle w:val="Odwoanieprzypisudolnego"/>
          <w:rFonts w:asciiTheme="minorHAnsi" w:hAnsiTheme="minorHAnsi"/>
        </w:rPr>
        <w:footnoteReference w:id="6"/>
      </w:r>
      <w:r>
        <w:rPr>
          <w:rFonts w:asciiTheme="minorHAnsi" w:hAnsiTheme="minorHAnsi"/>
        </w:rPr>
        <w:t xml:space="preserve"> o funkcji wypoczynkowo-usługowej mogą stanowić wydatek kwalifikowalny tylko w części wypoczynkowej odpowiadającej MOP</w:t>
      </w:r>
      <w:r w:rsidR="009F5CD8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I do wysokości </w:t>
      </w:r>
      <w:r w:rsidR="009F5CD8">
        <w:rPr>
          <w:rFonts w:asciiTheme="minorHAnsi" w:hAnsiTheme="minorHAnsi"/>
        </w:rPr>
        <w:t>25% wydatków kwalifikowalnych w </w:t>
      </w:r>
      <w:r>
        <w:rPr>
          <w:rFonts w:asciiTheme="minorHAnsi" w:hAnsiTheme="minorHAnsi"/>
        </w:rPr>
        <w:t>projekcie. Wydatki na budowę miejsc poboru opłat</w:t>
      </w:r>
      <w:r w:rsidRPr="00E969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E969AF">
        <w:rPr>
          <w:rFonts w:asciiTheme="minorHAnsi" w:hAnsiTheme="minorHAnsi"/>
        </w:rPr>
        <w:t>MPO</w:t>
      </w:r>
      <w:r>
        <w:rPr>
          <w:rFonts w:asciiTheme="minorHAnsi" w:hAnsiTheme="minorHAnsi"/>
        </w:rPr>
        <w:t>) stanowią wydatek niekwalifikowalny;</w:t>
      </w:r>
    </w:p>
    <w:p w:rsidR="00971E9D" w:rsidRPr="00E969AF" w:rsidRDefault="00971E9D" w:rsidP="00971E9D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jc w:val="both"/>
        <w:rPr>
          <w:rFonts w:asciiTheme="minorHAnsi" w:hAnsiTheme="minorHAnsi"/>
        </w:rPr>
      </w:pPr>
      <w:r w:rsidRPr="00E969AF">
        <w:rPr>
          <w:rFonts w:asciiTheme="minorHAnsi" w:hAnsiTheme="minorHAnsi"/>
        </w:rPr>
        <w:t xml:space="preserve">urządzenia techniczne drogi (np. bariery ochronne, ogrodzenie drogi i inne urządzenia zabezpieczające przed wkroczeniem zwierząt na drogę, osłony </w:t>
      </w:r>
      <w:proofErr w:type="spellStart"/>
      <w:r w:rsidRPr="00E969AF">
        <w:rPr>
          <w:rFonts w:asciiTheme="minorHAnsi" w:hAnsiTheme="minorHAnsi"/>
        </w:rPr>
        <w:t>przeciwolśnieniowe</w:t>
      </w:r>
      <w:proofErr w:type="spellEnd"/>
      <w:r w:rsidRPr="00E969AF">
        <w:rPr>
          <w:rFonts w:asciiTheme="minorHAnsi" w:hAnsiTheme="minorHAnsi"/>
        </w:rPr>
        <w:t>, osłon</w:t>
      </w:r>
      <w:r>
        <w:rPr>
          <w:rFonts w:asciiTheme="minorHAnsi" w:hAnsiTheme="minorHAnsi"/>
        </w:rPr>
        <w:t>y przeciwwietrzne) mogą stanowić wydatek kwalifikowalny do wysokości 25% wydatków kwalifikowalnych w projekcie.</w:t>
      </w:r>
    </w:p>
    <w:p w:rsidR="00971E9D" w:rsidRPr="00973C3F" w:rsidRDefault="00971E9D" w:rsidP="00973C3F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Limity z punktów 2,</w:t>
      </w:r>
      <w:r w:rsidR="009F5CD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 i 4 liczone są łącznie, tz</w:t>
      </w:r>
      <w:r w:rsidR="009F5CD8">
        <w:rPr>
          <w:rFonts w:asciiTheme="minorHAnsi" w:hAnsiTheme="minorHAnsi"/>
        </w:rPr>
        <w:t>n. wydatki w tych kategoriach w </w:t>
      </w:r>
      <w:r>
        <w:rPr>
          <w:rFonts w:asciiTheme="minorHAnsi" w:hAnsiTheme="minorHAnsi"/>
        </w:rPr>
        <w:t>sumie nie mogą przekroczyć 25% wydatków kwalifikowalnych w projekcie.</w:t>
      </w:r>
    </w:p>
    <w:p w:rsidR="00971E9D" w:rsidRDefault="00971E9D" w:rsidP="00971E9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:rsidR="009F5CD8" w:rsidRPr="00973C3F" w:rsidRDefault="009F5CD8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5.2 System transportu kolejowego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 xml:space="preserve">Wydatki na remont i bieżące utrzymanie infrastruktury kolejowej. </w:t>
      </w:r>
    </w:p>
    <w:p w:rsidR="00971E9D" w:rsidRPr="00326681" w:rsidRDefault="00971E9D" w:rsidP="00971E9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E969AF">
        <w:rPr>
          <w:sz w:val="24"/>
          <w:szCs w:val="24"/>
        </w:rPr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:rsidR="00971E9D" w:rsidRDefault="00971E9D" w:rsidP="00971E9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Wydatki na infrastrukturę poza obszarem dworca lub przystanku kolejowego, która nie służy bezpośrednio podróżnym korzystającym z połączeń kolejowych na linii, którą obsługuje dworzec lub przystanek kolejowy.</w:t>
      </w:r>
    </w:p>
    <w:p w:rsidR="00971E9D" w:rsidRDefault="00971E9D" w:rsidP="00971E9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Wydatki związane z p</w:t>
      </w:r>
      <w:r w:rsidRPr="004C0C3C">
        <w:rPr>
          <w:sz w:val="24"/>
          <w:szCs w:val="24"/>
        </w:rPr>
        <w:t>rzedsięwzięcia</w:t>
      </w:r>
      <w:r>
        <w:rPr>
          <w:sz w:val="24"/>
          <w:szCs w:val="24"/>
        </w:rPr>
        <w:t>mi</w:t>
      </w:r>
      <w:r w:rsidRPr="004C0C3C">
        <w:rPr>
          <w:sz w:val="24"/>
          <w:szCs w:val="24"/>
        </w:rPr>
        <w:t xml:space="preserve"> związane </w:t>
      </w:r>
      <w:r>
        <w:rPr>
          <w:sz w:val="24"/>
          <w:szCs w:val="24"/>
        </w:rPr>
        <w:t xml:space="preserve">z podniesieniem bezpieczeństwa przekraczające </w:t>
      </w:r>
      <w:r w:rsidR="007C03EA">
        <w:rPr>
          <w:sz w:val="24"/>
          <w:szCs w:val="24"/>
        </w:rPr>
        <w:t>2</w:t>
      </w:r>
      <w:r w:rsidRPr="004C0C3C">
        <w:rPr>
          <w:sz w:val="24"/>
          <w:szCs w:val="24"/>
        </w:rPr>
        <w:t>5% wartości wydatków kwalifikowalnych w projekcie</w:t>
      </w:r>
      <w:r>
        <w:rPr>
          <w:sz w:val="24"/>
          <w:szCs w:val="24"/>
        </w:rPr>
        <w:t>.</w:t>
      </w:r>
    </w:p>
    <w:p w:rsidR="007C03EA" w:rsidRDefault="007C03EA" w:rsidP="00971E9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:rsidR="00973C3F" w:rsidRPr="00973C3F" w:rsidRDefault="00973C3F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  <w:r w:rsidRPr="00E969AF">
        <w:rPr>
          <w:rFonts w:asciiTheme="minorHAnsi" w:hAnsiTheme="minorHAnsi"/>
          <w:b/>
        </w:rPr>
        <w:t>6.1 I</w:t>
      </w:r>
      <w:r w:rsidR="00C30EA4">
        <w:rPr>
          <w:rFonts w:asciiTheme="minorHAnsi" w:hAnsiTheme="minorHAnsi"/>
          <w:b/>
        </w:rPr>
        <w:t>nwestycje w i</w:t>
      </w:r>
      <w:r w:rsidRPr="00E969AF">
        <w:rPr>
          <w:rFonts w:asciiTheme="minorHAnsi" w:hAnsiTheme="minorHAnsi"/>
          <w:b/>
        </w:rPr>
        <w:t>nfrastruktur</w:t>
      </w:r>
      <w:r w:rsidR="00C30EA4">
        <w:rPr>
          <w:rFonts w:asciiTheme="minorHAnsi" w:hAnsiTheme="minorHAnsi"/>
          <w:b/>
        </w:rPr>
        <w:t>ę</w:t>
      </w:r>
      <w:r w:rsidRPr="00E969AF">
        <w:rPr>
          <w:rFonts w:asciiTheme="minorHAnsi" w:hAnsiTheme="minorHAnsi"/>
          <w:b/>
        </w:rPr>
        <w:t xml:space="preserve"> społeczn</w:t>
      </w:r>
      <w:r w:rsidR="00C30EA4">
        <w:rPr>
          <w:rFonts w:asciiTheme="minorHAnsi" w:hAnsiTheme="minorHAnsi"/>
          <w:b/>
        </w:rPr>
        <w:t>ą</w:t>
      </w:r>
      <w:r w:rsidR="001E3C9A">
        <w:rPr>
          <w:rFonts w:asciiTheme="minorHAnsi" w:hAnsiTheme="minorHAnsi"/>
          <w:b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na inwestycje w części związanej z prowadzeniem działalności administracyjnej we wspieranych w projekcie budynkach</w:t>
      </w:r>
      <w:r w:rsidRPr="00E969AF">
        <w:rPr>
          <w:sz w:val="24"/>
          <w:szCs w:val="24"/>
          <w:vertAlign w:val="superscript"/>
        </w:rPr>
        <w:footnoteReference w:id="7"/>
      </w:r>
      <w:r>
        <w:rPr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 xml:space="preserve">Wydatki na inwestycje w części związanej z prowadzeniem działalności gospodarczej </w:t>
      </w:r>
      <w:r>
        <w:rPr>
          <w:sz w:val="24"/>
          <w:szCs w:val="24"/>
        </w:rPr>
        <w:t xml:space="preserve">nie związanej celem projektu </w:t>
      </w:r>
      <w:r w:rsidRPr="00E969AF">
        <w:rPr>
          <w:sz w:val="24"/>
          <w:szCs w:val="24"/>
        </w:rPr>
        <w:t>we wspieranych w projekcie budynkach</w:t>
      </w:r>
      <w:r w:rsidRPr="00E969AF">
        <w:rPr>
          <w:sz w:val="24"/>
          <w:szCs w:val="24"/>
          <w:vertAlign w:val="superscript"/>
        </w:rPr>
        <w:footnoteReference w:id="8"/>
      </w:r>
      <w:r w:rsidR="00052139">
        <w:rPr>
          <w:sz w:val="24"/>
          <w:szCs w:val="24"/>
        </w:rPr>
        <w:t xml:space="preserve"> </w:t>
      </w:r>
      <w:r w:rsidR="00052139" w:rsidRPr="00E969AF">
        <w:rPr>
          <w:sz w:val="24"/>
          <w:szCs w:val="24"/>
        </w:rPr>
        <w:t>–</w:t>
      </w:r>
      <w:r w:rsidR="00052139">
        <w:rPr>
          <w:sz w:val="24"/>
          <w:szCs w:val="24"/>
        </w:rPr>
        <w:t xml:space="preserve"> w schematach 6.1 C, D, E</w:t>
      </w:r>
      <w:r>
        <w:rPr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na termomodernizację przekraczające 49% wartości całkowitych wydatków kwalifikowalnych</w:t>
      </w:r>
      <w:r>
        <w:rPr>
          <w:sz w:val="24"/>
          <w:szCs w:val="24"/>
        </w:rPr>
        <w:t xml:space="preserve"> na pojedynczy budynek w</w:t>
      </w:r>
      <w:r w:rsidRPr="00E969AF">
        <w:rPr>
          <w:sz w:val="24"/>
          <w:szCs w:val="24"/>
        </w:rPr>
        <w:t xml:space="preserve"> </w:t>
      </w:r>
      <w:r>
        <w:rPr>
          <w:sz w:val="24"/>
          <w:szCs w:val="24"/>
        </w:rPr>
        <w:t>projekcie.</w:t>
      </w:r>
    </w:p>
    <w:p w:rsidR="00971E9D" w:rsidRPr="00E969AF" w:rsidRDefault="00971E9D" w:rsidP="00971E9D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 xml:space="preserve">Wydatki na zagospodarowanie otoczenia </w:t>
      </w:r>
      <w:r>
        <w:rPr>
          <w:sz w:val="24"/>
          <w:szCs w:val="24"/>
        </w:rPr>
        <w:t>w zieleń i drobną architekturę przekraczające</w:t>
      </w:r>
      <w:r w:rsidRPr="00E969AF">
        <w:rPr>
          <w:sz w:val="24"/>
          <w:szCs w:val="24"/>
        </w:rPr>
        <w:t xml:space="preserve"> 15 % wartości wydatków kwalifikowalnych – dotyczy to schematów 6.1 A, B, C</w:t>
      </w:r>
      <w:r>
        <w:rPr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na zagospodarowanie otoczenia w</w:t>
      </w:r>
      <w:r w:rsidR="009F5CD8">
        <w:rPr>
          <w:sz w:val="24"/>
          <w:szCs w:val="24"/>
        </w:rPr>
        <w:t xml:space="preserve"> zieleń i drobną architekturę w </w:t>
      </w:r>
      <w:r w:rsidRPr="00E969AF">
        <w:rPr>
          <w:sz w:val="24"/>
          <w:szCs w:val="24"/>
        </w:rPr>
        <w:t>schematach 6.1 D i 6.1 E</w:t>
      </w:r>
      <w:r>
        <w:rPr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dotyczące infrastruktury przedszkoli</w:t>
      </w:r>
      <w:r w:rsidRPr="00E969AF">
        <w:rPr>
          <w:rStyle w:val="Odwoanieprzypisudolnego"/>
          <w:sz w:val="24"/>
          <w:szCs w:val="24"/>
        </w:rPr>
        <w:footnoteReference w:id="9"/>
      </w:r>
      <w:r>
        <w:rPr>
          <w:sz w:val="24"/>
          <w:szCs w:val="24"/>
        </w:rPr>
        <w:t>.</w:t>
      </w:r>
    </w:p>
    <w:p w:rsidR="009630F2" w:rsidRPr="00973C3F" w:rsidRDefault="009630F2" w:rsidP="00973C3F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Default="00971E9D" w:rsidP="00971E9D">
      <w:pPr>
        <w:pStyle w:val="Akapitzlist"/>
        <w:ind w:left="0"/>
        <w:jc w:val="both"/>
        <w:rPr>
          <w:b/>
          <w:sz w:val="24"/>
          <w:szCs w:val="24"/>
        </w:rPr>
      </w:pPr>
      <w:r w:rsidRPr="00E969AF">
        <w:rPr>
          <w:b/>
          <w:sz w:val="24"/>
          <w:szCs w:val="24"/>
        </w:rPr>
        <w:t>6.2 Inwestycje w infrastrukturę zdrowotną</w:t>
      </w:r>
      <w:r w:rsidR="001E3C9A">
        <w:rPr>
          <w:b/>
          <w:sz w:val="24"/>
          <w:szCs w:val="24"/>
        </w:rPr>
        <w:t>:</w:t>
      </w:r>
    </w:p>
    <w:p w:rsidR="008C6C05" w:rsidRDefault="008C6C05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Wydatki w zakresie ICT (oprogramowanie, sprzęt), przekraczające 49% </w:t>
      </w:r>
      <w:r w:rsidRPr="00E969AF">
        <w:rPr>
          <w:rFonts w:eastAsia="Times New Roman" w:cs="Times New Roman"/>
          <w:sz w:val="24"/>
          <w:szCs w:val="24"/>
          <w:lang w:eastAsia="pl-PL"/>
        </w:rPr>
        <w:t>wartości całkowitych wydatków kwalifikowalnych projektu</w:t>
      </w:r>
      <w:r w:rsidR="00AF714F">
        <w:rPr>
          <w:rFonts w:eastAsia="Times New Roman" w:cs="Times New Roman"/>
          <w:sz w:val="24"/>
          <w:szCs w:val="24"/>
          <w:lang w:eastAsia="pl-PL"/>
        </w:rPr>
        <w:t>.</w:t>
      </w:r>
    </w:p>
    <w:p w:rsidR="008C6C05" w:rsidRDefault="008C6C05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związane z termomodernizacją, przekraczające 49% wartości całkowitych wydatków kwalifikowalnych projektu.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lastRenderedPageBreak/>
        <w:t>Wydatki na inwestycje polegające na dostosowaniu istniejącej infrastruktury do obowiązujących przepisów – chyba że ich realizacja jest uzasadniona z punktu widzenia poprawy efektywności (w tym kosztowej) i dostępu do świadczeń opieki zdrowotnej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budowę i modernizację parkingów, dróg dojazdowych i wewnętrznych.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związane z modernizacją i wyposażen</w:t>
      </w:r>
      <w:r w:rsidR="009F5CD8">
        <w:rPr>
          <w:rFonts w:eastAsia="Times New Roman" w:cs="Times New Roman"/>
          <w:sz w:val="24"/>
          <w:szCs w:val="24"/>
          <w:lang w:eastAsia="pl-PL"/>
        </w:rPr>
        <w:t>iem części administracyjnej nie</w:t>
      </w:r>
      <w:r w:rsidRPr="00E969AF">
        <w:rPr>
          <w:rFonts w:eastAsia="Times New Roman" w:cs="Times New Roman"/>
          <w:sz w:val="24"/>
          <w:szCs w:val="24"/>
          <w:lang w:eastAsia="pl-PL"/>
        </w:rPr>
        <w:t>związanej z bezpośrednią obsługą pacjentów, z wyjątkiem projektów dotyczących zakupu i wdrożenia technologii informatyczno</w:t>
      </w:r>
      <w:r>
        <w:rPr>
          <w:rFonts w:eastAsia="Times New Roman" w:cs="Times New Roman"/>
          <w:sz w:val="24"/>
          <w:szCs w:val="24"/>
          <w:lang w:eastAsia="pl-PL"/>
        </w:rPr>
        <w:t>-</w:t>
      </w:r>
      <w:r w:rsidRPr="00E969AF">
        <w:rPr>
          <w:rFonts w:eastAsia="Times New Roman" w:cs="Times New Roman"/>
          <w:sz w:val="24"/>
          <w:szCs w:val="24"/>
          <w:lang w:eastAsia="pl-PL"/>
        </w:rPr>
        <w:t>komunikacyjnych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971E9D" w:rsidRDefault="00971E9D" w:rsidP="00971E9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związane z zakupem sprzętu</w:t>
      </w:r>
      <w:r w:rsidR="00BE520D">
        <w:rPr>
          <w:rFonts w:eastAsia="Times New Roman" w:cs="Times New Roman"/>
          <w:sz w:val="24"/>
          <w:szCs w:val="24"/>
          <w:lang w:eastAsia="pl-PL"/>
        </w:rPr>
        <w:t xml:space="preserve"> medycznego</w:t>
      </w:r>
      <w:r w:rsidR="009F5CD8">
        <w:rPr>
          <w:rFonts w:eastAsia="Times New Roman" w:cs="Times New Roman"/>
          <w:sz w:val="24"/>
          <w:szCs w:val="24"/>
          <w:lang w:eastAsia="pl-PL"/>
        </w:rPr>
        <w:t>,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na którym będą świadczone usługi medyczne</w:t>
      </w:r>
      <w:r w:rsidR="00FE2E5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E60F5">
        <w:rPr>
          <w:rFonts w:eastAsia="Times New Roman" w:cs="Times New Roman"/>
          <w:sz w:val="24"/>
          <w:szCs w:val="24"/>
          <w:lang w:eastAsia="pl-PL"/>
        </w:rPr>
        <w:t>odpłatne</w:t>
      </w:r>
      <w:r w:rsidR="005B2449">
        <w:rPr>
          <w:sz w:val="24"/>
          <w:szCs w:val="24"/>
        </w:rPr>
        <w:t>, generujące przychód w projekcie</w:t>
      </w:r>
      <w:r w:rsidR="004E60F5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.</w:t>
      </w:r>
    </w:p>
    <w:p w:rsidR="005B2449" w:rsidRPr="00912336" w:rsidRDefault="005B2449" w:rsidP="005B244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641D0">
        <w:rPr>
          <w:sz w:val="24"/>
          <w:szCs w:val="24"/>
        </w:rPr>
        <w:t>Wydatki na zagospodarowanie otoczenia w zieleń i drobną architekturę</w:t>
      </w:r>
      <w:r>
        <w:rPr>
          <w:sz w:val="24"/>
          <w:szCs w:val="24"/>
        </w:rPr>
        <w:t>.</w:t>
      </w:r>
    </w:p>
    <w:p w:rsidR="005B2449" w:rsidRPr="009661DF" w:rsidRDefault="005B2449" w:rsidP="005B244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18783B">
        <w:rPr>
          <w:sz w:val="24"/>
          <w:szCs w:val="24"/>
        </w:rPr>
        <w:t>ydatki związane z</w:t>
      </w:r>
      <w:r>
        <w:rPr>
          <w:sz w:val="24"/>
          <w:szCs w:val="24"/>
        </w:rPr>
        <w:t xml:space="preserve"> pracami remontowo-budowlanymi  lub termomodernizacją</w:t>
      </w:r>
      <w:r w:rsidRPr="0018783B">
        <w:rPr>
          <w:sz w:val="24"/>
          <w:szCs w:val="24"/>
        </w:rPr>
        <w:t>, któr</w:t>
      </w:r>
      <w:r w:rsidR="004D15E8">
        <w:rPr>
          <w:sz w:val="24"/>
          <w:szCs w:val="24"/>
        </w:rPr>
        <w:t>e</w:t>
      </w:r>
      <w:r w:rsidRPr="0018783B">
        <w:rPr>
          <w:sz w:val="24"/>
          <w:szCs w:val="24"/>
        </w:rPr>
        <w:t xml:space="preserve"> </w:t>
      </w:r>
      <w:r>
        <w:rPr>
          <w:sz w:val="24"/>
          <w:szCs w:val="24"/>
        </w:rPr>
        <w:t>nie są</w:t>
      </w:r>
      <w:r w:rsidRPr="0018783B">
        <w:rPr>
          <w:sz w:val="24"/>
          <w:szCs w:val="24"/>
        </w:rPr>
        <w:t xml:space="preserve"> bezpośrednio </w:t>
      </w:r>
      <w:r>
        <w:rPr>
          <w:sz w:val="24"/>
          <w:szCs w:val="24"/>
        </w:rPr>
        <w:t>i w całości związane</w:t>
      </w:r>
      <w:r w:rsidRPr="0018783B">
        <w:rPr>
          <w:sz w:val="24"/>
          <w:szCs w:val="24"/>
        </w:rPr>
        <w:t xml:space="preserve"> z infrastrukturą przeznaczoną do udzielania świadczeń zdrowotnych </w:t>
      </w:r>
      <w:r>
        <w:rPr>
          <w:sz w:val="24"/>
          <w:szCs w:val="24"/>
        </w:rPr>
        <w:t>w ramach poszczególnych narzędzi Policy Paper oraz/lub jednostek chorobowych określonych  w ogłoszeniu o naborze -</w:t>
      </w:r>
      <w:r w:rsidRPr="002701C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szczegółowe </w:t>
      </w:r>
      <w:r w:rsidRPr="002701C5">
        <w:rPr>
          <w:sz w:val="24"/>
          <w:szCs w:val="24"/>
          <w:u w:val="single"/>
        </w:rPr>
        <w:t>uregulowania znajdą się w regulaminach konkursów</w:t>
      </w:r>
      <w:r w:rsidRPr="002701C5">
        <w:rPr>
          <w:sz w:val="24"/>
          <w:szCs w:val="24"/>
        </w:rPr>
        <w:t>.</w:t>
      </w:r>
    </w:p>
    <w:p w:rsidR="005B2449" w:rsidRDefault="005B2449" w:rsidP="005B244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związane z </w:t>
      </w:r>
      <w:r w:rsidRPr="009661DF">
        <w:rPr>
          <w:rFonts w:ascii="Arial" w:hAnsi="Arial"/>
        </w:rPr>
        <w:t xml:space="preserve">zakupem </w:t>
      </w:r>
      <w:r>
        <w:rPr>
          <w:rFonts w:ascii="Arial" w:hAnsi="Arial"/>
        </w:rPr>
        <w:t xml:space="preserve">oprogramowania i </w:t>
      </w:r>
      <w:r w:rsidRPr="009661DF">
        <w:rPr>
          <w:rFonts w:ascii="Arial" w:hAnsi="Arial"/>
        </w:rPr>
        <w:t>sprzętu</w:t>
      </w:r>
      <w:r>
        <w:rPr>
          <w:rFonts w:ascii="Arial" w:hAnsi="Arial"/>
        </w:rPr>
        <w:t xml:space="preserve"> I</w:t>
      </w:r>
      <w:r w:rsidR="00B55A70">
        <w:rPr>
          <w:rFonts w:ascii="Arial" w:hAnsi="Arial"/>
        </w:rPr>
        <w:t>C</w:t>
      </w:r>
      <w:r>
        <w:rPr>
          <w:rFonts w:ascii="Arial" w:hAnsi="Arial"/>
        </w:rPr>
        <w:t xml:space="preserve">T, który to sprzęt nie jest bezpośrednio i w całości związany z zakresem wsparcia w ramach </w:t>
      </w:r>
      <w:r>
        <w:rPr>
          <w:sz w:val="24"/>
          <w:szCs w:val="24"/>
        </w:rPr>
        <w:t>poszczególnych narzędzi Policy Paper oraz/lub jednostek chorobowych określonych  w ogłoszeniu o naborze -</w:t>
      </w:r>
      <w:r w:rsidRPr="002701C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szczegółowe </w:t>
      </w:r>
      <w:r w:rsidRPr="002701C5">
        <w:rPr>
          <w:sz w:val="24"/>
          <w:szCs w:val="24"/>
          <w:u w:val="single"/>
        </w:rPr>
        <w:t>uregulowania znajdą się w regulaminach konkursów</w:t>
      </w:r>
      <w:r w:rsidRPr="002701C5">
        <w:rPr>
          <w:sz w:val="24"/>
          <w:szCs w:val="24"/>
        </w:rPr>
        <w:t>.</w:t>
      </w:r>
    </w:p>
    <w:p w:rsidR="007A57DC" w:rsidRDefault="007A57DC" w:rsidP="007A57DC">
      <w:pPr>
        <w:pStyle w:val="Akapitzlist"/>
        <w:jc w:val="both"/>
        <w:rPr>
          <w:sz w:val="24"/>
          <w:szCs w:val="24"/>
        </w:rPr>
      </w:pPr>
    </w:p>
    <w:p w:rsidR="00971E9D" w:rsidRPr="00AD511B" w:rsidRDefault="00971E9D" w:rsidP="00AD511B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pStyle w:val="Akapitzlist"/>
        <w:ind w:left="0"/>
        <w:jc w:val="both"/>
        <w:rPr>
          <w:b/>
          <w:sz w:val="24"/>
          <w:szCs w:val="24"/>
        </w:rPr>
      </w:pPr>
      <w:r w:rsidRPr="00E969AF">
        <w:rPr>
          <w:b/>
          <w:sz w:val="24"/>
          <w:szCs w:val="24"/>
        </w:rPr>
        <w:t>6.3 Rewitalizacja zdegradowanych obszarów</w:t>
      </w:r>
      <w:r w:rsidR="001E3C9A">
        <w:rPr>
          <w:b/>
          <w:sz w:val="24"/>
          <w:szCs w:val="24"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na remont, odnowę</w:t>
      </w:r>
      <w:r>
        <w:rPr>
          <w:sz w:val="24"/>
          <w:szCs w:val="24"/>
        </w:rPr>
        <w:t xml:space="preserve"> części usługowej, produkcyjnej</w:t>
      </w:r>
      <w:r w:rsidRPr="00E969AF">
        <w:rPr>
          <w:sz w:val="24"/>
          <w:szCs w:val="24"/>
        </w:rPr>
        <w:t xml:space="preserve"> itp.</w:t>
      </w:r>
      <w:r>
        <w:rPr>
          <w:sz w:val="24"/>
          <w:szCs w:val="24"/>
        </w:rPr>
        <w:t>,</w:t>
      </w:r>
      <w:r w:rsidRPr="00E969AF">
        <w:rPr>
          <w:sz w:val="24"/>
          <w:szCs w:val="24"/>
        </w:rPr>
        <w:t xml:space="preserve"> związanej z prowadzeniem działalności gospodarczej we wspieranych w projekcie budynkach</w:t>
      </w:r>
      <w:r w:rsidR="001257B7">
        <w:rPr>
          <w:sz w:val="24"/>
          <w:szCs w:val="24"/>
        </w:rPr>
        <w:t xml:space="preserve"> mieszkalnych (schemat 6.3.B)</w:t>
      </w:r>
      <w:r w:rsidRPr="00E969AF">
        <w:rPr>
          <w:sz w:val="24"/>
          <w:szCs w:val="24"/>
          <w:vertAlign w:val="superscript"/>
        </w:rPr>
        <w:footnoteReference w:id="10"/>
      </w:r>
      <w:r w:rsidRPr="00E969AF">
        <w:rPr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na części związane z prowadzeniem działalności administracyjnej we wspieranych w projekcie budynkach</w:t>
      </w:r>
      <w:r w:rsidR="00D94553">
        <w:rPr>
          <w:sz w:val="24"/>
          <w:szCs w:val="24"/>
        </w:rPr>
        <w:t>/obiektach (schemat 6.3.A)</w:t>
      </w:r>
      <w:r w:rsidRPr="00E969AF">
        <w:rPr>
          <w:rStyle w:val="Odwoanieprzypisudolnego"/>
          <w:sz w:val="24"/>
          <w:szCs w:val="24"/>
        </w:rPr>
        <w:footnoteReference w:id="11"/>
      </w:r>
      <w:r w:rsidRPr="00E969AF">
        <w:rPr>
          <w:sz w:val="24"/>
          <w:szCs w:val="24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>Wydatki na uzbrojenie teren</w:t>
      </w:r>
      <w:r w:rsidR="005668AE">
        <w:rPr>
          <w:sz w:val="24"/>
          <w:szCs w:val="24"/>
        </w:rPr>
        <w:t>ów inwestycyjnych</w:t>
      </w:r>
      <w:r w:rsidR="005668AE">
        <w:rPr>
          <w:rStyle w:val="Odwoanieprzypisudolnego"/>
          <w:sz w:val="24"/>
          <w:szCs w:val="24"/>
        </w:rPr>
        <w:footnoteReference w:id="12"/>
      </w:r>
    </w:p>
    <w:p w:rsidR="00971E9D" w:rsidRPr="00E969AF" w:rsidRDefault="00971E9D" w:rsidP="00971E9D">
      <w:pPr>
        <w:pStyle w:val="Akapitzlist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969AF">
        <w:rPr>
          <w:sz w:val="24"/>
          <w:szCs w:val="24"/>
        </w:rPr>
        <w:t xml:space="preserve">Wydatki na termomodernizację przekraczające 49% wartości całkowitych wydatków kwalifikowalnych </w:t>
      </w:r>
      <w:r>
        <w:rPr>
          <w:sz w:val="24"/>
          <w:szCs w:val="24"/>
        </w:rPr>
        <w:t>na pojedynczy budynek w projekcie.</w:t>
      </w:r>
    </w:p>
    <w:p w:rsidR="00971E9D" w:rsidRPr="00E969AF" w:rsidRDefault="00971E9D" w:rsidP="00971E9D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eastAsiaTheme="majorEastAsia" w:hAnsiTheme="minorHAnsi" w:cstheme="majorBidi"/>
          <w:b/>
          <w:bCs/>
        </w:rPr>
      </w:pPr>
      <w:r w:rsidRPr="00E969AF">
        <w:rPr>
          <w:rFonts w:asciiTheme="minorHAnsi" w:hAnsiTheme="minorHAnsi"/>
          <w:b/>
        </w:rPr>
        <w:t>7.1</w:t>
      </w:r>
      <w:r w:rsidRPr="00E969AF">
        <w:rPr>
          <w:rFonts w:asciiTheme="minorHAnsi" w:eastAsiaTheme="majorEastAsia" w:hAnsiTheme="minorHAnsi" w:cstheme="majorBidi"/>
          <w:b/>
          <w:bCs/>
        </w:rPr>
        <w:t xml:space="preserve"> Inwestycje w edukację przedszkolną, podstawową i gimnazjalną</w:t>
      </w:r>
      <w:r w:rsidR="001E3C9A">
        <w:rPr>
          <w:rFonts w:asciiTheme="minorHAnsi" w:eastAsiaTheme="majorEastAsia" w:hAnsiTheme="minorHAnsi" w:cstheme="majorBidi"/>
          <w:b/>
          <w:bCs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rFonts w:eastAsiaTheme="majorEastAsia" w:cstheme="majorBidi"/>
          <w:b/>
          <w:bCs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związane z termomodernizacją przekraczające 49% wartości całkowitych wydatków kwalifikowalnych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na pojedynczy budynek w</w:t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projekcie.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związane z zakupem placów zabaw przekraczające 49% wartości całkowitych wydatków kwalifikowalnych projektu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dotyczące infrastruktury żłobków</w:t>
      </w:r>
      <w:r w:rsidRPr="00E969AF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3"/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Koszty zagospodarowania terenu</w:t>
      </w:r>
      <w:r w:rsidRPr="00E969AF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4"/>
      </w:r>
      <w:r w:rsidRPr="00E969AF">
        <w:rPr>
          <w:rFonts w:eastAsia="Times New Roman" w:cs="Times New Roman"/>
          <w:sz w:val="24"/>
          <w:szCs w:val="24"/>
          <w:lang w:eastAsia="pl-PL"/>
        </w:rPr>
        <w:t xml:space="preserve"> wokół przedszkoli, szkół i placówek oraz budowy dróg dojazdowych, wewnętrznych i parkingów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infrastrukturę przedszkolną w przypadku naborów skierowanych do szkół</w:t>
      </w:r>
      <w:r w:rsidRPr="00E969AF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5"/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infrastrukturę szkolną w przypadku naborów skierowanych do przedszkoli</w:t>
      </w:r>
      <w:r w:rsidRPr="00E969AF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6"/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060019" w:rsidRPr="00E969AF" w:rsidRDefault="00060019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0019">
        <w:rPr>
          <w:rFonts w:eastAsia="Times New Roman" w:cs="Times New Roman"/>
          <w:sz w:val="24"/>
          <w:szCs w:val="24"/>
          <w:lang w:eastAsia="pl-PL"/>
        </w:rPr>
        <w:t>Wydatki na infrastrukturę szkół ponadgimnazjalnych</w:t>
      </w:r>
      <w:r w:rsidRPr="00060019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17"/>
      </w:r>
      <w:r w:rsidR="00560A8A"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zakup używanych środków trwałych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AD511B" w:rsidRPr="00AD511B" w:rsidRDefault="00AD511B" w:rsidP="00AD511B">
      <w:pPr>
        <w:spacing w:line="276" w:lineRule="auto"/>
        <w:jc w:val="both"/>
        <w:rPr>
          <w:rFonts w:asciiTheme="minorHAnsi" w:hAnsiTheme="minorHAnsi"/>
          <w:b/>
        </w:rPr>
      </w:pPr>
    </w:p>
    <w:p w:rsidR="00971E9D" w:rsidRPr="00E969AF" w:rsidRDefault="00971E9D" w:rsidP="00971E9D">
      <w:pPr>
        <w:spacing w:line="276" w:lineRule="auto"/>
        <w:jc w:val="both"/>
        <w:rPr>
          <w:rFonts w:asciiTheme="minorHAnsi" w:eastAsiaTheme="majorEastAsia" w:hAnsiTheme="minorHAnsi" w:cstheme="majorBidi"/>
          <w:b/>
          <w:bCs/>
        </w:rPr>
      </w:pPr>
      <w:r w:rsidRPr="00E969AF">
        <w:rPr>
          <w:rFonts w:asciiTheme="minorHAnsi" w:hAnsiTheme="minorHAnsi"/>
          <w:b/>
        </w:rPr>
        <w:t>7.2</w:t>
      </w:r>
      <w:r w:rsidRPr="00E969AF">
        <w:rPr>
          <w:rFonts w:asciiTheme="minorHAnsi" w:eastAsiaTheme="majorEastAsia" w:hAnsiTheme="minorHAnsi" w:cstheme="majorBidi"/>
          <w:b/>
          <w:bCs/>
        </w:rPr>
        <w:t xml:space="preserve"> Inwestycje w edukację ponadgimnazjalną</w:t>
      </w:r>
      <w:r w:rsidR="009C0AFD">
        <w:rPr>
          <w:rFonts w:asciiTheme="minorHAnsi" w:eastAsiaTheme="majorEastAsia" w:hAnsiTheme="minorHAnsi" w:cstheme="majorBidi"/>
          <w:b/>
          <w:bCs/>
        </w:rPr>
        <w:t>,</w:t>
      </w:r>
      <w:r w:rsidRPr="00E969AF">
        <w:rPr>
          <w:rFonts w:asciiTheme="minorHAnsi" w:eastAsiaTheme="majorEastAsia" w:hAnsiTheme="minorHAnsi" w:cstheme="majorBidi"/>
          <w:b/>
          <w:bCs/>
        </w:rPr>
        <w:t xml:space="preserve"> w tym zawodową</w:t>
      </w:r>
      <w:r w:rsidR="001E3C9A">
        <w:rPr>
          <w:rFonts w:asciiTheme="minorHAnsi" w:eastAsiaTheme="majorEastAsia" w:hAnsiTheme="minorHAnsi" w:cstheme="majorBidi"/>
          <w:b/>
          <w:bCs/>
        </w:rPr>
        <w:t>:</w:t>
      </w:r>
    </w:p>
    <w:p w:rsidR="00971E9D" w:rsidRPr="00E969AF" w:rsidRDefault="00971E9D" w:rsidP="00971E9D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związane z termomodernizacją przekraczające 49% wartości całkowitych wydatków kwalifikowalnych projektu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Default="00971E9D" w:rsidP="00971E9D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ponoszone na infrastrukturę oraz zakup wyposażenia wykorzystywanego na potrzeby kształcenia ustawicznego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B161E6" w:rsidRPr="00656F36" w:rsidRDefault="00B161E6" w:rsidP="00F630FA">
      <w:pPr>
        <w:pStyle w:val="Akapitzlist"/>
        <w:numPr>
          <w:ilvl w:val="0"/>
          <w:numId w:val="6"/>
        </w:numPr>
        <w:spacing w:line="240" w:lineRule="auto"/>
        <w:jc w:val="both"/>
      </w:pPr>
      <w:r w:rsidRPr="009E0347">
        <w:rPr>
          <w:rFonts w:eastAsia="Times New Roman" w:cs="Times New Roman"/>
          <w:sz w:val="24"/>
          <w:szCs w:val="24"/>
          <w:lang w:eastAsia="pl-PL"/>
        </w:rPr>
        <w:t xml:space="preserve">Wydatki na infrastrukturę </w:t>
      </w:r>
      <w:r w:rsidR="00681F86">
        <w:rPr>
          <w:rFonts w:eastAsia="Times New Roman" w:cs="Times New Roman"/>
          <w:sz w:val="24"/>
          <w:szCs w:val="24"/>
          <w:lang w:eastAsia="pl-PL"/>
        </w:rPr>
        <w:t xml:space="preserve">szkolnictwa </w:t>
      </w:r>
      <w:r w:rsidR="00F630FA" w:rsidRPr="00F630FA">
        <w:rPr>
          <w:rFonts w:eastAsia="Times New Roman" w:cs="Times New Roman"/>
          <w:sz w:val="24"/>
          <w:szCs w:val="24"/>
          <w:lang w:eastAsia="pl-PL"/>
        </w:rPr>
        <w:t xml:space="preserve">ponadgimnazjalnego </w:t>
      </w:r>
      <w:r w:rsidR="00681F86">
        <w:rPr>
          <w:rFonts w:eastAsia="Times New Roman" w:cs="Times New Roman"/>
          <w:sz w:val="24"/>
          <w:szCs w:val="24"/>
          <w:lang w:eastAsia="pl-PL"/>
        </w:rPr>
        <w:t>zawodowego</w:t>
      </w:r>
      <w:r w:rsidRPr="009E034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E0C61">
        <w:rPr>
          <w:rFonts w:eastAsia="Times New Roman" w:cs="Times New Roman"/>
          <w:sz w:val="24"/>
          <w:szCs w:val="24"/>
          <w:lang w:eastAsia="pl-PL"/>
        </w:rPr>
        <w:br/>
      </w:r>
      <w:r w:rsidRPr="009E0347">
        <w:rPr>
          <w:rFonts w:eastAsia="Times New Roman" w:cs="Times New Roman"/>
          <w:sz w:val="24"/>
          <w:szCs w:val="24"/>
          <w:lang w:eastAsia="pl-PL"/>
        </w:rPr>
        <w:t xml:space="preserve">w przypadku naborów skierowanych </w:t>
      </w:r>
      <w:r w:rsidR="009E0347" w:rsidRPr="009E0347">
        <w:rPr>
          <w:rFonts w:eastAsia="Times New Roman" w:cs="Times New Roman"/>
          <w:sz w:val="24"/>
          <w:szCs w:val="24"/>
          <w:lang w:eastAsia="pl-PL"/>
        </w:rPr>
        <w:t>do s</w:t>
      </w:r>
      <w:r w:rsidR="009B0BF4">
        <w:rPr>
          <w:rFonts w:eastAsia="Times New Roman" w:cs="Times New Roman"/>
          <w:sz w:val="24"/>
          <w:szCs w:val="24"/>
          <w:lang w:eastAsia="pl-PL"/>
        </w:rPr>
        <w:t>zkolnictwa</w:t>
      </w:r>
      <w:r w:rsidR="009E0347" w:rsidRPr="009E0347">
        <w:rPr>
          <w:rFonts w:eastAsia="Times New Roman" w:cs="Times New Roman"/>
          <w:sz w:val="24"/>
          <w:szCs w:val="24"/>
          <w:lang w:eastAsia="pl-PL"/>
        </w:rPr>
        <w:t xml:space="preserve"> ponadgimnazjalne</w:t>
      </w:r>
      <w:r w:rsidR="009B0BF4">
        <w:rPr>
          <w:rFonts w:eastAsia="Times New Roman" w:cs="Times New Roman"/>
          <w:sz w:val="24"/>
          <w:szCs w:val="24"/>
          <w:lang w:eastAsia="pl-PL"/>
        </w:rPr>
        <w:t>go</w:t>
      </w:r>
      <w:r w:rsidR="009E0347" w:rsidRPr="009E0347">
        <w:rPr>
          <w:rFonts w:eastAsia="Times New Roman" w:cs="Times New Roman"/>
          <w:sz w:val="24"/>
          <w:szCs w:val="24"/>
          <w:lang w:eastAsia="pl-PL"/>
        </w:rPr>
        <w:t xml:space="preserve"> ogólne</w:t>
      </w:r>
      <w:r w:rsidR="009B0BF4">
        <w:rPr>
          <w:rFonts w:eastAsia="Times New Roman" w:cs="Times New Roman"/>
          <w:sz w:val="24"/>
          <w:szCs w:val="24"/>
          <w:lang w:eastAsia="pl-PL"/>
        </w:rPr>
        <w:t>go</w:t>
      </w:r>
      <w:r>
        <w:rPr>
          <w:rStyle w:val="Odwoanieprzypisudolnego"/>
        </w:rPr>
        <w:footnoteReference w:id="18"/>
      </w:r>
      <w:r>
        <w:t>.</w:t>
      </w:r>
    </w:p>
    <w:p w:rsidR="00B161E6" w:rsidRPr="00E969AF" w:rsidRDefault="00681F86" w:rsidP="000B1B0E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Wydatki na infrastrukturę szkolnictwa ponadgimnazjalnego</w:t>
      </w:r>
      <w:r w:rsidR="000B1B0E" w:rsidRPr="000B1B0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B1B0E">
        <w:rPr>
          <w:rFonts w:eastAsia="Times New Roman" w:cs="Times New Roman"/>
          <w:sz w:val="24"/>
          <w:szCs w:val="24"/>
          <w:lang w:eastAsia="pl-PL"/>
        </w:rPr>
        <w:t>ogóln</w:t>
      </w:r>
      <w:r>
        <w:rPr>
          <w:rFonts w:eastAsia="Times New Roman" w:cs="Times New Roman"/>
          <w:sz w:val="24"/>
          <w:szCs w:val="24"/>
          <w:lang w:eastAsia="pl-PL"/>
        </w:rPr>
        <w:t>ego</w:t>
      </w:r>
      <w:r w:rsidR="000B1B0E" w:rsidRPr="000B1B0E">
        <w:rPr>
          <w:rFonts w:eastAsia="Times New Roman" w:cs="Times New Roman"/>
          <w:sz w:val="24"/>
          <w:szCs w:val="24"/>
          <w:lang w:eastAsia="pl-PL"/>
        </w:rPr>
        <w:t xml:space="preserve"> w przypadku naborów skierowanych do szkolnictwo ponadgimnazjalne</w:t>
      </w:r>
      <w:r w:rsidR="00F630FA">
        <w:rPr>
          <w:rFonts w:eastAsia="Times New Roman" w:cs="Times New Roman"/>
          <w:sz w:val="24"/>
          <w:szCs w:val="24"/>
          <w:lang w:eastAsia="pl-PL"/>
        </w:rPr>
        <w:t>go zawodowego</w:t>
      </w:r>
      <w:r w:rsidR="00B161E6" w:rsidRPr="00F630FA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19"/>
      </w:r>
      <w:r w:rsidR="00F630FA"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 xml:space="preserve">Wydatki ponoszone na budowę nowych obiektów nie służących praktycznej nauce zawodu oraz rozbudowę obiektów nie służących praktycznej nauce zawodu o budynki trwale nie </w:t>
      </w:r>
      <w:r>
        <w:rPr>
          <w:rFonts w:eastAsia="Times New Roman" w:cs="Times New Roman"/>
          <w:sz w:val="24"/>
          <w:szCs w:val="24"/>
          <w:lang w:eastAsia="pl-PL"/>
        </w:rPr>
        <w:t xml:space="preserve">połączone z istniejącym już </w:t>
      </w:r>
      <w:r w:rsidRPr="00E969AF">
        <w:rPr>
          <w:rFonts w:eastAsia="Times New Roman" w:cs="Times New Roman"/>
          <w:sz w:val="24"/>
          <w:szCs w:val="24"/>
          <w:lang w:eastAsia="pl-PL"/>
        </w:rPr>
        <w:t>obiektem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E969AF" w:rsidRDefault="00971E9D" w:rsidP="00971E9D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Koszty zagospodarowania terenu wokół szkół i placówek oraz budowa dróg dojazdowych, wewnętrznych i parkingów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971E9D" w:rsidRPr="00AD511B" w:rsidRDefault="00971E9D" w:rsidP="00AD511B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pl-PL"/>
        </w:rPr>
      </w:pPr>
      <w:r w:rsidRPr="00E969AF">
        <w:rPr>
          <w:rFonts w:eastAsia="Times New Roman" w:cs="Times New Roman"/>
          <w:sz w:val="24"/>
          <w:szCs w:val="24"/>
          <w:lang w:eastAsia="pl-PL"/>
        </w:rPr>
        <w:t>Wydatki na zakup używanych środków trwałych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sectPr w:rsidR="00971E9D" w:rsidRPr="00AD511B" w:rsidSect="00A731B3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E8" w:rsidRDefault="004D15E8" w:rsidP="007B2A55">
      <w:pPr>
        <w:spacing w:line="240" w:lineRule="auto"/>
      </w:pPr>
      <w:r>
        <w:separator/>
      </w:r>
    </w:p>
  </w:endnote>
  <w:endnote w:type="continuationSeparator" w:id="0">
    <w:p w:rsidR="004D15E8" w:rsidRDefault="004D15E8" w:rsidP="007B2A55">
      <w:pPr>
        <w:spacing w:line="240" w:lineRule="auto"/>
      </w:pPr>
      <w:r>
        <w:continuationSeparator/>
      </w:r>
    </w:p>
  </w:endnote>
  <w:endnote w:type="continuationNotice" w:id="1">
    <w:p w:rsidR="004D15E8" w:rsidRDefault="004D15E8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ABE9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9461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4D15E8" w:rsidRPr="007B2A55" w:rsidRDefault="004B198F">
        <w:pPr>
          <w:pStyle w:val="Stopka"/>
          <w:jc w:val="center"/>
          <w:rPr>
            <w:rFonts w:asciiTheme="minorHAnsi" w:hAnsiTheme="minorHAnsi"/>
            <w:sz w:val="20"/>
          </w:rPr>
        </w:pPr>
        <w:r w:rsidRPr="007B2A55">
          <w:rPr>
            <w:rFonts w:asciiTheme="minorHAnsi" w:hAnsiTheme="minorHAnsi"/>
            <w:sz w:val="20"/>
          </w:rPr>
          <w:fldChar w:fldCharType="begin"/>
        </w:r>
        <w:r w:rsidR="004D15E8" w:rsidRPr="007B2A55">
          <w:rPr>
            <w:rFonts w:asciiTheme="minorHAnsi" w:hAnsiTheme="minorHAnsi"/>
            <w:sz w:val="20"/>
          </w:rPr>
          <w:instrText>PAGE   \* MERGEFORMAT</w:instrText>
        </w:r>
        <w:r w:rsidRPr="007B2A55">
          <w:rPr>
            <w:rFonts w:asciiTheme="minorHAnsi" w:hAnsiTheme="minorHAnsi"/>
            <w:sz w:val="20"/>
          </w:rPr>
          <w:fldChar w:fldCharType="separate"/>
        </w:r>
        <w:r w:rsidR="00BB1F6C">
          <w:rPr>
            <w:rFonts w:asciiTheme="minorHAnsi" w:hAnsiTheme="minorHAnsi"/>
            <w:noProof/>
            <w:sz w:val="20"/>
          </w:rPr>
          <w:t>1</w:t>
        </w:r>
        <w:r w:rsidRPr="007B2A55">
          <w:rPr>
            <w:rFonts w:asciiTheme="minorHAnsi" w:hAnsiTheme="minorHAnsi"/>
            <w:sz w:val="20"/>
          </w:rPr>
          <w:fldChar w:fldCharType="end"/>
        </w:r>
      </w:p>
    </w:sdtContent>
  </w:sdt>
  <w:p w:rsidR="004D15E8" w:rsidRDefault="004D1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E8" w:rsidRDefault="004D15E8" w:rsidP="007B2A55">
      <w:pPr>
        <w:spacing w:line="240" w:lineRule="auto"/>
      </w:pPr>
      <w:r>
        <w:separator/>
      </w:r>
    </w:p>
  </w:footnote>
  <w:footnote w:type="continuationSeparator" w:id="0">
    <w:p w:rsidR="004D15E8" w:rsidRDefault="004D15E8" w:rsidP="007B2A55">
      <w:pPr>
        <w:spacing w:line="240" w:lineRule="auto"/>
      </w:pPr>
      <w:r>
        <w:continuationSeparator/>
      </w:r>
    </w:p>
  </w:footnote>
  <w:footnote w:type="continuationNotice" w:id="1">
    <w:p w:rsidR="004D15E8" w:rsidRDefault="004D15E8">
      <w:pPr>
        <w:spacing w:line="240" w:lineRule="auto"/>
      </w:pPr>
    </w:p>
  </w:footnote>
  <w:footnote w:id="2">
    <w:p w:rsidR="004D15E8" w:rsidRDefault="004D15E8" w:rsidP="00971E9D">
      <w:pPr>
        <w:pStyle w:val="Tekstprzypisudolnego"/>
      </w:pPr>
      <w:r>
        <w:rPr>
          <w:rStyle w:val="Odwoanieprzypisudolnego"/>
        </w:rPr>
        <w:footnoteRef/>
      </w:r>
      <w:r>
        <w:t xml:space="preserve"> Termin umowa oznacza również inne dokumenty potwierdzające dofinansowanie projektu, np. uchwałę czy porozumienie.</w:t>
      </w:r>
    </w:p>
  </w:footnote>
  <w:footnote w:id="3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dn. 30 kwietnia 2010 r. o zasadach finansowania nauki, Dz. U. 2010 nr 96 poz. 615 z późn. zm.).</w:t>
      </w:r>
    </w:p>
  </w:footnote>
  <w:footnote w:id="4">
    <w:p w:rsidR="004D15E8" w:rsidRDefault="004D15E8" w:rsidP="009F5C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">
    <w:p w:rsidR="004D15E8" w:rsidRDefault="004D15E8" w:rsidP="009F5C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6">
    <w:p w:rsidR="004D15E8" w:rsidRDefault="004D15E8" w:rsidP="009F5C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7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8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9">
    <w:p w:rsidR="004D15E8" w:rsidRPr="001C7384" w:rsidRDefault="004D15E8" w:rsidP="001C73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020B">
        <w:t xml:space="preserve">Wydatki kwalifikowalne nie obejmują wydatków ponoszonych na część związaną </w:t>
      </w:r>
      <w:r>
        <w:t>z infrastrukturą przedszkoli</w:t>
      </w:r>
      <w:r w:rsidRPr="007A020B">
        <w:t xml:space="preserve">. </w:t>
      </w:r>
      <w:r w:rsidRPr="001C7384">
        <w:t xml:space="preserve">Jeśli wnioskodawca nie ma możliwości wykazania kosztów w podziale na </w:t>
      </w:r>
      <w:r>
        <w:t>żłobek</w:t>
      </w:r>
      <w:r w:rsidRPr="001C7384">
        <w:t xml:space="preserve"> i przedszkole, należy określić procentowy udział powierzchni użytkowej związanej z prowadzeniem działalności przedszkolnej w całkowitej powierzchni użytkowej budynku. Następnie należy wg uzyskanej proporcji obniżyć wydatki kwalifikowalne.</w:t>
      </w:r>
    </w:p>
    <w:p w:rsidR="004D15E8" w:rsidRDefault="004D15E8" w:rsidP="00971E9D">
      <w:pPr>
        <w:pStyle w:val="Tekstprzypisudolnego"/>
        <w:jc w:val="both"/>
      </w:pPr>
    </w:p>
  </w:footnote>
  <w:footnote w:id="10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11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12">
    <w:p w:rsidR="004D15E8" w:rsidRPr="0009655D" w:rsidRDefault="004D15E8">
      <w:pPr>
        <w:pStyle w:val="Tekstprzypisudolnego"/>
      </w:pPr>
      <w:r w:rsidRPr="0009655D">
        <w:rPr>
          <w:rStyle w:val="Odwoanieprzypisudolnego"/>
        </w:rPr>
        <w:footnoteRef/>
      </w:r>
      <w:r w:rsidRPr="0009655D">
        <w:t xml:space="preserve"> P</w:t>
      </w:r>
      <w:r w:rsidRPr="0009655D">
        <w:rPr>
          <w:rFonts w:ascii="Calibri" w:hAnsi="Calibri" w:cs="Arial"/>
        </w:rPr>
        <w:t xml:space="preserve">oprzez tereny inwestycyjne rozumie się </w:t>
      </w:r>
      <w:r w:rsidRPr="0009655D">
        <w:rPr>
          <w:rFonts w:ascii="Calibri" w:hAnsi="Calibri" w:cs="Arial"/>
          <w:bCs/>
        </w:rPr>
        <w:t>wyłącznie tereny przeznaczone pod prowadzenie działalności gospodarczej</w:t>
      </w:r>
      <w:r w:rsidRPr="0009655D">
        <w:rPr>
          <w:rFonts w:ascii="Calibri" w:hAnsi="Calibri"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13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020B">
        <w:t xml:space="preserve">Wydatki kwalifikowalne nie obejmują wydatków ponoszonych na część związaną </w:t>
      </w:r>
      <w:r>
        <w:t>z infrastrukturą żłobków</w:t>
      </w:r>
      <w:r w:rsidRPr="007A020B">
        <w:t xml:space="preserve">. </w:t>
      </w:r>
      <w:r w:rsidRPr="00104560">
        <w:t xml:space="preserve">Jeśli wnioskodawca nie ma możliwości wykazania kosztów w podziale na </w:t>
      </w:r>
      <w:r>
        <w:t>żłobek</w:t>
      </w:r>
      <w:r w:rsidRPr="00104560">
        <w:t xml:space="preserve"> i przedszkole</w:t>
      </w:r>
      <w:r>
        <w:t xml:space="preserve"> </w:t>
      </w:r>
      <w:r w:rsidRPr="007A020B">
        <w:t xml:space="preserve">należy określić procentowy udział powierzchni użytkowej związanej z prowadzeniem działalności </w:t>
      </w:r>
      <w:r>
        <w:t xml:space="preserve">żłobkowej </w:t>
      </w:r>
      <w:r w:rsidRPr="007A020B">
        <w:t>w całkowitej powierzchni użytkowej budynku. Następnie należy wg uzyskanej proporcji obniżyć wydatki kwalifikowalne.</w:t>
      </w:r>
    </w:p>
  </w:footnote>
  <w:footnote w:id="14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 w</w:t>
      </w:r>
      <w:r w:rsidRPr="003D737D">
        <w:t xml:space="preserve">yjątkiem </w:t>
      </w:r>
      <w:r>
        <w:t>zakupu</w:t>
      </w:r>
      <w:r w:rsidRPr="003D737D">
        <w:t xml:space="preserve"> placu zabaw</w:t>
      </w:r>
    </w:p>
  </w:footnote>
  <w:footnote w:id="15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D08B5">
        <w:t xml:space="preserve">Wydatki kwalifikowalne nie obejmują wydatków ponoszonych na część związaną z infrastrukturą </w:t>
      </w:r>
      <w:r>
        <w:t>przedszkoli</w:t>
      </w:r>
      <w:r w:rsidRPr="008D08B5">
        <w:t xml:space="preserve">. </w:t>
      </w:r>
      <w:r w:rsidRPr="00104560">
        <w:t>Jeśli wnioskodawca nie ma możliwości wykazania kosztów w podziale na szkołę i przedszkole</w:t>
      </w:r>
      <w:r>
        <w:t xml:space="preserve"> </w:t>
      </w:r>
      <w:r w:rsidRPr="008D08B5">
        <w:t xml:space="preserve">należy określić procentowy udział powierzchni użytkowej związanej z prowadzeniem działalności </w:t>
      </w:r>
      <w:r>
        <w:t>przedszkolnej</w:t>
      </w:r>
      <w:r w:rsidRPr="008D08B5">
        <w:t xml:space="preserve"> w całkowitej powierzchni użytkowej budynku. Następnie należy wg uzyskanej proporcji obniżyć wydatki kwalifikowalne.</w:t>
      </w:r>
    </w:p>
  </w:footnote>
  <w:footnote w:id="16">
    <w:p w:rsidR="004D15E8" w:rsidRDefault="004D15E8" w:rsidP="0097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5D63">
        <w:t xml:space="preserve">Wydatki kwalifikowalne nie obejmują wydatków ponoszonych na część związaną z infrastrukturą </w:t>
      </w:r>
      <w:r>
        <w:t>szkół</w:t>
      </w:r>
      <w:r w:rsidRPr="00B75D63">
        <w:t xml:space="preserve">. </w:t>
      </w:r>
      <w:r w:rsidRPr="00104560">
        <w:t>Jeśli wnioskodawca nie ma możliwości wykazania kosztów w podziale na szkołę i przedszkole</w:t>
      </w:r>
      <w:r>
        <w:t xml:space="preserve"> </w:t>
      </w:r>
      <w:r w:rsidRPr="00B75D63">
        <w:t xml:space="preserve">należy określić procentowy udział powierzchni użytkowej związanej z prowadzeniem działalności </w:t>
      </w:r>
      <w:r>
        <w:t>szkół</w:t>
      </w:r>
      <w:r w:rsidRPr="00B75D63">
        <w:t xml:space="preserve"> w całkowitej powierzchni użytkowej budynku. Następnie należy wg uzyskanej proporcji obniżyć wydatki kwalifikowalne.</w:t>
      </w:r>
    </w:p>
  </w:footnote>
  <w:footnote w:id="17">
    <w:p w:rsidR="004D15E8" w:rsidRPr="0009655D" w:rsidRDefault="004D15E8" w:rsidP="00060019">
      <w:pPr>
        <w:pStyle w:val="Tekstprzypisudolnego"/>
        <w:jc w:val="both"/>
      </w:pPr>
      <w:r w:rsidRPr="0009655D">
        <w:rPr>
          <w:rStyle w:val="Odwoanieprzypisudolnego"/>
          <w:color w:val="000000" w:themeColor="text1"/>
        </w:rPr>
        <w:footnoteRef/>
      </w:r>
      <w:r w:rsidRPr="0009655D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</w:t>
      </w:r>
      <w:r w:rsidRPr="0009655D">
        <w:rPr>
          <w:color w:val="000000" w:themeColor="text1"/>
          <w:sz w:val="16"/>
          <w:szCs w:val="16"/>
        </w:rPr>
        <w:t xml:space="preserve"> </w:t>
      </w:r>
      <w:r w:rsidRPr="0009655D">
        <w:t xml:space="preserve">określić procentowy udział powierzchni użytkowej związanej z prowadzeniem działalności szkoły ponadgimnazjalnej w całkowitej powierzchni użytkowej budynku. Następnie należy wg uzyskanej proporcji obniżyć wydatki kwalifikowalne.  </w:t>
      </w:r>
    </w:p>
  </w:footnote>
  <w:footnote w:id="18">
    <w:p w:rsidR="004D15E8" w:rsidRPr="0009655D" w:rsidRDefault="004D15E8" w:rsidP="0009655D">
      <w:pPr>
        <w:pStyle w:val="Tekstprzypisudolnego"/>
        <w:jc w:val="both"/>
      </w:pPr>
      <w:r w:rsidRPr="0009655D">
        <w:rPr>
          <w:rStyle w:val="Odwoanieprzypisudolnego"/>
        </w:rPr>
        <w:footnoteRef/>
      </w:r>
      <w:r w:rsidRPr="0009655D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 całkowitej powierzchni użytkowej budynku. Następnie należy wg uzyskanej proporcji obniżyć wydatki kwalifikowalne.  </w:t>
      </w:r>
    </w:p>
  </w:footnote>
  <w:footnote w:id="19">
    <w:p w:rsidR="004D15E8" w:rsidRDefault="004D15E8" w:rsidP="00F630FA">
      <w:pPr>
        <w:pStyle w:val="Tekstprzypisudolnego"/>
        <w:jc w:val="both"/>
      </w:pPr>
      <w:r w:rsidRPr="0009655D">
        <w:rPr>
          <w:rStyle w:val="Odwoanieprzypisudolnego"/>
        </w:rPr>
        <w:footnoteRef/>
      </w:r>
      <w:r w:rsidRPr="0009655D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E8" w:rsidRDefault="004D15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7DE1"/>
    <w:multiLevelType w:val="hybridMultilevel"/>
    <w:tmpl w:val="0CAC69AA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A0A62"/>
    <w:multiLevelType w:val="hybridMultilevel"/>
    <w:tmpl w:val="E12E4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1751A"/>
    <w:multiLevelType w:val="hybridMultilevel"/>
    <w:tmpl w:val="8D80E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BCE3B2B"/>
    <w:multiLevelType w:val="hybridMultilevel"/>
    <w:tmpl w:val="5E3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649F2"/>
    <w:multiLevelType w:val="hybridMultilevel"/>
    <w:tmpl w:val="302EB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3732A"/>
    <w:multiLevelType w:val="hybridMultilevel"/>
    <w:tmpl w:val="E0F2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A5969"/>
    <w:multiLevelType w:val="hybridMultilevel"/>
    <w:tmpl w:val="D7C2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4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30"/>
  </w:num>
  <w:num w:numId="12">
    <w:abstractNumId w:val="19"/>
  </w:num>
  <w:num w:numId="13">
    <w:abstractNumId w:val="15"/>
  </w:num>
  <w:num w:numId="14">
    <w:abstractNumId w:val="13"/>
  </w:num>
  <w:num w:numId="15">
    <w:abstractNumId w:val="27"/>
  </w:num>
  <w:num w:numId="16">
    <w:abstractNumId w:val="7"/>
  </w:num>
  <w:num w:numId="17">
    <w:abstractNumId w:val="21"/>
  </w:num>
  <w:num w:numId="18">
    <w:abstractNumId w:val="26"/>
  </w:num>
  <w:num w:numId="19">
    <w:abstractNumId w:val="24"/>
  </w:num>
  <w:num w:numId="20">
    <w:abstractNumId w:val="28"/>
  </w:num>
  <w:num w:numId="21">
    <w:abstractNumId w:val="16"/>
  </w:num>
  <w:num w:numId="22">
    <w:abstractNumId w:val="23"/>
  </w:num>
  <w:num w:numId="23">
    <w:abstractNumId w:val="29"/>
  </w:num>
  <w:num w:numId="24">
    <w:abstractNumId w:val="11"/>
  </w:num>
  <w:num w:numId="25">
    <w:abstractNumId w:val="25"/>
  </w:num>
  <w:num w:numId="26">
    <w:abstractNumId w:val="22"/>
  </w:num>
  <w:num w:numId="27">
    <w:abstractNumId w:val="5"/>
  </w:num>
  <w:num w:numId="28">
    <w:abstractNumId w:val="4"/>
  </w:num>
  <w:num w:numId="29">
    <w:abstractNumId w:val="2"/>
  </w:num>
  <w:num w:numId="30">
    <w:abstractNumId w:val="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3364"/>
    <w:rsid w:val="000004D4"/>
    <w:rsid w:val="00000650"/>
    <w:rsid w:val="00003D21"/>
    <w:rsid w:val="00032072"/>
    <w:rsid w:val="00045701"/>
    <w:rsid w:val="00052139"/>
    <w:rsid w:val="00053699"/>
    <w:rsid w:val="00060019"/>
    <w:rsid w:val="00061FBF"/>
    <w:rsid w:val="00067616"/>
    <w:rsid w:val="000731D2"/>
    <w:rsid w:val="0009655D"/>
    <w:rsid w:val="000A104C"/>
    <w:rsid w:val="000A6C06"/>
    <w:rsid w:val="000B1B0E"/>
    <w:rsid w:val="000C3205"/>
    <w:rsid w:val="000C44F7"/>
    <w:rsid w:val="000C45C8"/>
    <w:rsid w:val="000C5AC2"/>
    <w:rsid w:val="000E0794"/>
    <w:rsid w:val="00104560"/>
    <w:rsid w:val="00106350"/>
    <w:rsid w:val="00112079"/>
    <w:rsid w:val="00115989"/>
    <w:rsid w:val="00121CFB"/>
    <w:rsid w:val="001257B7"/>
    <w:rsid w:val="00125FB5"/>
    <w:rsid w:val="0014197B"/>
    <w:rsid w:val="00146D78"/>
    <w:rsid w:val="00166191"/>
    <w:rsid w:val="00180903"/>
    <w:rsid w:val="00190741"/>
    <w:rsid w:val="001924BA"/>
    <w:rsid w:val="00192F0E"/>
    <w:rsid w:val="001B400E"/>
    <w:rsid w:val="001C7384"/>
    <w:rsid w:val="001D041C"/>
    <w:rsid w:val="001D731F"/>
    <w:rsid w:val="001D7FEA"/>
    <w:rsid w:val="001E2CC7"/>
    <w:rsid w:val="001E3C9A"/>
    <w:rsid w:val="001F3AF3"/>
    <w:rsid w:val="001F3E00"/>
    <w:rsid w:val="002253FF"/>
    <w:rsid w:val="002308C2"/>
    <w:rsid w:val="002310CB"/>
    <w:rsid w:val="00237268"/>
    <w:rsid w:val="00243364"/>
    <w:rsid w:val="00250A55"/>
    <w:rsid w:val="00286B4B"/>
    <w:rsid w:val="002C05AE"/>
    <w:rsid w:val="002C3178"/>
    <w:rsid w:val="002C5961"/>
    <w:rsid w:val="002E7174"/>
    <w:rsid w:val="002F6B2F"/>
    <w:rsid w:val="00301846"/>
    <w:rsid w:val="003144D7"/>
    <w:rsid w:val="00326A0C"/>
    <w:rsid w:val="003322D3"/>
    <w:rsid w:val="00350A20"/>
    <w:rsid w:val="00371944"/>
    <w:rsid w:val="00372908"/>
    <w:rsid w:val="00374A03"/>
    <w:rsid w:val="00375096"/>
    <w:rsid w:val="003A1349"/>
    <w:rsid w:val="003A3A7C"/>
    <w:rsid w:val="003A7A87"/>
    <w:rsid w:val="003B37D5"/>
    <w:rsid w:val="003C2BAD"/>
    <w:rsid w:val="003D268C"/>
    <w:rsid w:val="00414C68"/>
    <w:rsid w:val="00425581"/>
    <w:rsid w:val="004311FA"/>
    <w:rsid w:val="00432AA2"/>
    <w:rsid w:val="00454917"/>
    <w:rsid w:val="00463230"/>
    <w:rsid w:val="00495B79"/>
    <w:rsid w:val="00497AC4"/>
    <w:rsid w:val="004A19C6"/>
    <w:rsid w:val="004A6234"/>
    <w:rsid w:val="004B198F"/>
    <w:rsid w:val="004B3383"/>
    <w:rsid w:val="004B5315"/>
    <w:rsid w:val="004C2250"/>
    <w:rsid w:val="004D15E8"/>
    <w:rsid w:val="004E55EA"/>
    <w:rsid w:val="004E60F5"/>
    <w:rsid w:val="004F0456"/>
    <w:rsid w:val="0051796E"/>
    <w:rsid w:val="0053069D"/>
    <w:rsid w:val="00532907"/>
    <w:rsid w:val="00534135"/>
    <w:rsid w:val="00560A8A"/>
    <w:rsid w:val="005668AE"/>
    <w:rsid w:val="005B2449"/>
    <w:rsid w:val="005E26DF"/>
    <w:rsid w:val="005E78BC"/>
    <w:rsid w:val="006112E5"/>
    <w:rsid w:val="00615E7C"/>
    <w:rsid w:val="0062159D"/>
    <w:rsid w:val="006308EF"/>
    <w:rsid w:val="00646B7F"/>
    <w:rsid w:val="00660CF6"/>
    <w:rsid w:val="0066768A"/>
    <w:rsid w:val="0067067F"/>
    <w:rsid w:val="006708B2"/>
    <w:rsid w:val="00681F86"/>
    <w:rsid w:val="006925B5"/>
    <w:rsid w:val="00693B0C"/>
    <w:rsid w:val="006B0D3B"/>
    <w:rsid w:val="006C1FB5"/>
    <w:rsid w:val="006E3983"/>
    <w:rsid w:val="006F56AD"/>
    <w:rsid w:val="0070446C"/>
    <w:rsid w:val="0074291C"/>
    <w:rsid w:val="00761B8E"/>
    <w:rsid w:val="007714C6"/>
    <w:rsid w:val="007873A7"/>
    <w:rsid w:val="00793919"/>
    <w:rsid w:val="0079647E"/>
    <w:rsid w:val="007A57DC"/>
    <w:rsid w:val="007A7231"/>
    <w:rsid w:val="007B2A55"/>
    <w:rsid w:val="007C03EA"/>
    <w:rsid w:val="007C3316"/>
    <w:rsid w:val="007C427F"/>
    <w:rsid w:val="007D6E2E"/>
    <w:rsid w:val="007E3493"/>
    <w:rsid w:val="007F060A"/>
    <w:rsid w:val="007F4B1B"/>
    <w:rsid w:val="008054B8"/>
    <w:rsid w:val="0080794C"/>
    <w:rsid w:val="00831F4B"/>
    <w:rsid w:val="00841547"/>
    <w:rsid w:val="00841780"/>
    <w:rsid w:val="0084217A"/>
    <w:rsid w:val="00861982"/>
    <w:rsid w:val="0086572B"/>
    <w:rsid w:val="00866CA4"/>
    <w:rsid w:val="008801AC"/>
    <w:rsid w:val="00897C87"/>
    <w:rsid w:val="008B200F"/>
    <w:rsid w:val="008C1B69"/>
    <w:rsid w:val="008C5725"/>
    <w:rsid w:val="008C6C05"/>
    <w:rsid w:val="008D2314"/>
    <w:rsid w:val="008D598F"/>
    <w:rsid w:val="008D73E4"/>
    <w:rsid w:val="00916127"/>
    <w:rsid w:val="009227EE"/>
    <w:rsid w:val="009312F3"/>
    <w:rsid w:val="00940A02"/>
    <w:rsid w:val="0095645E"/>
    <w:rsid w:val="009630F2"/>
    <w:rsid w:val="00965A71"/>
    <w:rsid w:val="00971E9D"/>
    <w:rsid w:val="00973C3F"/>
    <w:rsid w:val="00980276"/>
    <w:rsid w:val="009826D2"/>
    <w:rsid w:val="00982AF9"/>
    <w:rsid w:val="009A2783"/>
    <w:rsid w:val="009B0058"/>
    <w:rsid w:val="009B0BF4"/>
    <w:rsid w:val="009B652A"/>
    <w:rsid w:val="009C0AFD"/>
    <w:rsid w:val="009C3415"/>
    <w:rsid w:val="009C5704"/>
    <w:rsid w:val="009C6940"/>
    <w:rsid w:val="009D3EFE"/>
    <w:rsid w:val="009D7EAA"/>
    <w:rsid w:val="009E0347"/>
    <w:rsid w:val="009E4A12"/>
    <w:rsid w:val="009F5CD8"/>
    <w:rsid w:val="00A154E7"/>
    <w:rsid w:val="00A15C11"/>
    <w:rsid w:val="00A249A3"/>
    <w:rsid w:val="00A24E5E"/>
    <w:rsid w:val="00A25650"/>
    <w:rsid w:val="00A33A70"/>
    <w:rsid w:val="00A44D2C"/>
    <w:rsid w:val="00A474DF"/>
    <w:rsid w:val="00A731B3"/>
    <w:rsid w:val="00A73AA4"/>
    <w:rsid w:val="00A83F77"/>
    <w:rsid w:val="00A90A70"/>
    <w:rsid w:val="00AA3D3D"/>
    <w:rsid w:val="00AA75BA"/>
    <w:rsid w:val="00AA77D7"/>
    <w:rsid w:val="00AB7262"/>
    <w:rsid w:val="00AD511B"/>
    <w:rsid w:val="00AD5665"/>
    <w:rsid w:val="00AE0D21"/>
    <w:rsid w:val="00AF714F"/>
    <w:rsid w:val="00B06ADD"/>
    <w:rsid w:val="00B116CB"/>
    <w:rsid w:val="00B161E6"/>
    <w:rsid w:val="00B261D5"/>
    <w:rsid w:val="00B34A40"/>
    <w:rsid w:val="00B55A70"/>
    <w:rsid w:val="00B61076"/>
    <w:rsid w:val="00B61870"/>
    <w:rsid w:val="00B61A93"/>
    <w:rsid w:val="00B71019"/>
    <w:rsid w:val="00B7696B"/>
    <w:rsid w:val="00BA584B"/>
    <w:rsid w:val="00BB1F6C"/>
    <w:rsid w:val="00BD5B35"/>
    <w:rsid w:val="00BE520D"/>
    <w:rsid w:val="00BF28DA"/>
    <w:rsid w:val="00C03F8D"/>
    <w:rsid w:val="00C25283"/>
    <w:rsid w:val="00C30EA4"/>
    <w:rsid w:val="00C317CC"/>
    <w:rsid w:val="00C326D8"/>
    <w:rsid w:val="00C3273B"/>
    <w:rsid w:val="00C3627E"/>
    <w:rsid w:val="00C40E1D"/>
    <w:rsid w:val="00C47A0D"/>
    <w:rsid w:val="00C5713D"/>
    <w:rsid w:val="00C878C2"/>
    <w:rsid w:val="00C937C8"/>
    <w:rsid w:val="00C93E8E"/>
    <w:rsid w:val="00CB3CF4"/>
    <w:rsid w:val="00CC140B"/>
    <w:rsid w:val="00CC54A2"/>
    <w:rsid w:val="00CD35BC"/>
    <w:rsid w:val="00CD73A7"/>
    <w:rsid w:val="00CE23AF"/>
    <w:rsid w:val="00CE54CC"/>
    <w:rsid w:val="00CE791F"/>
    <w:rsid w:val="00CF48B1"/>
    <w:rsid w:val="00CF591E"/>
    <w:rsid w:val="00D01240"/>
    <w:rsid w:val="00D06278"/>
    <w:rsid w:val="00D2470B"/>
    <w:rsid w:val="00D432F2"/>
    <w:rsid w:val="00D535DC"/>
    <w:rsid w:val="00D563DB"/>
    <w:rsid w:val="00D627D3"/>
    <w:rsid w:val="00D63456"/>
    <w:rsid w:val="00D8015D"/>
    <w:rsid w:val="00D80C64"/>
    <w:rsid w:val="00D84969"/>
    <w:rsid w:val="00D90427"/>
    <w:rsid w:val="00D94553"/>
    <w:rsid w:val="00DA27CC"/>
    <w:rsid w:val="00DB5812"/>
    <w:rsid w:val="00DB5DB4"/>
    <w:rsid w:val="00DF069F"/>
    <w:rsid w:val="00DF4B1C"/>
    <w:rsid w:val="00DF6DA7"/>
    <w:rsid w:val="00E05C9B"/>
    <w:rsid w:val="00E14656"/>
    <w:rsid w:val="00E22BC6"/>
    <w:rsid w:val="00E24097"/>
    <w:rsid w:val="00E27118"/>
    <w:rsid w:val="00E27661"/>
    <w:rsid w:val="00E34099"/>
    <w:rsid w:val="00E4179D"/>
    <w:rsid w:val="00E41E04"/>
    <w:rsid w:val="00E538AF"/>
    <w:rsid w:val="00E6078D"/>
    <w:rsid w:val="00E64BAD"/>
    <w:rsid w:val="00E721E1"/>
    <w:rsid w:val="00E72C8B"/>
    <w:rsid w:val="00E76F05"/>
    <w:rsid w:val="00E84110"/>
    <w:rsid w:val="00EC358B"/>
    <w:rsid w:val="00ED5902"/>
    <w:rsid w:val="00EE0C61"/>
    <w:rsid w:val="00EE3659"/>
    <w:rsid w:val="00EF2191"/>
    <w:rsid w:val="00F0309D"/>
    <w:rsid w:val="00F2322B"/>
    <w:rsid w:val="00F25D49"/>
    <w:rsid w:val="00F27DC9"/>
    <w:rsid w:val="00F31310"/>
    <w:rsid w:val="00F536C4"/>
    <w:rsid w:val="00F630FA"/>
    <w:rsid w:val="00F80F55"/>
    <w:rsid w:val="00FB145C"/>
    <w:rsid w:val="00FE2E5B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E9D"/>
    <w:pPr>
      <w:keepNext/>
      <w:keepLines/>
      <w:widowControl/>
      <w:autoSpaceDE/>
      <w:autoSpaceDN/>
      <w:adjustRightInd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2A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A55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B2A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A55"/>
    <w:rPr>
      <w:rFonts w:ascii="Times New Roman" w:eastAsiaTheme="minorEastAsia" w:hAnsi="Times New Roman" w:cs="Arial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71E9D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971E9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971E9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971E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09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09D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09D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31D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0CF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0CF6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CC89-66D5-451D-B80A-1BF9024C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18</Pages>
  <Words>5119</Words>
  <Characters>30716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50</cp:revision>
  <cp:lastPrinted>2016-07-27T05:04:00Z</cp:lastPrinted>
  <dcterms:created xsi:type="dcterms:W3CDTF">2016-05-18T06:29:00Z</dcterms:created>
  <dcterms:modified xsi:type="dcterms:W3CDTF">2016-10-10T09:12:00Z</dcterms:modified>
</cp:coreProperties>
</file>