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C" w:rsidRPr="00303EEC" w:rsidRDefault="00D80756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303EE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303EEC" w:rsidRDefault="00ED2483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303EEC" w:rsidRDefault="00D80756" w:rsidP="00A529AB">
      <w:pPr>
        <w:pStyle w:val="Header"/>
        <w:tabs>
          <w:tab w:val="clear" w:pos="4536"/>
        </w:tabs>
        <w:jc w:val="center"/>
        <w:rPr>
          <w:sz w:val="32"/>
          <w:szCs w:val="32"/>
        </w:rPr>
      </w:pPr>
      <w:r w:rsidRPr="00303EEC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303EEC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303EEC">
        <w:rPr>
          <w:rFonts w:cs="Calibri"/>
          <w:b/>
          <w:color w:val="000000"/>
          <w:sz w:val="32"/>
          <w:szCs w:val="32"/>
        </w:rPr>
        <w:t>funkcję</w:t>
      </w:r>
    </w:p>
    <w:p w:rsidR="0094407C" w:rsidRPr="00303EEC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303EEC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94407C" w:rsidRPr="00303EEC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303EEC">
        <w:rPr>
          <w:rFonts w:cs="Calibri"/>
          <w:b/>
          <w:bCs/>
          <w:sz w:val="32"/>
          <w:szCs w:val="32"/>
        </w:rPr>
        <w:t>oraz</w:t>
      </w:r>
    </w:p>
    <w:p w:rsidR="00ED2483" w:rsidRPr="00303EEC" w:rsidRDefault="008A5849" w:rsidP="00A529A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303EEC">
        <w:rPr>
          <w:rFonts w:cs="Calibri"/>
          <w:b/>
          <w:color w:val="000000"/>
          <w:sz w:val="32"/>
          <w:szCs w:val="32"/>
        </w:rPr>
        <w:t>Miasto Jelenia Góra</w:t>
      </w:r>
      <w:r w:rsidR="00ED2483" w:rsidRPr="00303EEC">
        <w:rPr>
          <w:rFonts w:cs="Calibri"/>
          <w:b/>
          <w:color w:val="000000"/>
          <w:sz w:val="32"/>
          <w:szCs w:val="32"/>
        </w:rPr>
        <w:t xml:space="preserve"> </w:t>
      </w:r>
      <w:r w:rsidR="00ED2483" w:rsidRPr="00303EEC">
        <w:rPr>
          <w:rFonts w:cs="Calibri"/>
          <w:b/>
          <w:color w:val="000000"/>
          <w:sz w:val="32"/>
          <w:szCs w:val="32"/>
        </w:rPr>
        <w:br/>
      </w:r>
      <w:r w:rsidRPr="00303EEC">
        <w:rPr>
          <w:rFonts w:cs="Calibri"/>
          <w:b/>
          <w:color w:val="000000"/>
          <w:sz w:val="32"/>
          <w:szCs w:val="32"/>
        </w:rPr>
        <w:t>pełniące</w:t>
      </w:r>
      <w:r w:rsidR="00D80756" w:rsidRPr="00303EEC">
        <w:rPr>
          <w:rFonts w:cs="Calibri"/>
          <w:b/>
          <w:color w:val="000000"/>
          <w:sz w:val="32"/>
          <w:szCs w:val="32"/>
        </w:rPr>
        <w:t xml:space="preserve"> funkcję</w:t>
      </w:r>
      <w:r w:rsidR="00ED2483" w:rsidRPr="00303EEC">
        <w:rPr>
          <w:rFonts w:cs="Calibri"/>
          <w:b/>
          <w:color w:val="000000"/>
          <w:sz w:val="32"/>
          <w:szCs w:val="32"/>
        </w:rPr>
        <w:t xml:space="preserve"> </w:t>
      </w:r>
    </w:p>
    <w:p w:rsidR="0094407C" w:rsidRPr="00303EEC" w:rsidRDefault="00D80756" w:rsidP="00ED2483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303EEC">
        <w:rPr>
          <w:rFonts w:cs="Calibri"/>
          <w:b/>
          <w:color w:val="000000"/>
          <w:sz w:val="32"/>
          <w:szCs w:val="32"/>
        </w:rPr>
        <w:t>Instytucji Pośredniczącej w ramach instrumentu Zinteg</w:t>
      </w:r>
      <w:r w:rsidR="00ED2483" w:rsidRPr="00303EEC">
        <w:rPr>
          <w:rFonts w:cs="Calibri"/>
          <w:b/>
          <w:color w:val="000000"/>
          <w:sz w:val="32"/>
          <w:szCs w:val="32"/>
        </w:rPr>
        <w:t xml:space="preserve">rowane Inwestycje Terytorialne </w:t>
      </w:r>
      <w:r w:rsidRPr="00303EEC">
        <w:rPr>
          <w:rFonts w:cs="Calibri"/>
          <w:b/>
          <w:color w:val="000000"/>
          <w:sz w:val="32"/>
          <w:szCs w:val="32"/>
        </w:rPr>
        <w:t>Regionalnego Programu Operacyjnego Województwa Dolnośląskiego 2014</w:t>
      </w:r>
      <w:r w:rsidR="00ED2483" w:rsidRPr="00303EEC">
        <w:rPr>
          <w:rFonts w:cs="Calibri"/>
          <w:b/>
          <w:color w:val="000000"/>
          <w:sz w:val="32"/>
          <w:szCs w:val="32"/>
        </w:rPr>
        <w:t>-</w:t>
      </w:r>
      <w:r w:rsidRPr="00303EEC">
        <w:rPr>
          <w:rFonts w:cs="Calibri"/>
          <w:b/>
          <w:color w:val="000000"/>
          <w:sz w:val="32"/>
          <w:szCs w:val="32"/>
        </w:rPr>
        <w:t>2020</w:t>
      </w:r>
    </w:p>
    <w:p w:rsidR="00ED2483" w:rsidRPr="00303EEC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303EEC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303EEC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303EEC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303EEC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303EEC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303EEC">
        <w:rPr>
          <w:rFonts w:cs="Calibri"/>
          <w:b/>
          <w:bCs/>
          <w:sz w:val="32"/>
          <w:szCs w:val="32"/>
        </w:rPr>
        <w:t xml:space="preserve">w </w:t>
      </w:r>
      <w:r w:rsidR="00D80756" w:rsidRPr="00303EEC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303EEC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303EEC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303EEC">
        <w:rPr>
          <w:rFonts w:cs="Arial"/>
          <w:b/>
          <w:sz w:val="32"/>
          <w:szCs w:val="32"/>
        </w:rPr>
        <w:t xml:space="preserve">Oś priorytetowa 6 </w:t>
      </w:r>
      <w:r w:rsidR="00D80756" w:rsidRPr="00303EEC">
        <w:rPr>
          <w:rFonts w:cs="Arial"/>
          <w:b/>
          <w:sz w:val="32"/>
          <w:szCs w:val="32"/>
        </w:rPr>
        <w:t>Infrastruktura spójności społecznej</w:t>
      </w:r>
    </w:p>
    <w:p w:rsidR="00ED2483" w:rsidRPr="00303EEC" w:rsidRDefault="00ED2483" w:rsidP="00ED2483">
      <w:pPr>
        <w:pStyle w:val="Header"/>
        <w:jc w:val="center"/>
        <w:rPr>
          <w:sz w:val="32"/>
          <w:szCs w:val="32"/>
        </w:rPr>
      </w:pPr>
    </w:p>
    <w:p w:rsidR="0094407C" w:rsidRPr="00303EEC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303EEC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303EEC" w:rsidRDefault="00ED2483" w:rsidP="00ED2483">
      <w:pPr>
        <w:pStyle w:val="Header"/>
        <w:jc w:val="center"/>
        <w:rPr>
          <w:sz w:val="32"/>
          <w:szCs w:val="32"/>
        </w:rPr>
      </w:pPr>
    </w:p>
    <w:bookmarkEnd w:id="0"/>
    <w:bookmarkEnd w:id="1"/>
    <w:p w:rsidR="0094407C" w:rsidRPr="00303EEC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303EEC">
        <w:rPr>
          <w:rFonts w:cs="Arial"/>
          <w:b/>
          <w:sz w:val="32"/>
          <w:szCs w:val="32"/>
        </w:rPr>
        <w:t>Poddziałanie 6.1.</w:t>
      </w:r>
      <w:r w:rsidR="00074ADD">
        <w:rPr>
          <w:rFonts w:cs="Arial"/>
          <w:b/>
          <w:sz w:val="32"/>
          <w:szCs w:val="32"/>
        </w:rPr>
        <w:t>3</w:t>
      </w:r>
      <w:r w:rsidRPr="00303EEC">
        <w:rPr>
          <w:rFonts w:cs="Arial"/>
          <w:b/>
          <w:sz w:val="32"/>
          <w:szCs w:val="32"/>
        </w:rPr>
        <w:t xml:space="preserve"> Inwestycje w infrastrukturę społeczną – ZIT </w:t>
      </w:r>
      <w:r w:rsidR="008A5849" w:rsidRPr="00303EEC">
        <w:rPr>
          <w:rFonts w:cs="Arial"/>
          <w:b/>
          <w:sz w:val="32"/>
          <w:szCs w:val="32"/>
        </w:rPr>
        <w:t>AJ</w:t>
      </w:r>
    </w:p>
    <w:p w:rsidR="00ED2483" w:rsidRPr="00303EEC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</w:p>
    <w:p w:rsidR="0094407C" w:rsidRPr="00303EEC" w:rsidRDefault="00D80756" w:rsidP="00ED2483">
      <w:pPr>
        <w:pStyle w:val="Standard"/>
        <w:tabs>
          <w:tab w:val="left" w:pos="3119"/>
          <w:tab w:val="center" w:pos="4820"/>
          <w:tab w:val="right" w:pos="9356"/>
        </w:tabs>
        <w:spacing w:after="60" w:line="240" w:lineRule="auto"/>
        <w:ind w:left="284" w:hanging="284"/>
        <w:jc w:val="both"/>
        <w:rPr>
          <w:sz w:val="32"/>
          <w:szCs w:val="32"/>
        </w:rPr>
      </w:pPr>
      <w:r w:rsidRPr="00303EEC">
        <w:rPr>
          <w:b/>
          <w:sz w:val="32"/>
          <w:szCs w:val="32"/>
        </w:rPr>
        <w:t>D</w:t>
      </w:r>
      <w:r w:rsidRPr="00303EEC">
        <w:rPr>
          <w:b/>
          <w:sz w:val="32"/>
          <w:szCs w:val="32"/>
        </w:rPr>
        <w:tab/>
        <w:t>Remont, przebudowa i wyposażenie infrastruktury zdegradowanych budynków w cel</w:t>
      </w:r>
      <w:r w:rsidR="00ED2483" w:rsidRPr="00303EEC">
        <w:rPr>
          <w:b/>
          <w:sz w:val="32"/>
          <w:szCs w:val="32"/>
        </w:rPr>
        <w:t xml:space="preserve">u ich adaptacji na mieszkania o </w:t>
      </w:r>
      <w:r w:rsidRPr="00303EEC">
        <w:rPr>
          <w:b/>
          <w:sz w:val="32"/>
          <w:szCs w:val="32"/>
        </w:rPr>
        <w:t>charakterze wspomaganym: chronione, treningowe i wspierane skierowane w</w:t>
      </w:r>
      <w:r w:rsidR="00ED2483" w:rsidRPr="00303EEC">
        <w:rPr>
          <w:b/>
          <w:sz w:val="32"/>
          <w:szCs w:val="32"/>
        </w:rPr>
        <w:t> </w:t>
      </w:r>
      <w:r w:rsidRPr="00303EEC">
        <w:rPr>
          <w:b/>
          <w:sz w:val="32"/>
          <w:szCs w:val="32"/>
        </w:rPr>
        <w:t>szczególności dla osób opuszczających pieczę zastępczą, zakłady poprawcze lub młodzieżowe ośrodki wychowawcze</w:t>
      </w:r>
    </w:p>
    <w:p w:rsidR="0094407C" w:rsidRPr="00303EEC" w:rsidRDefault="00D80756" w:rsidP="00ED2483">
      <w:pPr>
        <w:pStyle w:val="Standard"/>
        <w:tabs>
          <w:tab w:val="left" w:pos="3119"/>
          <w:tab w:val="center" w:pos="4820"/>
          <w:tab w:val="right" w:pos="9356"/>
        </w:tabs>
        <w:spacing w:after="0" w:line="240" w:lineRule="auto"/>
        <w:ind w:left="284" w:hanging="284"/>
        <w:jc w:val="both"/>
        <w:rPr>
          <w:sz w:val="32"/>
          <w:szCs w:val="32"/>
        </w:rPr>
      </w:pPr>
      <w:r w:rsidRPr="00303EEC">
        <w:rPr>
          <w:b/>
          <w:sz w:val="32"/>
          <w:szCs w:val="32"/>
        </w:rPr>
        <w:t>E</w:t>
      </w:r>
      <w:r w:rsidRPr="00303EEC">
        <w:rPr>
          <w:b/>
          <w:sz w:val="32"/>
          <w:szCs w:val="32"/>
        </w:rPr>
        <w:tab/>
        <w:t>Remont, przebudowę i wyposażenie infrastruktury zdegradowanych budynków w celu ich adaptacji na mieszkania socjalne</w:t>
      </w:r>
    </w:p>
    <w:p w:rsidR="0094407C" w:rsidRPr="00303EEC" w:rsidRDefault="0094407C" w:rsidP="00ED2483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303EEC" w:rsidRDefault="00ED2483" w:rsidP="00ED2483">
      <w:pPr>
        <w:jc w:val="center"/>
        <w:rPr>
          <w:b/>
          <w:sz w:val="32"/>
          <w:szCs w:val="32"/>
        </w:rPr>
      </w:pPr>
      <w:r w:rsidRPr="00303EEC">
        <w:rPr>
          <w:b/>
          <w:sz w:val="32"/>
          <w:szCs w:val="32"/>
        </w:rPr>
        <w:t>N</w:t>
      </w:r>
      <w:r w:rsidR="003A57EA" w:rsidRPr="00303EEC">
        <w:rPr>
          <w:b/>
          <w:sz w:val="32"/>
          <w:szCs w:val="32"/>
        </w:rPr>
        <w:t>r</w:t>
      </w:r>
      <w:r w:rsidRPr="00303EEC">
        <w:rPr>
          <w:b/>
          <w:sz w:val="32"/>
          <w:szCs w:val="32"/>
        </w:rPr>
        <w:t xml:space="preserve"> naboru </w:t>
      </w:r>
      <w:r w:rsidR="00D80756" w:rsidRPr="00303EEC">
        <w:rPr>
          <w:b/>
          <w:sz w:val="32"/>
          <w:szCs w:val="32"/>
        </w:rPr>
        <w:t>RPDS.06.01.0</w:t>
      </w:r>
      <w:r w:rsidR="008A5849" w:rsidRPr="00303EEC">
        <w:rPr>
          <w:b/>
          <w:sz w:val="32"/>
          <w:szCs w:val="32"/>
        </w:rPr>
        <w:t>3</w:t>
      </w:r>
      <w:r w:rsidR="00D80756" w:rsidRPr="00303EEC">
        <w:rPr>
          <w:b/>
          <w:sz w:val="32"/>
          <w:szCs w:val="32"/>
        </w:rPr>
        <w:t>-IZ.00-02-16</w:t>
      </w:r>
      <w:r w:rsidR="008A5849" w:rsidRPr="00303EEC">
        <w:rPr>
          <w:b/>
          <w:sz w:val="32"/>
          <w:szCs w:val="32"/>
        </w:rPr>
        <w:t>5</w:t>
      </w:r>
      <w:r w:rsidR="00D80756" w:rsidRPr="00303EEC">
        <w:rPr>
          <w:b/>
          <w:sz w:val="32"/>
          <w:szCs w:val="32"/>
        </w:rPr>
        <w:t>/16</w:t>
      </w:r>
    </w:p>
    <w:p w:rsidR="00ED2483" w:rsidRPr="00303EEC" w:rsidRDefault="00ED2483" w:rsidP="00ED2483">
      <w:pPr>
        <w:jc w:val="center"/>
        <w:rPr>
          <w:b/>
          <w:sz w:val="32"/>
          <w:szCs w:val="32"/>
        </w:rPr>
      </w:pPr>
      <w:r w:rsidRPr="00303EEC">
        <w:rPr>
          <w:b/>
          <w:sz w:val="32"/>
          <w:szCs w:val="32"/>
        </w:rPr>
        <w:br w:type="page"/>
      </w:r>
    </w:p>
    <w:p w:rsidR="0094407C" w:rsidRPr="00303EEC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303EEC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68"/>
        <w:gridCol w:w="7495"/>
      </w:tblGrid>
      <w:tr w:rsidR="0094407C" w:rsidRPr="00303EEC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Heading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303EEC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Header"/>
              <w:spacing w:after="60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303EEC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6 </w:t>
            </w:r>
            <w:r w:rsidR="00D86139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D86139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303EEC">
              <w:rPr>
                <w:rFonts w:asciiTheme="minorHAnsi" w:eastAsia="Droid Sans Fallback" w:hAnsiTheme="minorHAnsi" w:cs="Calibri"/>
                <w:color w:val="00000A"/>
              </w:rPr>
              <w:t>– Działanie 6.1 Inwestycje w infrastrukturę społeczną –</w:t>
            </w:r>
          </w:p>
          <w:p w:rsidR="0094407C" w:rsidRPr="00303EE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303EEC">
              <w:rPr>
                <w:rFonts w:asciiTheme="minorHAnsi" w:hAnsiTheme="minorHAnsi"/>
                <w:b/>
              </w:rPr>
              <w:t>Poddziałanie 6.1.</w:t>
            </w:r>
            <w:r w:rsidR="008A5849" w:rsidRPr="00303EEC">
              <w:rPr>
                <w:rFonts w:asciiTheme="minorHAnsi" w:hAnsiTheme="minorHAnsi"/>
                <w:b/>
              </w:rPr>
              <w:t>3</w:t>
            </w:r>
            <w:r w:rsidRPr="00303EEC">
              <w:rPr>
                <w:rFonts w:asciiTheme="minorHAnsi" w:hAnsiTheme="minorHAnsi"/>
                <w:b/>
              </w:rPr>
              <w:t xml:space="preserve"> Inwestycje w infrastrukturę społeczną – ZIT </w:t>
            </w:r>
            <w:r w:rsidR="008A5849" w:rsidRPr="00303EEC">
              <w:rPr>
                <w:rFonts w:asciiTheme="minorHAnsi" w:hAnsiTheme="minorHAnsi"/>
                <w:b/>
              </w:rPr>
              <w:t>AJ</w:t>
            </w:r>
          </w:p>
          <w:p w:rsidR="0094407C" w:rsidRPr="00303EE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color w:val="000000"/>
              </w:rPr>
              <w:t xml:space="preserve"> – na projekty realizowane na </w:t>
            </w:r>
            <w:r w:rsidR="008A5849" w:rsidRPr="00303EEC">
              <w:rPr>
                <w:rFonts w:eastAsia="Droid Sans Fallback" w:cs="Calibri"/>
                <w:color w:val="00000A"/>
                <w:u w:val="single"/>
              </w:rPr>
              <w:t>Aglomeracji Jeleniogórskiej określonej w Strategii ZIT AJ</w:t>
            </w:r>
            <w:r w:rsidR="008A5849" w:rsidRPr="00303EEC">
              <w:rPr>
                <w:rStyle w:val="Odwoanieprzypisudolnego"/>
              </w:rPr>
              <w:footnoteReference w:id="1"/>
            </w:r>
            <w:r w:rsidR="008A5849" w:rsidRPr="00303EEC">
              <w:rPr>
                <w:rFonts w:eastAsia="Droid Sans Fallback" w:cs="Calibri"/>
                <w:color w:val="00000A"/>
              </w:rPr>
              <w:t>.</w:t>
            </w:r>
          </w:p>
        </w:tc>
      </w:tr>
      <w:tr w:rsidR="0094407C" w:rsidRPr="00303EEC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303EEC">
              <w:rPr>
                <w:rFonts w:asciiTheme="minorHAnsi" w:hAnsiTheme="minorHAnsi"/>
                <w:b/>
              </w:rPr>
              <w:t xml:space="preserve"> organizujących konkursy</w:t>
            </w: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</w:rPr>
              <w:t xml:space="preserve">Konkurs ogłasza Instytucja Zarządzająca Regionalnym Programem Operacyjnym Województwa Dolnośląskiego 2014-2020 oraz </w:t>
            </w:r>
            <w:r w:rsidR="008A5849" w:rsidRPr="00303EEC">
              <w:rPr>
                <w:rFonts w:asciiTheme="minorHAnsi" w:hAnsiTheme="minorHAnsi"/>
              </w:rPr>
              <w:t>Miasto Jelenia Góra</w:t>
            </w:r>
            <w:r w:rsidRPr="00303EEC">
              <w:rPr>
                <w:rFonts w:asciiTheme="minorHAnsi" w:hAnsiTheme="minorHAnsi"/>
              </w:rPr>
              <w:t>, pełn</w:t>
            </w:r>
            <w:r w:rsidR="008A5849" w:rsidRPr="00303EEC">
              <w:rPr>
                <w:rFonts w:asciiTheme="minorHAnsi" w:hAnsiTheme="minorHAnsi"/>
              </w:rPr>
              <w:t>iące</w:t>
            </w:r>
            <w:r w:rsidRPr="00303EEC">
              <w:rPr>
                <w:rFonts w:asciiTheme="minorHAnsi" w:hAnsiTheme="minorHAnsi"/>
              </w:rPr>
              <w:t xml:space="preserve"> funkcję Instytucji Pośredniczącej RPO WD 2014-2020 w ramach instrumentu Zintegrowane Inwestycje Terytorialne </w:t>
            </w:r>
            <w:r w:rsidR="008A5849" w:rsidRPr="00303EEC">
              <w:rPr>
                <w:rFonts w:asciiTheme="minorHAnsi" w:hAnsiTheme="minorHAnsi"/>
              </w:rPr>
              <w:t>Aglomeracji Jeleniogórskiej</w:t>
            </w:r>
            <w:r w:rsidRPr="00303EEC">
              <w:rPr>
                <w:rFonts w:asciiTheme="minorHAnsi" w:hAnsiTheme="minorHAnsi"/>
              </w:rPr>
              <w:t xml:space="preserve"> (ZIT </w:t>
            </w:r>
            <w:r w:rsidR="008A5849" w:rsidRPr="00303EEC">
              <w:rPr>
                <w:rFonts w:asciiTheme="minorHAnsi" w:hAnsiTheme="minorHAnsi"/>
              </w:rPr>
              <w:t>AJ</w:t>
            </w:r>
            <w:r w:rsidRPr="00303EEC">
              <w:rPr>
                <w:rFonts w:asciiTheme="minorHAnsi" w:hAnsiTheme="minorHAnsi"/>
              </w:rPr>
              <w:t>) –</w:t>
            </w:r>
            <w:r w:rsidR="003A73C4" w:rsidRPr="00303EEC">
              <w:rPr>
                <w:rFonts w:asciiTheme="minorHAnsi" w:hAnsiTheme="minorHAnsi"/>
              </w:rPr>
              <w:t xml:space="preserve"> </w:t>
            </w:r>
            <w:r w:rsidRPr="00303EEC">
              <w:rPr>
                <w:rFonts w:asciiTheme="minorHAnsi" w:hAnsiTheme="minorHAnsi"/>
              </w:rPr>
              <w:t>jako Instytucja Organizująca Konkurs.</w:t>
            </w:r>
          </w:p>
          <w:p w:rsidR="0094407C" w:rsidRPr="00303EEC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303EEC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303EEC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</w:p>
          <w:p w:rsidR="00C930F2" w:rsidRPr="00303EEC" w:rsidRDefault="00C930F2" w:rsidP="00C930F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303EEC">
              <w:rPr>
                <w:rFonts w:ascii="Calibri" w:hAnsi="Calibri"/>
                <w:szCs w:val="22"/>
              </w:rPr>
              <w:t>oraz</w:t>
            </w:r>
          </w:p>
          <w:p w:rsidR="00C930F2" w:rsidRPr="00303EEC" w:rsidRDefault="00C930F2" w:rsidP="00C930F2">
            <w:pPr>
              <w:pStyle w:val="Standard"/>
              <w:spacing w:before="120" w:after="120" w:line="240" w:lineRule="auto"/>
              <w:jc w:val="both"/>
            </w:pPr>
            <w:r w:rsidRPr="00303EEC">
              <w:rPr>
                <w:bCs/>
              </w:rPr>
              <w:t>3)  Miasto</w:t>
            </w:r>
            <w:r w:rsidRPr="00303EEC">
              <w:rPr>
                <w:b/>
                <w:bCs/>
              </w:rPr>
              <w:t xml:space="preserve"> </w:t>
            </w:r>
            <w:r w:rsidRPr="00303EEC">
              <w:rPr>
                <w:bCs/>
              </w:rPr>
              <w:t>Jelenia Góra, pełniące funkcję Instytucji Pośredniczącej RPO WD – ul. Okrzei 10, 58-500 Jelenia Góra.</w:t>
            </w:r>
          </w:p>
          <w:p w:rsidR="0094407C" w:rsidRPr="00303EEC" w:rsidRDefault="00C930F2" w:rsidP="00C930F2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t>Porozumienie zawarte pomiędzy IZ RPO WD a Miastem Jelenią Górą, pełniącym funkcję Instytucji Pośredniczącej RPO WD oraz lidera w ramach instrumentu Zintegrowane Inwestycje Terytorialne Aglomeracji Jeleniogórskiej, reguluje zasady współpracy (prawa i obowiązki) w ramach ww. konkursu.</w:t>
            </w:r>
          </w:p>
        </w:tc>
      </w:tr>
      <w:tr w:rsidR="0094407C" w:rsidRPr="00303EEC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303EEC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6 RPO WD </w:t>
            </w:r>
            <w:r w:rsidRPr="00303EEC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303EEC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6.1.3 Inwestycje w infrastrukturę społeczną – ZIT AJ</w:t>
            </w:r>
            <w:r w:rsidRPr="00303EEC">
              <w:rPr>
                <w:rFonts w:asciiTheme="minorHAnsi" w:hAnsiTheme="minorHAnsi" w:cs="Calibri"/>
                <w:color w:val="000000"/>
              </w:rPr>
              <w:t>:</w:t>
            </w:r>
          </w:p>
          <w:p w:rsidR="0094407C" w:rsidRPr="00303EEC" w:rsidRDefault="00D80756" w:rsidP="00ED2483">
            <w:pPr>
              <w:pStyle w:val="Nagwek1"/>
              <w:spacing w:after="60"/>
              <w:ind w:left="285" w:hanging="285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>D</w:t>
            </w: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ab/>
              <w:t>Remont, przebudowa i wyposażenie infrastruktury zdegradowanych budynków w celu ich adaptacji na mieszkania o charakterze wspomaganym: chronione, treningowe i wspierane skierowane w szczególności dla osób opuszczających pieczę zastępczą, zakłady poprawcze lub młodzieżowe ośrodki wychowawcze</w:t>
            </w:r>
          </w:p>
          <w:p w:rsidR="0094407C" w:rsidRPr="00303EEC" w:rsidRDefault="00D80756" w:rsidP="00ED2483">
            <w:pPr>
              <w:pStyle w:val="Nagwek1"/>
              <w:spacing w:after="60"/>
              <w:ind w:left="285" w:hanging="285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>E</w:t>
            </w: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ab/>
              <w:t>Remont, przebudowa i wyposażenie infrastruktury zdegradowanych budynków w celu ich adaptacji na mieszkania socjalne</w:t>
            </w:r>
          </w:p>
          <w:p w:rsidR="0094407C" w:rsidRPr="00303EEC" w:rsidRDefault="0094407C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C930F2" w:rsidRPr="00303EEC" w:rsidRDefault="00C930F2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94407C" w:rsidRPr="00303EEC" w:rsidRDefault="00D80756" w:rsidP="009747B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  <w:b/>
              </w:rPr>
              <w:t xml:space="preserve">Inwestycje w mieszkaniach o charakterze wspomaganym mogą być realizowane pod warunkiem,  że </w:t>
            </w: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maksymalna liczba miejsc jest nie większa, niż określają to </w:t>
            </w:r>
            <w:r w:rsidRPr="00303EEC">
              <w:rPr>
                <w:rFonts w:asciiTheme="minorHAnsi" w:eastAsia="Droid Sans Fallback" w:hAnsiTheme="minorHAnsi" w:cs="Calibri"/>
                <w:b/>
                <w:i/>
                <w:color w:val="00000A"/>
              </w:rPr>
              <w:t>„</w:t>
            </w:r>
            <w:r w:rsidRPr="00303EEC">
              <w:rPr>
                <w:rFonts w:asciiTheme="minorHAnsi" w:hAnsiTheme="minorHAnsi" w:cs="Calibri"/>
                <w:b/>
                <w:i/>
                <w:color w:val="000000"/>
              </w:rPr>
              <w:t xml:space="preserve">Wytyczne w zakresie realizacji przedsięwzięć w obszarze włączenia społecznego i zwalczania ubóstwa z wykorzystaniem środków Europejskiego </w:t>
            </w:r>
            <w:r w:rsidRPr="00303EEC">
              <w:rPr>
                <w:rFonts w:asciiTheme="minorHAnsi" w:hAnsiTheme="minorHAnsi" w:cs="Calibri"/>
                <w:b/>
                <w:i/>
                <w:color w:val="000000"/>
              </w:rPr>
              <w:lastRenderedPageBreak/>
              <w:t>Funduszu Społecznego i Europejskiego Funduszu Rozwoju Regionalnego na lata 2014-2020”</w:t>
            </w:r>
            <w:r w:rsidRPr="00303EEC">
              <w:rPr>
                <w:rFonts w:asciiTheme="minorHAnsi" w:hAnsiTheme="minorHAnsi" w:cs="Calibri"/>
                <w:b/>
                <w:color w:val="000000"/>
              </w:rPr>
              <w:t>.</w:t>
            </w:r>
          </w:p>
          <w:p w:rsidR="0094407C" w:rsidRPr="00303EEC" w:rsidRDefault="00D80756" w:rsidP="009747B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</w:rPr>
              <w:t>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94407C" w:rsidRPr="00303EEC" w:rsidRDefault="00D80756" w:rsidP="009747B7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</w:rPr>
              <w:t xml:space="preserve">Usługi świadczone są w sposób wskazany w </w:t>
            </w:r>
            <w:r w:rsidRPr="00303EEC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</w:t>
            </w:r>
            <w:r w:rsidR="003A73C4" w:rsidRPr="00303EEC">
              <w:rPr>
                <w:rFonts w:asciiTheme="minorHAnsi" w:hAnsiTheme="minorHAnsi"/>
                <w:i/>
                <w:iCs/>
              </w:rPr>
              <w:t> </w:t>
            </w:r>
            <w:r w:rsidRPr="00303EEC">
              <w:rPr>
                <w:rFonts w:asciiTheme="minorHAnsi" w:hAnsiTheme="minorHAnsi"/>
                <w:i/>
                <w:iCs/>
              </w:rPr>
              <w:t>wykorzystaniem środków Europejskiego Funduszu Społecznego i Europejskiego Funduszu Rozwoju Regionalnego na lata 2014-2020”</w:t>
            </w:r>
            <w:r w:rsidRPr="00303EEC">
              <w:rPr>
                <w:rFonts w:asciiTheme="minorHAnsi" w:hAnsiTheme="minorHAnsi"/>
              </w:rPr>
              <w:t>.</w:t>
            </w:r>
          </w:p>
          <w:p w:rsidR="0094407C" w:rsidRPr="00303EEC" w:rsidRDefault="00D80756" w:rsidP="00ED2483">
            <w:pPr>
              <w:pStyle w:val="Standard"/>
              <w:pBdr>
                <w:bottom w:val="single" w:sz="4" w:space="0" w:color="00000A"/>
              </w:pBd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303EEC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</w:t>
            </w:r>
            <w:r w:rsidR="003A73C4" w:rsidRPr="00303EEC">
              <w:rPr>
                <w:rFonts w:asciiTheme="minorHAnsi" w:hAnsiTheme="minorHAnsi"/>
                <w:i/>
                <w:iCs/>
                <w:u w:val="single"/>
              </w:rPr>
              <w:t> </w:t>
            </w:r>
            <w:r w:rsidRPr="00303EEC">
              <w:rPr>
                <w:rFonts w:asciiTheme="minorHAnsi" w:hAnsiTheme="minorHAnsi"/>
                <w:i/>
                <w:iCs/>
                <w:u w:val="single"/>
              </w:rPr>
              <w:t>wykorzystaniem środków Europejskiego Funduszu Społecznego i Europejskiego Funduszu Rozwoju Regionalnego na lata 2014-2020”</w:t>
            </w:r>
            <w:r w:rsidRPr="00303EEC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303EEC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303EEC">
              <w:rPr>
                <w:rFonts w:asciiTheme="minorHAnsi" w:hAnsiTheme="minorHAnsi"/>
              </w:rPr>
              <w:t>.</w:t>
            </w:r>
          </w:p>
          <w:p w:rsidR="009747B7" w:rsidRPr="005D1E5A" w:rsidRDefault="009747B7" w:rsidP="009747B7">
            <w:pPr>
              <w:pStyle w:val="Standard"/>
              <w:spacing w:after="0" w:line="240" w:lineRule="auto"/>
              <w:jc w:val="both"/>
            </w:pPr>
            <w:r w:rsidRPr="005D1E5A">
              <w:t xml:space="preserve">Za </w:t>
            </w:r>
            <w:r w:rsidRPr="005D1E5A">
              <w:rPr>
                <w:b/>
              </w:rPr>
              <w:t>budynek zdegradowany</w:t>
            </w:r>
            <w:r w:rsidRPr="005D1E5A">
              <w:t xml:space="preserve"> na potrzeby niniejszego konkursu uznaje się budynek w którym – na podstawie aktualnej, okresowej kontroli oceny stanu technicznego elementów budowlanych (przeprowadzonej na podstawie art. 62 ustawy – Prawo budowlane) – co najmniej:</w:t>
            </w:r>
          </w:p>
          <w:p w:rsidR="009747B7" w:rsidRPr="005D1E5A" w:rsidRDefault="009747B7" w:rsidP="009747B7">
            <w:pPr>
              <w:pStyle w:val="Standard"/>
              <w:numPr>
                <w:ilvl w:val="0"/>
                <w:numId w:val="58"/>
              </w:numPr>
              <w:spacing w:after="0" w:line="240" w:lineRule="auto"/>
              <w:ind w:left="285" w:hanging="285"/>
              <w:jc w:val="both"/>
            </w:pPr>
            <w:r w:rsidRPr="005D1E5A">
              <w:t>jeden z elementów budowlanych wykazuje stopień zużycia „awaryjny”, tj. na poziomie ponad 50% (w odniesieniu do elementów konstrukcyjnych budynku) lub ponad 60% (w odniesieniu do elementów wykończeniowych budynku),      lub</w:t>
            </w:r>
          </w:p>
          <w:p w:rsidR="009747B7" w:rsidRPr="005D1E5A" w:rsidRDefault="009747B7" w:rsidP="009747B7">
            <w:pPr>
              <w:pStyle w:val="Standard"/>
              <w:numPr>
                <w:ilvl w:val="0"/>
                <w:numId w:val="58"/>
              </w:numPr>
              <w:spacing w:after="120" w:line="240" w:lineRule="auto"/>
              <w:ind w:left="284" w:hanging="284"/>
              <w:jc w:val="both"/>
            </w:pPr>
            <w:r w:rsidRPr="005D1E5A">
              <w:t>co najmniej dwa elementy budowlane wykazują stopień zużycia „zły”, tj. 41-50% (w odniesieniu do elementów konstrukcyjnych budynku) lub 46-60% (w odniesieniu do elementów wykończeniowych budynku).</w:t>
            </w:r>
          </w:p>
          <w:p w:rsidR="009747B7" w:rsidRPr="005D1E5A" w:rsidRDefault="009747B7" w:rsidP="009747B7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</w:pPr>
            <w:r w:rsidRPr="005D1E5A">
              <w:t xml:space="preserve">Protokół (wyciąg z protokołu) z okresowej kontroli i oceny stanu technicznego elementów budowlanych obiektu budowlanego stanowi </w:t>
            </w:r>
            <w:r w:rsidRPr="005D1E5A">
              <w:rPr>
                <w:u w:val="single"/>
              </w:rPr>
              <w:t>obowiązkowy załącznik do wniosku o dofinansowanie</w:t>
            </w:r>
            <w:r w:rsidRPr="005D1E5A">
              <w:t>)</w:t>
            </w:r>
            <w:r>
              <w:t>.</w:t>
            </w:r>
          </w:p>
          <w:p w:rsidR="0094407C" w:rsidRPr="00303EEC" w:rsidRDefault="00D80756" w:rsidP="009747B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  <w:b/>
              </w:rPr>
              <w:t>Interwencja może wykraczać poza części wspólne budynków.</w:t>
            </w:r>
          </w:p>
          <w:p w:rsidR="0094407C" w:rsidRPr="00303EEC" w:rsidRDefault="00D80756" w:rsidP="009747B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94407C" w:rsidRPr="00303EEC" w:rsidRDefault="00D80756" w:rsidP="009747B7">
            <w:pPr>
              <w:pStyle w:val="Default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3A73C4" w:rsidRPr="00303EEC" w:rsidRDefault="00D80756" w:rsidP="009747B7">
            <w:pPr>
              <w:pStyle w:val="Akapitzlist"/>
              <w:pBdr>
                <w:bottom w:val="single" w:sz="4" w:space="0" w:color="00000A"/>
              </w:pBdr>
              <w:spacing w:before="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ubóstwem.</w:t>
            </w:r>
          </w:p>
          <w:p w:rsidR="0094407C" w:rsidRPr="00303EEC" w:rsidRDefault="0094407C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4407C" w:rsidRPr="00303EEC" w:rsidRDefault="00D80756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94407C" w:rsidRPr="003469CB" w:rsidRDefault="003469CB" w:rsidP="009747B7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2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D80756" w:rsidRPr="003469CB">
              <w:rPr>
                <w:rFonts w:asciiTheme="minorHAnsi" w:hAnsiTheme="minorHAnsi"/>
              </w:rPr>
              <w:t>;</w:t>
            </w:r>
          </w:p>
          <w:p w:rsidR="0094407C" w:rsidRPr="00303EEC" w:rsidRDefault="00D80756" w:rsidP="009747B7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  <w:b/>
              </w:rPr>
              <w:t>realizowane na obszarach wiejskich</w:t>
            </w:r>
            <w:r w:rsidRPr="00303EEC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303EEC">
              <w:rPr>
                <w:rFonts w:asciiTheme="minorHAnsi" w:hAnsiTheme="minorHAnsi"/>
                <w:b/>
              </w:rPr>
              <w:t>;</w:t>
            </w:r>
          </w:p>
          <w:p w:rsidR="0094407C" w:rsidRPr="00303EEC" w:rsidRDefault="00D80756" w:rsidP="009747B7">
            <w:pPr>
              <w:pStyle w:val="Akapitzlist"/>
              <w:numPr>
                <w:ilvl w:val="0"/>
                <w:numId w:val="54"/>
              </w:numPr>
              <w:spacing w:before="0" w:after="12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  <w:b/>
              </w:rPr>
              <w:t>realizowane w partnerstwie.</w:t>
            </w:r>
          </w:p>
          <w:p w:rsidR="0094407C" w:rsidRPr="00303EEC" w:rsidRDefault="00D80756" w:rsidP="009747B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303EEC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303EEC">
              <w:rPr>
                <w:rFonts w:asciiTheme="minorHAnsi" w:hAnsiTheme="minorHAnsi"/>
                <w:bCs/>
                <w:iCs/>
              </w:rPr>
              <w:t xml:space="preserve">, </w:t>
            </w:r>
            <w:r w:rsidRPr="00303EEC">
              <w:rPr>
                <w:rFonts w:asciiTheme="minorHAnsi" w:hAnsiTheme="minorHAnsi"/>
              </w:rPr>
              <w:t>zatwierdzone Uchwałą nr 42/1</w:t>
            </w:r>
            <w:r w:rsidR="00C930F2" w:rsidRPr="00303EEC">
              <w:rPr>
                <w:rFonts w:asciiTheme="minorHAnsi" w:hAnsiTheme="minorHAnsi"/>
              </w:rPr>
              <w:t>6</w:t>
            </w:r>
            <w:r w:rsidRPr="00303EEC">
              <w:rPr>
                <w:rFonts w:asciiTheme="minorHAnsi" w:hAnsiTheme="minorHAnsi"/>
              </w:rPr>
              <w:t xml:space="preserve"> z dnia 8 września 2016 r. Komitetu Monitorującego RPO WD 2014-2020, zamieszczone na stronie </w:t>
            </w:r>
            <w:hyperlink r:id="rId9" w:history="1">
              <w:r w:rsidR="00493016" w:rsidRPr="00303EEC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303EEC">
              <w:rPr>
                <w:rFonts w:asciiTheme="minorHAnsi" w:hAnsiTheme="minorHAnsi"/>
              </w:rPr>
              <w:t xml:space="preserve"> (</w:t>
            </w:r>
            <w:r w:rsidRPr="00303EEC">
              <w:rPr>
                <w:rFonts w:asciiTheme="minorHAnsi" w:hAnsiTheme="minorHAnsi"/>
                <w:i/>
              </w:rPr>
              <w:t>„Wyciąg z Kryteriów</w:t>
            </w:r>
            <w:r w:rsidRPr="00303EEC">
              <w:rPr>
                <w:rFonts w:asciiTheme="minorHAnsi" w:hAnsiTheme="minorHAnsi"/>
                <w:bCs/>
                <w:i/>
              </w:rPr>
              <w:t xml:space="preserve"> wyboru projektów</w:t>
            </w:r>
            <w:r w:rsidRPr="00303EEC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94407C" w:rsidRPr="00303EEC" w:rsidRDefault="00D80756" w:rsidP="009747B7">
            <w:pPr>
              <w:pStyle w:val="Standard"/>
              <w:spacing w:after="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94407C" w:rsidRPr="00303EEC" w:rsidRDefault="00D80756" w:rsidP="009747B7">
            <w:pPr>
              <w:pStyle w:val="Akapitzlist"/>
              <w:numPr>
                <w:ilvl w:val="0"/>
                <w:numId w:val="5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inwestycje w części związanej z prowadzeniem działalności gospodarczej nie związanej z celem projektu we wspieranych w projekcie budynkach</w:t>
            </w:r>
            <w:r w:rsidRPr="00303EEC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303EEC">
              <w:rPr>
                <w:rFonts w:asciiTheme="minorHAnsi" w:hAnsiTheme="minorHAnsi"/>
                <w:szCs w:val="22"/>
              </w:rPr>
              <w:t>;</w:t>
            </w:r>
          </w:p>
          <w:p w:rsidR="0094407C" w:rsidRPr="00303EEC" w:rsidRDefault="00D80756" w:rsidP="009747B7">
            <w:pPr>
              <w:pStyle w:val="Akapitzlist"/>
              <w:numPr>
                <w:ilvl w:val="0"/>
                <w:numId w:val="5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9747B7" w:rsidRDefault="00D80756" w:rsidP="009747B7">
            <w:pPr>
              <w:pStyle w:val="Akapitzlist"/>
              <w:numPr>
                <w:ilvl w:val="0"/>
                <w:numId w:val="5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szCs w:val="22"/>
              </w:rPr>
              <w:t>zagospodarowanie otoczenia w zieleń i drobną architekturę</w:t>
            </w:r>
            <w:r w:rsidR="009747B7">
              <w:rPr>
                <w:rFonts w:asciiTheme="minorHAnsi" w:hAnsiTheme="minorHAnsi"/>
                <w:szCs w:val="22"/>
              </w:rPr>
              <w:t>;</w:t>
            </w:r>
          </w:p>
          <w:p w:rsidR="0094407C" w:rsidRPr="00303EEC" w:rsidRDefault="009747B7" w:rsidP="009747B7">
            <w:pPr>
              <w:pStyle w:val="Akapitzlist"/>
              <w:numPr>
                <w:ilvl w:val="0"/>
                <w:numId w:val="56"/>
              </w:numPr>
              <w:spacing w:before="0" w:after="12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5D1E5A">
              <w:rPr>
                <w:rFonts w:ascii="Calibri" w:hAnsi="Calibr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:rsidR="0094407C" w:rsidRPr="00303EEC" w:rsidRDefault="00D80756" w:rsidP="009747B7">
            <w:pPr>
              <w:pStyle w:val="Standard"/>
              <w:pBdr>
                <w:bottom w:val="single" w:sz="4" w:space="0" w:color="00000A"/>
              </w:pBd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</w:rPr>
              <w:t xml:space="preserve">Dla konkursu ogłaszanego w ramach </w:t>
            </w: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>Poddziałania 6.1.</w:t>
            </w:r>
            <w:r w:rsidR="00F8617F" w:rsidRPr="00303EEC">
              <w:rPr>
                <w:rFonts w:asciiTheme="minorHAnsi" w:eastAsia="Droid Sans Fallback" w:hAnsiTheme="minorHAnsi" w:cs="Calibri"/>
                <w:b/>
                <w:color w:val="00000A"/>
              </w:rPr>
              <w:t>3</w:t>
            </w: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Inwestycje w</w:t>
            </w:r>
            <w:r w:rsidR="003A73C4" w:rsidRPr="00303EEC">
              <w:rPr>
                <w:rFonts w:asciiTheme="minorHAnsi" w:eastAsia="Droid Sans Fallback" w:hAnsiTheme="minorHAnsi" w:cs="Calibri"/>
                <w:b/>
                <w:color w:val="00000A"/>
              </w:rPr>
              <w:t> </w:t>
            </w:r>
            <w:r w:rsidRPr="00303EEC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infrastrukturę społeczną – ZIT </w:t>
            </w:r>
            <w:r w:rsidR="00F8617F" w:rsidRPr="00303EEC">
              <w:rPr>
                <w:rFonts w:asciiTheme="minorHAnsi" w:eastAsia="Droid Sans Fallback" w:hAnsiTheme="minorHAnsi" w:cs="Calibri"/>
                <w:b/>
                <w:color w:val="00000A"/>
              </w:rPr>
              <w:t>AJ</w:t>
            </w:r>
            <w:r w:rsidRPr="00303EEC">
              <w:rPr>
                <w:rFonts w:asciiTheme="minorHAnsi" w:hAnsiTheme="minorHAnsi"/>
                <w:bCs/>
              </w:rPr>
              <w:t xml:space="preserve"> (</w:t>
            </w:r>
            <w:r w:rsidRPr="00303EEC">
              <w:rPr>
                <w:rFonts w:asciiTheme="minorHAnsi" w:hAnsiTheme="minorHAnsi"/>
              </w:rPr>
              <w:t>RPDS.06.01.0</w:t>
            </w:r>
            <w:r w:rsidR="00F8617F" w:rsidRPr="00303EEC">
              <w:rPr>
                <w:rFonts w:asciiTheme="minorHAnsi" w:hAnsiTheme="minorHAnsi"/>
              </w:rPr>
              <w:t>3</w:t>
            </w:r>
            <w:r w:rsidRPr="00303EEC">
              <w:rPr>
                <w:rFonts w:asciiTheme="minorHAnsi" w:hAnsiTheme="minorHAnsi"/>
              </w:rPr>
              <w:t>-IZ.00-02-16</w:t>
            </w:r>
            <w:r w:rsidR="00F8617F" w:rsidRPr="00303EEC">
              <w:rPr>
                <w:rFonts w:asciiTheme="minorHAnsi" w:hAnsiTheme="minorHAnsi"/>
              </w:rPr>
              <w:t>5</w:t>
            </w:r>
            <w:r w:rsidRPr="00303EEC">
              <w:rPr>
                <w:rFonts w:asciiTheme="minorHAnsi" w:hAnsiTheme="minorHAnsi"/>
              </w:rPr>
              <w:t>/16</w:t>
            </w:r>
            <w:r w:rsidRPr="00303EEC">
              <w:rPr>
                <w:rFonts w:asciiTheme="minorHAnsi" w:hAnsiTheme="minorHAnsi"/>
                <w:bCs/>
              </w:rPr>
              <w:t>)</w:t>
            </w:r>
            <w:r w:rsidRPr="00303EEC">
              <w:rPr>
                <w:rFonts w:asciiTheme="minorHAnsi" w:hAnsiTheme="minorHAnsi" w:cs="Calibri"/>
                <w:color w:val="000000"/>
              </w:rPr>
              <w:t xml:space="preserve">, </w:t>
            </w:r>
            <w:r w:rsidRPr="00303EEC">
              <w:rPr>
                <w:rFonts w:asciiTheme="minorHAnsi" w:hAnsiTheme="minorHAnsi"/>
              </w:rPr>
              <w:t xml:space="preserve">ww. typ projektu musi być w całości realizowany </w:t>
            </w:r>
            <w:r w:rsidRPr="00303EEC">
              <w:rPr>
                <w:rFonts w:asciiTheme="minorHAnsi" w:hAnsiTheme="minorHAnsi" w:cs="Calibri"/>
                <w:color w:val="000000"/>
              </w:rPr>
              <w:t xml:space="preserve">na obszarze ZIT </w:t>
            </w:r>
            <w:r w:rsidR="008D5D02">
              <w:rPr>
                <w:rFonts w:asciiTheme="minorHAnsi" w:hAnsiTheme="minorHAnsi" w:cs="Calibri"/>
                <w:color w:val="000000"/>
              </w:rPr>
              <w:t>AJ</w:t>
            </w:r>
            <w:r w:rsidRPr="00303EEC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303EEC">
              <w:rPr>
                <w:rFonts w:asciiTheme="minorHAnsi" w:hAnsiTheme="minorHAnsi" w:cs="Calibri"/>
                <w:color w:val="000000"/>
              </w:rPr>
              <w:t>.</w:t>
            </w:r>
          </w:p>
          <w:p w:rsidR="0094407C" w:rsidRPr="009747B7" w:rsidRDefault="00D80756" w:rsidP="009747B7">
            <w:pPr>
              <w:pStyle w:val="Standard"/>
              <w:pBdr>
                <w:bottom w:val="single" w:sz="4" w:space="0" w:color="00000A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color w:val="000000"/>
              </w:rPr>
              <w:t>Kategorią interwencji</w:t>
            </w:r>
            <w:r w:rsidRPr="00303EEC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303EEC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303EEC">
              <w:rPr>
                <w:rFonts w:asciiTheme="minorHAnsi" w:hAnsiTheme="minorHAnsi" w:cs="Calibri"/>
                <w:color w:val="000000"/>
              </w:rPr>
              <w:t>.</w:t>
            </w:r>
          </w:p>
          <w:p w:rsidR="0094407C" w:rsidRPr="00303EE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Arial"/>
                <w:b/>
              </w:rPr>
              <w:t>Możliwe jest łączenie ww. typów projektów 6.1 D i 6.1 E – o wyborze typu decyduje struktura wydatków kwalifikowalnych (ich większościowy udział).</w:t>
            </w:r>
          </w:p>
        </w:tc>
      </w:tr>
      <w:tr w:rsidR="0094407C" w:rsidRPr="00303EEC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303EEC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303EEC" w:rsidRDefault="00D80756" w:rsidP="009747B7">
            <w:pPr>
              <w:pStyle w:val="Akapitzlist"/>
              <w:numPr>
                <w:ilvl w:val="0"/>
                <w:numId w:val="51"/>
              </w:numPr>
              <w:spacing w:before="0" w:after="12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03EEC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303EEC" w:rsidRDefault="00D80756" w:rsidP="009747B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303EEC" w:rsidRDefault="00D80756" w:rsidP="009747B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303EEC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303EEC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303EEC" w:rsidTr="009747B7">
        <w:trPr>
          <w:trHeight w:val="21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9747B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303EEC" w:rsidRDefault="0094407C" w:rsidP="009747B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eastAsia="Droid Sans Fallback" w:hAnsiTheme="minorHAnsi" w:cs="Calibri"/>
                <w:color w:val="00000A"/>
              </w:rPr>
              <w:t xml:space="preserve">Alokacja przeznaczona na konkurs wynosi </w:t>
            </w:r>
            <w:r w:rsidR="00C30A17" w:rsidRPr="00303EEC">
              <w:rPr>
                <w:rFonts w:eastAsia="Times New Roman" w:cs="Arial"/>
                <w:b/>
              </w:rPr>
              <w:t>575 750</w:t>
            </w:r>
            <w:r w:rsidR="00C30A17" w:rsidRPr="00303EEC">
              <w:rPr>
                <w:rFonts w:eastAsia="Times New Roman" w:cs="Arial"/>
              </w:rPr>
              <w:t xml:space="preserve"> </w:t>
            </w:r>
            <w:r w:rsidR="00C30A17" w:rsidRPr="00303EEC">
              <w:rPr>
                <w:b/>
                <w:color w:val="000000"/>
              </w:rPr>
              <w:t>euro</w:t>
            </w:r>
            <w:r w:rsidR="00C30A17" w:rsidRPr="00303EEC">
              <w:rPr>
                <w:color w:val="000000"/>
              </w:rPr>
              <w:t xml:space="preserve">, tj. </w:t>
            </w:r>
            <w:r w:rsidR="00C30A17" w:rsidRPr="00303EEC">
              <w:rPr>
                <w:b/>
                <w:color w:val="000000"/>
              </w:rPr>
              <w:t>2 500 828 zł</w:t>
            </w:r>
            <w:r w:rsidR="00F8617F" w:rsidRPr="00303EEC">
              <w:rPr>
                <w:color w:val="000000"/>
              </w:rPr>
              <w:t>.</w:t>
            </w:r>
          </w:p>
          <w:p w:rsidR="0094407C" w:rsidRPr="00303EEC" w:rsidRDefault="0094407C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03EEC" w:rsidRDefault="00D80756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MS Sans Serif"/>
              </w:rPr>
              <w:t xml:space="preserve">Alokacje przeliczono po kursie Europejskiego Banku Centralnego (EBC) obowiązującym w czerwcu 2016  r. 1 euro = </w:t>
            </w:r>
            <w:r w:rsidRPr="00303EEC">
              <w:rPr>
                <w:rFonts w:asciiTheme="minorHAnsi" w:hAnsiTheme="minorHAnsi"/>
                <w:color w:val="000000"/>
              </w:rPr>
              <w:t xml:space="preserve">4,3436 </w:t>
            </w:r>
            <w:r w:rsidRPr="00303EEC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303EEC" w:rsidRDefault="0094407C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03EEC" w:rsidRDefault="00D80756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303EEC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9747B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303EEC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9747B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9747B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303EEC" w:rsidTr="0094407C">
        <w:trPr>
          <w:trHeight w:val="26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303EEC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303EEC" w:rsidRDefault="00DD0771" w:rsidP="00DD0771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  <w:r w:rsidRPr="00303EEC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DD0771" w:rsidRPr="00303EEC" w:rsidRDefault="00DD0771" w:rsidP="00DD07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0771" w:rsidRPr="00303EEC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303EEC">
              <w:rPr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DD0771" w:rsidRPr="00303EEC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303EEC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303EEC">
              <w:rPr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303EEC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szCs w:val="22"/>
              </w:rPr>
            </w:pPr>
            <w:r w:rsidRPr="00303EEC">
              <w:rPr>
                <w:sz w:val="22"/>
                <w:szCs w:val="22"/>
              </w:rPr>
              <w:t xml:space="preserve">w przypadku projektu objętego pomocą </w:t>
            </w:r>
            <w:r w:rsidRPr="00303EEC">
              <w:rPr>
                <w:i/>
                <w:sz w:val="22"/>
                <w:szCs w:val="22"/>
              </w:rPr>
              <w:t>de minimis</w:t>
            </w:r>
            <w:r w:rsidRPr="00303EEC">
              <w:rPr>
                <w:sz w:val="22"/>
                <w:szCs w:val="22"/>
              </w:rPr>
              <w:t>, maksymalny poziom d</w:t>
            </w:r>
            <w:r w:rsidRPr="00303EEC">
              <w:rPr>
                <w:sz w:val="22"/>
                <w:szCs w:val="22"/>
              </w:rPr>
              <w:t>o</w:t>
            </w:r>
            <w:r w:rsidRPr="00303EEC">
              <w:rPr>
                <w:sz w:val="22"/>
                <w:szCs w:val="22"/>
              </w:rPr>
              <w:t>finansowania wyniesie 85% ale nie więcej niż równowartość 200 000 euro dla podmiotu na 3 lata podatkowe;</w:t>
            </w:r>
          </w:p>
          <w:p w:rsidR="00DD0771" w:rsidRPr="00303EEC" w:rsidRDefault="00DD0771" w:rsidP="00DD0771">
            <w:pPr>
              <w:pStyle w:val="Default"/>
              <w:numPr>
                <w:ilvl w:val="0"/>
                <w:numId w:val="53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303EEC">
              <w:rPr>
                <w:color w:val="auto"/>
                <w:sz w:val="22"/>
                <w:szCs w:val="22"/>
              </w:rPr>
              <w:t xml:space="preserve"> w przypadku projektu generującego dochód, dla którego dokonano wylicz</w:t>
            </w:r>
            <w:r w:rsidRPr="00303EEC">
              <w:rPr>
                <w:color w:val="auto"/>
                <w:sz w:val="22"/>
                <w:szCs w:val="22"/>
              </w:rPr>
              <w:t>e</w:t>
            </w:r>
            <w:r w:rsidRPr="00303EEC">
              <w:rPr>
                <w:color w:val="auto"/>
                <w:sz w:val="22"/>
                <w:szCs w:val="22"/>
              </w:rPr>
              <w:t>nia luki finansowej – zgodnie z wyliczeniem, ale nie więcej niż 85%;</w:t>
            </w:r>
          </w:p>
          <w:p w:rsidR="00DD0771" w:rsidRPr="00303EEC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303EEC">
              <w:rPr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</w:t>
            </w:r>
            <w:r w:rsidRPr="00303EEC">
              <w:rPr>
                <w:color w:val="auto"/>
                <w:sz w:val="22"/>
                <w:szCs w:val="22"/>
              </w:rPr>
              <w:t>u</w:t>
            </w:r>
            <w:r w:rsidRPr="00303EEC">
              <w:rPr>
                <w:color w:val="auto"/>
                <w:sz w:val="22"/>
                <w:szCs w:val="22"/>
              </w:rPr>
              <w:t xml:space="preserve">bliczną </w:t>
            </w:r>
            <w:r w:rsidRPr="00303EE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303EEC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303EEC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303EEC">
              <w:rPr>
                <w:color w:val="auto"/>
                <w:sz w:val="22"/>
                <w:szCs w:val="22"/>
              </w:rPr>
              <w:t>dla projektu generuj</w:t>
            </w:r>
            <w:r w:rsidR="002D183A" w:rsidRPr="00303EEC">
              <w:rPr>
                <w:color w:val="auto"/>
                <w:sz w:val="22"/>
                <w:szCs w:val="22"/>
              </w:rPr>
              <w:t>ącego dochód, w którym występuje</w:t>
            </w:r>
            <w:r w:rsidRPr="00303EEC">
              <w:rPr>
                <w:color w:val="auto"/>
                <w:sz w:val="22"/>
                <w:szCs w:val="22"/>
              </w:rPr>
              <w:t xml:space="preserve"> pomoc publiczna nie wymieniona w art. 61 ust. 8 rozporządzenia ogólnego, wartość dofinansow</w:t>
            </w:r>
            <w:r w:rsidRPr="00303EEC">
              <w:rPr>
                <w:color w:val="auto"/>
                <w:sz w:val="22"/>
                <w:szCs w:val="22"/>
              </w:rPr>
              <w:t>a</w:t>
            </w:r>
            <w:r w:rsidRPr="00303EEC">
              <w:rPr>
                <w:color w:val="auto"/>
                <w:sz w:val="22"/>
                <w:szCs w:val="22"/>
              </w:rPr>
              <w:t>nia wyliczona za pomocą luki finansowej nie może przekroczyć poziomu wyn</w:t>
            </w:r>
            <w:r w:rsidRPr="00303EEC">
              <w:rPr>
                <w:color w:val="auto"/>
                <w:sz w:val="22"/>
                <w:szCs w:val="22"/>
              </w:rPr>
              <w:t>i</w:t>
            </w:r>
            <w:r w:rsidRPr="00303EEC">
              <w:rPr>
                <w:color w:val="auto"/>
                <w:sz w:val="22"/>
                <w:szCs w:val="22"/>
              </w:rPr>
              <w:t>kającego z zasad pomocy publicznej i nie więcej niż 85%.</w:t>
            </w:r>
          </w:p>
          <w:p w:rsidR="00DD0771" w:rsidRPr="00303EEC" w:rsidRDefault="00DD0771" w:rsidP="00DD0771">
            <w:pPr>
              <w:spacing w:before="240" w:line="100" w:lineRule="atLeast"/>
              <w:jc w:val="both"/>
              <w:rPr>
                <w:rFonts w:eastAsia="Droid Sans Fallback" w:cs="Calibri"/>
              </w:rPr>
            </w:pPr>
            <w:r w:rsidRPr="00303EEC">
              <w:rPr>
                <w:rFonts w:eastAsia="Droid Sans Fallback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303EEC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cs="Calibri"/>
              </w:rPr>
              <w:t xml:space="preserve">Na podstawie zapisów Kontraktu Terytorialnego, projekty rewitalizacyjne (ujęte </w:t>
            </w:r>
            <w:r w:rsidRPr="00303EEC">
              <w:t>na dzień składania wniosku o dofinansowanie</w:t>
            </w:r>
            <w:r w:rsidRPr="00303EEC">
              <w:rPr>
                <w:rFonts w:cs="Calibri"/>
              </w:rPr>
              <w:t xml:space="preserve"> </w:t>
            </w:r>
            <w:r w:rsidRPr="00303EEC">
              <w:t>w obowiązującym programie rewitalizacji znajdującym się w prowadzonym przez IZ RPO WD wykazie pozytywnie zweryfikowanych programów rewitalizacji</w:t>
            </w:r>
            <w:r w:rsidRPr="00303EEC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  <w:bookmarkStart w:id="2" w:name="_GoBack"/>
            <w:bookmarkEnd w:id="2"/>
          </w:p>
        </w:tc>
      </w:tr>
      <w:tr w:rsidR="0094407C" w:rsidRPr="00303EEC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796974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303EEC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</w:tc>
      </w:tr>
      <w:tr w:rsidR="0094407C" w:rsidRPr="00303EEC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303EEC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493016" w:rsidRPr="00303E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493016" w:rsidRPr="00303EEC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493016" w:rsidRPr="00303E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>31 października 2016 r.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C30A17" w:rsidRPr="00303EEC">
              <w:rPr>
                <w:rFonts w:asciiTheme="minorHAnsi" w:hAnsiTheme="minorHAnsi" w:cs="Arial"/>
                <w:b/>
                <w:sz w:val="22"/>
                <w:szCs w:val="22"/>
              </w:rPr>
              <w:t xml:space="preserve">17 stycznia 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>2017 r.</w:t>
            </w:r>
          </w:p>
          <w:p w:rsidR="0094407C" w:rsidRPr="00303EEC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303EEC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C30A17" w:rsidRPr="00303EEC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30A17" w:rsidRPr="00303EEC">
              <w:rPr>
                <w:rFonts w:asciiTheme="minorHAnsi" w:hAnsiTheme="minorHAnsi" w:cs="Arial"/>
                <w:b/>
                <w:sz w:val="22"/>
                <w:szCs w:val="22"/>
              </w:rPr>
              <w:t xml:space="preserve">stycznia 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>2017 r.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303EEC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303EEC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303EEC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303EEC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303EEC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303EEC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Pr="00303EEC" w:rsidRDefault="00773748" w:rsidP="009747B7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a) osobiście do kancelarii Departamentu Funduszy Europejskich:</w:t>
            </w:r>
          </w:p>
          <w:p w:rsidR="00773748" w:rsidRPr="00303EEC" w:rsidRDefault="00773748" w:rsidP="009747B7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Pr="00303EEC" w:rsidRDefault="00773748" w:rsidP="009747B7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Departament Funduszy Europejskich</w:t>
            </w:r>
          </w:p>
          <w:p w:rsidR="00773748" w:rsidRPr="00303EEC" w:rsidRDefault="00773748" w:rsidP="009747B7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Pr="00303EEC" w:rsidRDefault="00773748" w:rsidP="009747B7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Wrocław</w:t>
            </w:r>
          </w:p>
          <w:p w:rsidR="00773748" w:rsidRPr="00303EEC" w:rsidRDefault="00773748" w:rsidP="009747B7">
            <w:pPr>
              <w:pStyle w:val="xl33"/>
              <w:spacing w:before="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II piętro, pokój nr 2020</w:t>
            </w:r>
          </w:p>
          <w:p w:rsidR="00773748" w:rsidRPr="00303EEC" w:rsidRDefault="00773748" w:rsidP="009747B7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b) za pośrednictwem polskiego operatora wyznaczonego  w rozumieniu ustawy z</w:t>
            </w:r>
            <w:r w:rsidR="00FA11D0" w:rsidRPr="00303EEC">
              <w:rPr>
                <w:rFonts w:ascii="Calibri" w:hAnsi="Calibri" w:cs="Arial"/>
                <w:sz w:val="22"/>
                <w:szCs w:val="22"/>
              </w:rPr>
              <w:t> </w:t>
            </w:r>
            <w:r w:rsidRPr="00303EEC">
              <w:rPr>
                <w:rFonts w:ascii="Calibri" w:hAnsi="Calibri" w:cs="Arial"/>
                <w:sz w:val="22"/>
                <w:szCs w:val="22"/>
              </w:rPr>
              <w:t>dnia 23 listopada 2012 r. – Prawo pocztowe, na adres:</w:t>
            </w:r>
          </w:p>
          <w:p w:rsidR="00773748" w:rsidRPr="00303EEC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Pr="00303EEC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Wydział Wdrażania EFRR</w:t>
            </w:r>
          </w:p>
          <w:p w:rsidR="00773748" w:rsidRPr="00303EEC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Pr="00303EEC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3EEC">
              <w:rPr>
                <w:rFonts w:ascii="Calibri" w:hAnsi="Calibri" w:cs="Arial"/>
                <w:sz w:val="22"/>
                <w:szCs w:val="22"/>
              </w:rPr>
              <w:t>50-412 Wrocław.</w:t>
            </w:r>
          </w:p>
          <w:p w:rsidR="0094407C" w:rsidRPr="00303EEC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303EEC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303EEC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303EEC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Suma kontrolna wersji elektronicznej wniosku (w aplikacji) musi być identyczna z</w:t>
            </w:r>
            <w:r w:rsidR="00FA11D0" w:rsidRPr="00303EEC">
              <w:rPr>
                <w:rFonts w:eastAsia="Times New Roman" w:cs="Arial"/>
                <w:lang w:eastAsia="pl-PL"/>
              </w:rPr>
              <w:t> </w:t>
            </w:r>
            <w:r w:rsidRPr="00303EEC">
              <w:rPr>
                <w:rFonts w:eastAsia="Times New Roman" w:cs="Arial"/>
                <w:lang w:eastAsia="pl-PL"/>
              </w:rPr>
              <w:t>sumą kontrolną papierowej wersji wniosku.</w:t>
            </w:r>
          </w:p>
          <w:p w:rsidR="004A0431" w:rsidRPr="00303EEC" w:rsidRDefault="004A0431" w:rsidP="004A0431">
            <w:pPr>
              <w:widowControl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303EEC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4A0431" w:rsidRPr="00303EEC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4A0431" w:rsidRPr="00303EEC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tytuł projektu;</w:t>
            </w:r>
          </w:p>
          <w:p w:rsidR="004A0431" w:rsidRPr="00303EEC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4A0431" w:rsidRPr="00303EEC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303EEC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303EEC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303EEC" w:rsidRDefault="004A0431" w:rsidP="00303E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303EEC" w:rsidRPr="00303EEC">
              <w:rPr>
                <w:rFonts w:asciiTheme="minorHAnsi" w:hAnsiTheme="minorHAnsi" w:cs="Arial"/>
              </w:rPr>
              <w:t>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4A0431" w:rsidRPr="00303EEC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303EEC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21037" w:rsidRPr="00303EEC" w:rsidRDefault="00E21037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4407C" w:rsidRPr="00303EEC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03EEC">
              <w:rPr>
                <w:rFonts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03EEC">
              <w:rPr>
                <w:rFonts w:asciiTheme="minorHAnsi" w:hAnsiTheme="minorHAnsi"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03EEC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303EEC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9B2014" w:rsidRDefault="00D80756" w:rsidP="00262C75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303EEC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303EEC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303EEC">
              <w:rPr>
                <w:rFonts w:asciiTheme="minorHAnsi" w:hAnsiTheme="minorHAnsi" w:cs="Calibri"/>
              </w:rPr>
              <w:t>, na portalu Funduszy Europejskich</w:t>
            </w:r>
            <w:r w:rsidR="009B2014" w:rsidRPr="00303EEC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303EEC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9B2014" w:rsidRPr="00303EEC">
              <w:rPr>
                <w:rFonts w:asciiTheme="minorHAnsi" w:hAnsiTheme="minorHAnsi" w:cs="Calibri"/>
              </w:rPr>
              <w:t xml:space="preserve"> oraz na stronie </w:t>
            </w:r>
            <w:hyperlink r:id="rId13" w:history="1">
              <w:r w:rsidR="00E42E68" w:rsidRPr="00303EEC">
                <w:rPr>
                  <w:rStyle w:val="Hipercze"/>
                </w:rPr>
                <w:t>www.zitaj.jeleniagora.pl</w:t>
              </w:r>
            </w:hyperlink>
            <w:r w:rsidR="009B2014" w:rsidRPr="00303EEC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4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39" w:rsidRDefault="00D86139" w:rsidP="0094407C">
      <w:pPr>
        <w:spacing w:after="0" w:line="240" w:lineRule="auto"/>
      </w:pPr>
      <w:r>
        <w:separator/>
      </w:r>
    </w:p>
  </w:endnote>
  <w:endnote w:type="continuationSeparator" w:id="0">
    <w:p w:rsidR="00D86139" w:rsidRDefault="00D86139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TE1ABE920t00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9" w:rsidRDefault="00D86139">
    <w:pPr>
      <w:pStyle w:val="Footer"/>
    </w:pPr>
    <w:fldSimple w:instr=" PAGE ">
      <w:r w:rsidR="00671059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39" w:rsidRDefault="00D86139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D86139" w:rsidRDefault="00D86139" w:rsidP="0094407C">
      <w:pPr>
        <w:spacing w:after="0" w:line="240" w:lineRule="auto"/>
      </w:pPr>
      <w:r>
        <w:continuationSeparator/>
      </w:r>
    </w:p>
  </w:footnote>
  <w:footnote w:id="1">
    <w:p w:rsidR="00D86139" w:rsidRDefault="00D86139" w:rsidP="008A5849">
      <w:pPr>
        <w:pStyle w:val="Standard"/>
        <w:spacing w:after="0" w:line="240" w:lineRule="auto"/>
        <w:ind w:right="107"/>
        <w:jc w:val="both"/>
      </w:pPr>
      <w:r w:rsidRPr="00172B36">
        <w:rPr>
          <w:rStyle w:val="Odwoanieprzypisudolnego"/>
        </w:rPr>
        <w:footnoteRef/>
      </w:r>
      <w:r>
        <w:rPr>
          <w:sz w:val="20"/>
          <w:szCs w:val="20"/>
        </w:rPr>
        <w:t xml:space="preserve">W skład </w:t>
      </w:r>
      <w:r>
        <w:rPr>
          <w:rFonts w:cs="Arial"/>
          <w:sz w:val="20"/>
          <w:szCs w:val="20"/>
          <w:u w:val="single"/>
        </w:rPr>
        <w:t>Aglomeracji Jeleniogórskiej określonej w Strategii ZIT AJ</w:t>
      </w:r>
      <w:r>
        <w:rPr>
          <w:rFonts w:cs="Arial"/>
          <w:sz w:val="20"/>
          <w:szCs w:val="20"/>
        </w:rPr>
        <w:t xml:space="preserve"> wchodzą:</w:t>
      </w:r>
      <w:r>
        <w:rPr>
          <w:sz w:val="20"/>
          <w:szCs w:val="20"/>
        </w:rPr>
        <w:t xml:space="preserve"> </w:t>
      </w:r>
      <w:r w:rsidR="009747B7" w:rsidRPr="00452177">
        <w:rPr>
          <w:rFonts w:cs="Calibri"/>
          <w:kern w:val="0"/>
          <w:sz w:val="20"/>
          <w:szCs w:val="20"/>
        </w:rPr>
        <w:t xml:space="preserve">Miasto Jelenia Góra, Gmina Janowice Wielkie, Gmina Jeżów Sudecki, Miasto Karpacz, Miasto Kowary, Gmina Mysłakowice, Miasto Piechowice, Gmina Podgórzyn, Gmina Stara Kamienica, Miasto Szklarska Poręba, Miasto </w:t>
      </w:r>
      <w:r w:rsidR="009747B7">
        <w:rPr>
          <w:rFonts w:cs="Calibri"/>
          <w:kern w:val="0"/>
          <w:sz w:val="20"/>
          <w:szCs w:val="20"/>
        </w:rPr>
        <w:t xml:space="preserve">i </w:t>
      </w:r>
      <w:r w:rsidR="009747B7" w:rsidRPr="00452177">
        <w:rPr>
          <w:rFonts w:cs="Calibri"/>
          <w:kern w:val="0"/>
          <w:sz w:val="20"/>
          <w:szCs w:val="20"/>
        </w:rPr>
        <w:t>Gmina Gryfów Śląski, Miasto i Gmina Lubomierz, Miasto i Gmina Mirsk, Miasto i Gmina Wleń, Gmina Pielgrzymka, Miasto i Gmina Świerzawa, Miasto Wojcieszów, Miasto Złotoryja</w:t>
      </w:r>
      <w:r>
        <w:rPr>
          <w:rFonts w:cs="Calibri"/>
          <w:sz w:val="20"/>
          <w:szCs w:val="20"/>
        </w:rPr>
        <w:t>.</w:t>
      </w:r>
    </w:p>
    <w:p w:rsidR="00D86139" w:rsidRDefault="00D86139" w:rsidP="008A5849">
      <w:pPr>
        <w:pStyle w:val="Tekstprzypisudolnego"/>
        <w:ind w:right="107"/>
      </w:pPr>
    </w:p>
  </w:footnote>
  <w:footnote w:id="2">
    <w:p w:rsidR="00D86139" w:rsidRPr="00671059" w:rsidRDefault="00D86139" w:rsidP="003469CB">
      <w:pPr>
        <w:pStyle w:val="Tekstprzypisudolnego"/>
        <w:jc w:val="both"/>
        <w:rPr>
          <w:rFonts w:asciiTheme="minorHAnsi" w:hAnsiTheme="minorHAnsi"/>
        </w:rPr>
      </w:pPr>
      <w:r w:rsidRPr="00671059">
        <w:rPr>
          <w:rStyle w:val="Odwoanieprzypisudolnego"/>
          <w:rFonts w:asciiTheme="minorHAnsi" w:hAnsiTheme="minorHAnsi"/>
        </w:rPr>
        <w:footnoteRef/>
      </w:r>
      <w:r w:rsidRPr="00671059">
        <w:rPr>
          <w:rFonts w:asciiTheme="minorHAnsi" w:hAnsiTheme="minorHAnsi"/>
        </w:rPr>
        <w:t xml:space="preserve"> </w:t>
      </w:r>
      <w:r w:rsidRPr="00671059">
        <w:rPr>
          <w:rFonts w:asciiTheme="minorHAnsi" w:hAnsiTheme="minorHAnsi"/>
          <w:szCs w:val="20"/>
        </w:rPr>
        <w:t xml:space="preserve">Przez dokument równorzędny należy rozumieć </w:t>
      </w:r>
      <w:r w:rsidRPr="00671059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671059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3">
    <w:p w:rsidR="00D86139" w:rsidRPr="00671059" w:rsidRDefault="00D86139">
      <w:pPr>
        <w:pStyle w:val="Tekstprzypisudolnego"/>
        <w:ind w:right="107"/>
        <w:rPr>
          <w:rFonts w:asciiTheme="minorHAnsi" w:hAnsiTheme="minorHAnsi"/>
        </w:rPr>
      </w:pPr>
      <w:r w:rsidRPr="00671059">
        <w:rPr>
          <w:rStyle w:val="Odwoanieprzypisudolnego"/>
          <w:rFonts w:asciiTheme="minorHAnsi" w:hAnsiTheme="minorHAnsi"/>
        </w:rPr>
        <w:footnoteRef/>
      </w:r>
      <w:r w:rsidR="00671059">
        <w:rPr>
          <w:rFonts w:asciiTheme="minorHAnsi" w:hAnsiTheme="minorHAnsi"/>
        </w:rPr>
        <w:t xml:space="preserve"> Z</w:t>
      </w:r>
      <w:r w:rsidRPr="00671059">
        <w:rPr>
          <w:rFonts w:asciiTheme="minorHAnsi" w:hAnsiTheme="minorHAnsi"/>
        </w:rPr>
        <w:t>definiowanych zgodnie z załącznikiem nr 1 do Rozporządzenia Wykonawczego Komisji (UE) NR 215/2014 z dnia 7 marca 2014 r.</w:t>
      </w:r>
    </w:p>
  </w:footnote>
  <w:footnote w:id="4">
    <w:p w:rsidR="00D86139" w:rsidRPr="00671059" w:rsidRDefault="00D86139">
      <w:pPr>
        <w:pStyle w:val="Tekstprzypisudolnego"/>
        <w:ind w:right="107"/>
        <w:jc w:val="both"/>
        <w:rPr>
          <w:rFonts w:asciiTheme="minorHAnsi" w:hAnsiTheme="minorHAnsi"/>
        </w:rPr>
      </w:pPr>
      <w:r w:rsidRPr="00671059">
        <w:rPr>
          <w:rStyle w:val="Odwoanieprzypisudolnego"/>
          <w:rFonts w:asciiTheme="minorHAnsi" w:hAnsiTheme="minorHAnsi"/>
        </w:rPr>
        <w:footnoteRef/>
      </w:r>
      <w:r w:rsidRPr="00671059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">
    <w:p w:rsidR="00D86139" w:rsidRDefault="00D86139">
      <w:pPr>
        <w:pStyle w:val="Tekstprzypisudolnego"/>
      </w:pPr>
      <w:r w:rsidRPr="00671059">
        <w:rPr>
          <w:rStyle w:val="Odwoanieprzypisudolnego"/>
          <w:rFonts w:asciiTheme="minorHAnsi" w:hAnsiTheme="minorHAnsi"/>
        </w:rPr>
        <w:footnoteRef/>
      </w:r>
      <w:r w:rsidR="00671059">
        <w:rPr>
          <w:rFonts w:asciiTheme="minorHAnsi" w:hAnsiTheme="minorHAnsi"/>
        </w:rPr>
        <w:t xml:space="preserve"> </w:t>
      </w:r>
      <w:r w:rsidRPr="00671059">
        <w:rPr>
          <w:rFonts w:asciiTheme="minorHAnsi" w:hAnsiTheme="minorHAnsi"/>
        </w:rPr>
        <w:t xml:space="preserve">Zgodnie z przypisem nr </w:t>
      </w:r>
      <w:r w:rsidR="00671059" w:rsidRPr="00671059">
        <w:rPr>
          <w:rFonts w:asciiTheme="minorHAnsi" w:hAnsiTheme="minorHAnsi"/>
        </w:rPr>
        <w:t>1</w:t>
      </w:r>
      <w:r w:rsidRPr="00671059"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AE04BB"/>
    <w:multiLevelType w:val="multilevel"/>
    <w:tmpl w:val="35FEBBD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B194837"/>
    <w:multiLevelType w:val="multilevel"/>
    <w:tmpl w:val="346C742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17B0FBE"/>
    <w:multiLevelType w:val="hybridMultilevel"/>
    <w:tmpl w:val="C7F8E7B8"/>
    <w:lvl w:ilvl="0" w:tplc="0714096C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7E0748A"/>
    <w:multiLevelType w:val="multilevel"/>
    <w:tmpl w:val="4DDC868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4642064"/>
    <w:multiLevelType w:val="hybridMultilevel"/>
    <w:tmpl w:val="AB521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67D652B"/>
    <w:multiLevelType w:val="hybridMultilevel"/>
    <w:tmpl w:val="DC425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25"/>
  </w:num>
  <w:num w:numId="3">
    <w:abstractNumId w:val="43"/>
  </w:num>
  <w:num w:numId="4">
    <w:abstractNumId w:val="23"/>
  </w:num>
  <w:num w:numId="5">
    <w:abstractNumId w:val="2"/>
  </w:num>
  <w:num w:numId="6">
    <w:abstractNumId w:val="37"/>
  </w:num>
  <w:num w:numId="7">
    <w:abstractNumId w:val="6"/>
  </w:num>
  <w:num w:numId="8">
    <w:abstractNumId w:val="49"/>
  </w:num>
  <w:num w:numId="9">
    <w:abstractNumId w:val="31"/>
  </w:num>
  <w:num w:numId="10">
    <w:abstractNumId w:val="48"/>
  </w:num>
  <w:num w:numId="11">
    <w:abstractNumId w:val="1"/>
  </w:num>
  <w:num w:numId="12">
    <w:abstractNumId w:val="3"/>
  </w:num>
  <w:num w:numId="13">
    <w:abstractNumId w:val="44"/>
  </w:num>
  <w:num w:numId="14">
    <w:abstractNumId w:val="4"/>
  </w:num>
  <w:num w:numId="15">
    <w:abstractNumId w:val="40"/>
  </w:num>
  <w:num w:numId="16">
    <w:abstractNumId w:val="35"/>
  </w:num>
  <w:num w:numId="17">
    <w:abstractNumId w:val="19"/>
  </w:num>
  <w:num w:numId="18">
    <w:abstractNumId w:val="26"/>
  </w:num>
  <w:num w:numId="19">
    <w:abstractNumId w:val="47"/>
  </w:num>
  <w:num w:numId="20">
    <w:abstractNumId w:val="22"/>
  </w:num>
  <w:num w:numId="21">
    <w:abstractNumId w:val="54"/>
  </w:num>
  <w:num w:numId="22">
    <w:abstractNumId w:val="36"/>
  </w:num>
  <w:num w:numId="23">
    <w:abstractNumId w:val="17"/>
  </w:num>
  <w:num w:numId="24">
    <w:abstractNumId w:val="32"/>
  </w:num>
  <w:num w:numId="25">
    <w:abstractNumId w:val="21"/>
  </w:num>
  <w:num w:numId="26">
    <w:abstractNumId w:val="12"/>
  </w:num>
  <w:num w:numId="27">
    <w:abstractNumId w:val="14"/>
  </w:num>
  <w:num w:numId="28">
    <w:abstractNumId w:val="5"/>
  </w:num>
  <w:num w:numId="29">
    <w:abstractNumId w:val="53"/>
  </w:num>
  <w:num w:numId="30">
    <w:abstractNumId w:val="39"/>
  </w:num>
  <w:num w:numId="31">
    <w:abstractNumId w:val="11"/>
  </w:num>
  <w:num w:numId="32">
    <w:abstractNumId w:val="20"/>
  </w:num>
  <w:num w:numId="33">
    <w:abstractNumId w:val="0"/>
  </w:num>
  <w:num w:numId="34">
    <w:abstractNumId w:val="50"/>
  </w:num>
  <w:num w:numId="35">
    <w:abstractNumId w:val="41"/>
  </w:num>
  <w:num w:numId="36">
    <w:abstractNumId w:val="45"/>
  </w:num>
  <w:num w:numId="37">
    <w:abstractNumId w:val="8"/>
  </w:num>
  <w:num w:numId="38">
    <w:abstractNumId w:val="27"/>
  </w:num>
  <w:num w:numId="39">
    <w:abstractNumId w:val="15"/>
  </w:num>
  <w:num w:numId="40">
    <w:abstractNumId w:val="10"/>
  </w:num>
  <w:num w:numId="41">
    <w:abstractNumId w:val="46"/>
  </w:num>
  <w:num w:numId="42">
    <w:abstractNumId w:val="52"/>
  </w:num>
  <w:num w:numId="43">
    <w:abstractNumId w:val="24"/>
  </w:num>
  <w:num w:numId="44">
    <w:abstractNumId w:val="38"/>
  </w:num>
  <w:num w:numId="45">
    <w:abstractNumId w:val="7"/>
  </w:num>
  <w:num w:numId="46">
    <w:abstractNumId w:val="9"/>
  </w:num>
  <w:num w:numId="47">
    <w:abstractNumId w:val="28"/>
  </w:num>
  <w:num w:numId="48">
    <w:abstractNumId w:val="5"/>
    <w:lvlOverride w:ilvl="0">
      <w:startOverride w:val="1"/>
    </w:lvlOverride>
  </w:num>
  <w:num w:numId="49">
    <w:abstractNumId w:val="37"/>
  </w:num>
  <w:num w:numId="50">
    <w:abstractNumId w:val="22"/>
    <w:lvlOverride w:ilvl="0">
      <w:startOverride w:val="1"/>
    </w:lvlOverride>
  </w:num>
  <w:num w:numId="51">
    <w:abstractNumId w:val="16"/>
  </w:num>
  <w:num w:numId="52">
    <w:abstractNumId w:val="29"/>
  </w:num>
  <w:num w:numId="53">
    <w:abstractNumId w:val="34"/>
  </w:num>
  <w:num w:numId="54">
    <w:abstractNumId w:val="51"/>
  </w:num>
  <w:num w:numId="55">
    <w:abstractNumId w:val="33"/>
  </w:num>
  <w:num w:numId="56">
    <w:abstractNumId w:val="30"/>
  </w:num>
  <w:num w:numId="57">
    <w:abstractNumId w:val="13"/>
  </w:num>
  <w:num w:numId="58">
    <w:abstractNumId w:val="4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07C"/>
    <w:rsid w:val="00017D8A"/>
    <w:rsid w:val="00031E50"/>
    <w:rsid w:val="00074ADD"/>
    <w:rsid w:val="00262C75"/>
    <w:rsid w:val="002D183A"/>
    <w:rsid w:val="00303EEC"/>
    <w:rsid w:val="003469CB"/>
    <w:rsid w:val="003A57EA"/>
    <w:rsid w:val="003A73C4"/>
    <w:rsid w:val="00493016"/>
    <w:rsid w:val="004A0431"/>
    <w:rsid w:val="004A6A06"/>
    <w:rsid w:val="005E4128"/>
    <w:rsid w:val="006403C3"/>
    <w:rsid w:val="00671059"/>
    <w:rsid w:val="00773748"/>
    <w:rsid w:val="00796974"/>
    <w:rsid w:val="008A5849"/>
    <w:rsid w:val="008D5D02"/>
    <w:rsid w:val="0094407C"/>
    <w:rsid w:val="009747B7"/>
    <w:rsid w:val="009A6BEB"/>
    <w:rsid w:val="009B2014"/>
    <w:rsid w:val="009F1551"/>
    <w:rsid w:val="009F5D55"/>
    <w:rsid w:val="00A43618"/>
    <w:rsid w:val="00A529AB"/>
    <w:rsid w:val="00C30A17"/>
    <w:rsid w:val="00C3296F"/>
    <w:rsid w:val="00C930F2"/>
    <w:rsid w:val="00CE6178"/>
    <w:rsid w:val="00D80756"/>
    <w:rsid w:val="00D86139"/>
    <w:rsid w:val="00DD0771"/>
    <w:rsid w:val="00DF682F"/>
    <w:rsid w:val="00E21037"/>
    <w:rsid w:val="00E42E68"/>
    <w:rsid w:val="00E821D2"/>
    <w:rsid w:val="00ED2483"/>
    <w:rsid w:val="00F8617F"/>
    <w:rsid w:val="00FA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Caption">
    <w:name w:val="Caption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">
    <w:name w:val="Heading 2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  <w:pPr>
      <w:numPr>
        <w:numId w:val="7"/>
      </w:numPr>
    </w:pPr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52"/>
      </w:numPr>
    </w:pPr>
  </w:style>
  <w:style w:type="character" w:styleId="Hipercze">
    <w:name w:val="Hyperlink"/>
    <w:basedOn w:val="Domylnaczcionkaakapitu"/>
    <w:unhideWhenUsed/>
    <w:rsid w:val="009B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taj.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F2F1-93FF-496B-A51E-F98BF96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2523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23</cp:revision>
  <cp:lastPrinted>2016-09-19T06:43:00Z</cp:lastPrinted>
  <dcterms:created xsi:type="dcterms:W3CDTF">2016-09-19T07:00:00Z</dcterms:created>
  <dcterms:modified xsi:type="dcterms:W3CDTF">2016-09-21T15:55:00Z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