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96" w:rsidRPr="00EF0A59" w:rsidRDefault="00AD2896" w:rsidP="00E43455">
      <w:pPr>
        <w:spacing w:after="0" w:line="240" w:lineRule="auto"/>
        <w:jc w:val="center"/>
        <w:rPr>
          <w:b/>
        </w:rPr>
      </w:pPr>
      <w:r w:rsidRPr="00EF0A59">
        <w:rPr>
          <w:b/>
        </w:rPr>
        <w:t>Limity</w:t>
      </w:r>
      <w:r w:rsidR="00020D26" w:rsidRPr="00EF0A59">
        <w:rPr>
          <w:b/>
        </w:rPr>
        <w:t xml:space="preserve"> dotyczące liczby miejsc</w:t>
      </w:r>
    </w:p>
    <w:p w:rsidR="00E47D43" w:rsidRPr="00EF0A59" w:rsidRDefault="00E47D43" w:rsidP="009E021A">
      <w:pPr>
        <w:spacing w:before="120" w:after="120" w:line="240" w:lineRule="auto"/>
        <w:jc w:val="both"/>
      </w:pPr>
      <w:r w:rsidRPr="00EF0A59">
        <w:rPr>
          <w:b/>
        </w:rPr>
        <w:t>Mieszkanie chronione</w:t>
      </w:r>
      <w:r w:rsidRPr="00EF0A59">
        <w:t xml:space="preserve">, </w:t>
      </w:r>
      <w:r w:rsidRPr="00EF0A59">
        <w:rPr>
          <w:rFonts w:cs="Calibri"/>
          <w:color w:val="000000"/>
        </w:rPr>
        <w:t>o których mowa w ustawie z dnia 12 marca 2004 r. o pomocy społecznej</w:t>
      </w:r>
      <w:r w:rsidRPr="00EF0A59">
        <w:t xml:space="preserve"> powinno być przeznaczone dla </w:t>
      </w:r>
      <w:r w:rsidRPr="00EF0A59">
        <w:rPr>
          <w:b/>
        </w:rPr>
        <w:t>nie mniej niż</w:t>
      </w:r>
      <w:r w:rsidRPr="00EF0A59">
        <w:t xml:space="preserve"> </w:t>
      </w:r>
      <w:r w:rsidR="00C57978" w:rsidRPr="00EF0A59">
        <w:rPr>
          <w:b/>
        </w:rPr>
        <w:t>3</w:t>
      </w:r>
      <w:r w:rsidRPr="00EF0A59">
        <w:t xml:space="preserve"> osób</w:t>
      </w:r>
      <w:r w:rsidR="000833F5">
        <w:rPr>
          <w:rStyle w:val="Odwoanieprzypisudolnego"/>
        </w:rPr>
        <w:footnoteReference w:id="1"/>
      </w:r>
      <w:r w:rsidRPr="00EF0A59">
        <w:t xml:space="preserve">, natomiast mieszkania wspomagane (treningowe i wspierane) oraz mieszkania socjalne nie są objęte tą restrykcją. </w:t>
      </w:r>
    </w:p>
    <w:p w:rsidR="009E2E76" w:rsidRPr="00EF0A59" w:rsidRDefault="005C5D93" w:rsidP="009E2E76">
      <w:pPr>
        <w:spacing w:before="120" w:after="120" w:line="240" w:lineRule="auto"/>
        <w:jc w:val="both"/>
      </w:pPr>
      <w:r w:rsidRPr="00EF0A59">
        <w:t>W</w:t>
      </w:r>
      <w:r w:rsidR="00020D26" w:rsidRPr="00EF0A59">
        <w:t xml:space="preserve"> myśl zapisów </w:t>
      </w:r>
      <w:r w:rsidR="00F32EA2">
        <w:t>„</w:t>
      </w:r>
      <w:hyperlink r:id="rId8" w:history="1">
        <w:r w:rsidR="00020D26" w:rsidRPr="00EF0A59">
          <w:rPr>
            <w:rStyle w:val="Hipercze"/>
            <w:i/>
          </w:rPr>
          <w:t>Wytycznych w zakresie realizacji przedsięwzięć w obszarze włączenia społecznego i</w:t>
        </w:r>
        <w:r w:rsidR="00EF0A59">
          <w:rPr>
            <w:rStyle w:val="Hipercze"/>
            <w:i/>
          </w:rPr>
          <w:t> </w:t>
        </w:r>
        <w:r w:rsidR="00020D26" w:rsidRPr="00EF0A59">
          <w:rPr>
            <w:rStyle w:val="Hipercze"/>
            <w:i/>
          </w:rPr>
          <w:t>zwalczania ubóstwa z wykorzystaniem środków Europejskiego Funduszu Społecznego i</w:t>
        </w:r>
        <w:r w:rsidR="00EF0A59">
          <w:rPr>
            <w:rStyle w:val="Hipercze"/>
            <w:i/>
          </w:rPr>
          <w:t> </w:t>
        </w:r>
        <w:r w:rsidR="00020D26" w:rsidRPr="00EF0A59">
          <w:rPr>
            <w:rStyle w:val="Hipercze"/>
            <w:i/>
          </w:rPr>
          <w:t>Europejskiego Funduszu Rozwoju Regionalnego na lata 2014-2020</w:t>
        </w:r>
      </w:hyperlink>
      <w:r w:rsidR="00F32EA2">
        <w:t>”</w:t>
      </w:r>
      <w:r w:rsidR="00020D26" w:rsidRPr="00EF0A59">
        <w:t xml:space="preserve">  </w:t>
      </w:r>
      <w:r w:rsidR="00C57978" w:rsidRPr="00EF0A59">
        <w:t xml:space="preserve">dla </w:t>
      </w:r>
      <w:r w:rsidR="00020D26" w:rsidRPr="00EF0A59">
        <w:rPr>
          <w:b/>
        </w:rPr>
        <w:t>mieszka</w:t>
      </w:r>
      <w:r w:rsidR="00C57978" w:rsidRPr="00EF0A59">
        <w:rPr>
          <w:b/>
        </w:rPr>
        <w:t>ń</w:t>
      </w:r>
      <w:r w:rsidR="00020D26" w:rsidRPr="00EF0A59">
        <w:rPr>
          <w:b/>
        </w:rPr>
        <w:t xml:space="preserve"> wspomaganych</w:t>
      </w:r>
      <w:r w:rsidR="00E47D43" w:rsidRPr="00EF0A59">
        <w:t xml:space="preserve"> (treningowych i</w:t>
      </w:r>
      <w:r w:rsidR="009E2E76" w:rsidRPr="00EF0A59">
        <w:t> </w:t>
      </w:r>
      <w:r w:rsidR="00E47D43" w:rsidRPr="00EF0A59">
        <w:t>wspieranych)</w:t>
      </w:r>
      <w:r w:rsidR="00020D26" w:rsidRPr="00EF0A59">
        <w:t xml:space="preserve">, liczba miejsc </w:t>
      </w:r>
      <w:r w:rsidR="00020D26" w:rsidRPr="00EF0A59">
        <w:rPr>
          <w:b/>
        </w:rPr>
        <w:t xml:space="preserve">nie </w:t>
      </w:r>
      <w:r w:rsidR="00020D26" w:rsidRPr="00EF0A59">
        <w:t>może być</w:t>
      </w:r>
      <w:r w:rsidR="00020D26" w:rsidRPr="00EF0A59">
        <w:rPr>
          <w:b/>
        </w:rPr>
        <w:t xml:space="preserve"> większa niż 12</w:t>
      </w:r>
      <w:r w:rsidR="00020D26" w:rsidRPr="00EF0A59">
        <w:t>.</w:t>
      </w:r>
      <w:r w:rsidR="00E47D43" w:rsidRPr="00EF0A59">
        <w:t xml:space="preserve"> W przypadku </w:t>
      </w:r>
      <w:r w:rsidR="009E021A" w:rsidRPr="00EF0A59">
        <w:t>pozostałych</w:t>
      </w:r>
      <w:r w:rsidR="00D456CA" w:rsidRPr="00EF0A59">
        <w:t xml:space="preserve"> typów</w:t>
      </w:r>
      <w:r w:rsidR="009E021A" w:rsidRPr="00EF0A59">
        <w:t xml:space="preserve"> </w:t>
      </w:r>
      <w:r w:rsidR="00E47D43" w:rsidRPr="00EF0A59">
        <w:t>mieszkań</w:t>
      </w:r>
      <w:r w:rsidR="00C57978" w:rsidRPr="00EF0A59">
        <w:t xml:space="preserve"> </w:t>
      </w:r>
      <w:r w:rsidRPr="00EF0A59">
        <w:t xml:space="preserve">maksymalny </w:t>
      </w:r>
      <w:r w:rsidR="00C57978" w:rsidRPr="00EF0A59">
        <w:t xml:space="preserve">limit </w:t>
      </w:r>
      <w:r w:rsidR="001B0919" w:rsidRPr="00EF0A59">
        <w:t xml:space="preserve">miejsc nie został określony, </w:t>
      </w:r>
      <w:r w:rsidR="009E021A" w:rsidRPr="00EF0A59">
        <w:t>dlatego</w:t>
      </w:r>
      <w:r w:rsidR="008F1763" w:rsidRPr="00EF0A59">
        <w:t xml:space="preserve"> </w:t>
      </w:r>
      <w:r w:rsidR="008F1763" w:rsidRPr="00EF0A59">
        <w:rPr>
          <w:b/>
        </w:rPr>
        <w:t>w każdym przypadku</w:t>
      </w:r>
      <w:r w:rsidR="009E021A" w:rsidRPr="00EF0A59">
        <w:t xml:space="preserve"> </w:t>
      </w:r>
      <w:r w:rsidR="009E021A" w:rsidRPr="00EF0A59">
        <w:rPr>
          <w:b/>
        </w:rPr>
        <w:t>indywidualnie oceniane będzie, czy zaplanowane wsparcie zapewniać będzie odpowiednie warunki świadczenia usług</w:t>
      </w:r>
      <w:r w:rsidR="009E021A" w:rsidRPr="00EF0A59">
        <w:t xml:space="preserve">. </w:t>
      </w:r>
    </w:p>
    <w:p w:rsidR="009E021A" w:rsidRPr="00EF0A59" w:rsidRDefault="009E021A" w:rsidP="009E2E76">
      <w:pPr>
        <w:spacing w:before="120" w:after="120" w:line="240" w:lineRule="auto"/>
        <w:jc w:val="both"/>
      </w:pPr>
      <w:r w:rsidRPr="00EF0A59">
        <w:t xml:space="preserve">Pamiętać należy, że </w:t>
      </w:r>
      <w:r w:rsidRPr="00EF0A59">
        <w:rPr>
          <w:rFonts w:cs="Calibri"/>
          <w:b/>
          <w:color w:val="000000"/>
        </w:rPr>
        <w:t>usługi społeczne świadczone w społeczności lokalnej</w:t>
      </w:r>
      <w:r w:rsidRPr="00EF0A59">
        <w:rPr>
          <w:rFonts w:cs="Calibri"/>
          <w:color w:val="000000"/>
        </w:rPr>
        <w:t xml:space="preserve">, tj. </w:t>
      </w:r>
      <w:r w:rsidRPr="00EF0A59">
        <w:rPr>
          <w:rFonts w:cs="Calibri"/>
          <w:b/>
          <w:color w:val="000000"/>
        </w:rPr>
        <w:t>usługi w postaci mieszkań chronionych, treningowych i wspieranych</w:t>
      </w:r>
      <w:r w:rsidRPr="00EF0A59">
        <w:rPr>
          <w:rFonts w:cs="Calibri"/>
          <w:color w:val="000000"/>
        </w:rPr>
        <w:t xml:space="preserve"> to usługi świadczone w interesie ogólnym, umożliwiające osobom niezależne życie w środowisku lokalnym. Usługi te zapobiegają odizolowaniu osób od rodziny i społeczności lokalnej, a gdy to nie jest możliwe, gwarantują tym osobom warunki życia jak najbardziej zbliżone do warunków domowych i rodzinnych oraz umożliwiają podtrzymywanie więzi rodzinnych i sąsiedzkich. Są to usługi świadczone w sposób:</w:t>
      </w:r>
    </w:p>
    <w:p w:rsidR="009E021A" w:rsidRPr="00EF0A59" w:rsidRDefault="009E021A" w:rsidP="009E021A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before="60" w:after="100" w:line="240" w:lineRule="auto"/>
        <w:ind w:left="284" w:hanging="284"/>
        <w:jc w:val="both"/>
        <w:textAlignment w:val="baseline"/>
        <w:rPr>
          <w:rFonts w:cs="Calibri"/>
          <w:color w:val="000000"/>
        </w:rPr>
      </w:pPr>
      <w:r w:rsidRPr="00EF0A59">
        <w:rPr>
          <w:rFonts w:cs="Calibri"/>
          <w:color w:val="000000"/>
        </w:rPr>
        <w:t>zindywidualizowany (dostosowany do potrzeb i możliwości danej osoby) oraz jak najbardziej zbliżony do warunków odpowiadających życiu w środowisku domowym i rodzinnym;</w:t>
      </w:r>
    </w:p>
    <w:p w:rsidR="009E021A" w:rsidRPr="00EF0A59" w:rsidRDefault="009E021A" w:rsidP="009E021A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before="60" w:after="100" w:line="240" w:lineRule="auto"/>
        <w:ind w:left="284" w:hanging="284"/>
        <w:jc w:val="both"/>
        <w:textAlignment w:val="baseline"/>
        <w:rPr>
          <w:rFonts w:cs="Calibri"/>
          <w:color w:val="000000"/>
        </w:rPr>
      </w:pPr>
      <w:r w:rsidRPr="00EF0A59">
        <w:rPr>
          <w:rFonts w:cs="Calibri"/>
          <w:color w:val="000000"/>
        </w:rPr>
        <w:t>umożliwiający odbiorcom tych usług kontrolę nad swoim życiem i nad decyzjami, które ich dotyczą;</w:t>
      </w:r>
    </w:p>
    <w:p w:rsidR="009E021A" w:rsidRPr="00EF0A59" w:rsidRDefault="009E021A" w:rsidP="009E021A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before="60" w:after="100" w:line="240" w:lineRule="auto"/>
        <w:ind w:left="284" w:hanging="284"/>
        <w:jc w:val="both"/>
        <w:textAlignment w:val="baseline"/>
        <w:rPr>
          <w:rFonts w:cs="Calibri"/>
          <w:color w:val="000000"/>
        </w:rPr>
      </w:pPr>
      <w:r w:rsidRPr="00EF0A59">
        <w:rPr>
          <w:rFonts w:cs="Calibri"/>
          <w:color w:val="000000"/>
        </w:rPr>
        <w:t>zapewniający, że odbiorcy usług nie są odizolowani od ogółu społeczności lub nie są zmuszeni do mieszkania razem;</w:t>
      </w:r>
    </w:p>
    <w:p w:rsidR="009E021A" w:rsidRPr="00EF0A59" w:rsidRDefault="009E021A" w:rsidP="008F1763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before="60" w:after="0" w:line="240" w:lineRule="auto"/>
        <w:ind w:left="284" w:hanging="284"/>
        <w:jc w:val="both"/>
        <w:textAlignment w:val="baseline"/>
        <w:rPr>
          <w:rFonts w:cs="Calibri"/>
          <w:color w:val="000000"/>
        </w:rPr>
      </w:pPr>
      <w:r w:rsidRPr="00EF0A59">
        <w:rPr>
          <w:rFonts w:cs="Calibri"/>
          <w:color w:val="000000"/>
        </w:rPr>
        <w:t>gwarantujący, że wymagania organizacyjne nie mają pierwszeństwa przed indywidualnymi potrzebami mieszkańców.</w:t>
      </w:r>
    </w:p>
    <w:p w:rsidR="001538B5" w:rsidRDefault="001538B5" w:rsidP="001538B5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</w:p>
    <w:p w:rsidR="001538B5" w:rsidRPr="00A63216" w:rsidRDefault="001538B5" w:rsidP="001538B5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</w:rPr>
      </w:pPr>
      <w:r w:rsidRPr="00A63216">
        <w:rPr>
          <w:rFonts w:cs="Calibri"/>
        </w:rPr>
        <w:t>Minimalne wymagania świadczenia usług społecznych w społeczności lokalnej wskazuje również Załącznik nr 1 do „Wytycznych w zakresie realizacji przedsięwzięć w obszarze włączenia społecznego i zwalczania ubóstwa z wykorzystaniem środków Europejskiego Funduszu Społecznego i Europejskiego Funduszu Rozwoju Regionalnego na lata 2014-2020” (pkt. 6 – Mieszkania wspomagane).</w:t>
      </w:r>
    </w:p>
    <w:p w:rsidR="001538B5" w:rsidRPr="00EF0A59" w:rsidRDefault="001538B5" w:rsidP="001538B5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</w:p>
    <w:p w:rsidR="00AD2896" w:rsidRPr="00EF0A59" w:rsidRDefault="00AD2896" w:rsidP="00E43455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p w:rsidR="00384A7D" w:rsidRPr="00EF0A59" w:rsidRDefault="00B8207F" w:rsidP="009E021A">
      <w:pPr>
        <w:pBdr>
          <w:top w:val="single" w:sz="4" w:space="1" w:color="auto"/>
        </w:pBdr>
        <w:spacing w:after="120" w:line="240" w:lineRule="auto"/>
        <w:jc w:val="center"/>
        <w:rPr>
          <w:b/>
        </w:rPr>
      </w:pPr>
      <w:r w:rsidRPr="00EF0A59">
        <w:rPr>
          <w:b/>
        </w:rPr>
        <w:t>W</w:t>
      </w:r>
      <w:r w:rsidR="00091E68" w:rsidRPr="00EF0A59">
        <w:rPr>
          <w:b/>
        </w:rPr>
        <w:t>y</w:t>
      </w:r>
      <w:r w:rsidRPr="00EF0A59">
        <w:rPr>
          <w:b/>
        </w:rPr>
        <w:t>posażenie</w:t>
      </w:r>
    </w:p>
    <w:p w:rsidR="00504528" w:rsidRPr="00EF0A59" w:rsidRDefault="007E3837" w:rsidP="009E021A">
      <w:pPr>
        <w:spacing w:before="120" w:after="120" w:line="240" w:lineRule="auto"/>
        <w:jc w:val="both"/>
      </w:pPr>
      <w:r w:rsidRPr="00EF0A59">
        <w:t xml:space="preserve">IOK nie określiła zamkniętego katalogu </w:t>
      </w:r>
      <w:r w:rsidR="00504528" w:rsidRPr="00EF0A59">
        <w:t>wydatków</w:t>
      </w:r>
      <w:r w:rsidRPr="00EF0A59">
        <w:t xml:space="preserve"> kwalifikowanych przewidzianych </w:t>
      </w:r>
      <w:r w:rsidR="00504528" w:rsidRPr="00EF0A59">
        <w:t xml:space="preserve">dla </w:t>
      </w:r>
      <w:r w:rsidRPr="00EF0A59">
        <w:t xml:space="preserve"> wyposażenia w ramach projektu.</w:t>
      </w:r>
      <w:r w:rsidR="008F161D" w:rsidRPr="00EF0A59">
        <w:t xml:space="preserve"> </w:t>
      </w:r>
    </w:p>
    <w:p w:rsidR="00504528" w:rsidRPr="00EF0A59" w:rsidRDefault="00504528" w:rsidP="009E021A">
      <w:pPr>
        <w:spacing w:before="120" w:after="120" w:line="240" w:lineRule="auto"/>
        <w:jc w:val="both"/>
      </w:pPr>
      <w:r w:rsidRPr="00EF0A59">
        <w:rPr>
          <w:rFonts w:ascii="Calibri" w:hAnsi="Calibri"/>
        </w:rPr>
        <w:t>Mieszkanie chronione</w:t>
      </w:r>
      <w:r w:rsidRPr="00EF0A59">
        <w:t>, jak i mieszkania socjalne</w:t>
      </w:r>
      <w:r w:rsidRPr="00EF0A59">
        <w:rPr>
          <w:rFonts w:ascii="Calibri" w:hAnsi="Calibri"/>
        </w:rPr>
        <w:t xml:space="preserve"> </w:t>
      </w:r>
      <w:r w:rsidRPr="00EF0A59">
        <w:t xml:space="preserve">muszą </w:t>
      </w:r>
      <w:r w:rsidRPr="00EF0A59">
        <w:rPr>
          <w:rFonts w:ascii="Calibri" w:hAnsi="Calibri"/>
        </w:rPr>
        <w:t>spełniać minimalne standardy określone</w:t>
      </w:r>
      <w:r w:rsidRPr="00EF0A59">
        <w:t xml:space="preserve"> odpowiednio:</w:t>
      </w:r>
      <w:r w:rsidRPr="00EF0A59">
        <w:rPr>
          <w:rFonts w:ascii="Calibri" w:hAnsi="Calibri"/>
        </w:rPr>
        <w:t xml:space="preserve"> w </w:t>
      </w:r>
      <w:r w:rsidRPr="00EF0A59">
        <w:rPr>
          <w:rFonts w:eastAsia="Arial" w:cs="Arial"/>
        </w:rPr>
        <w:t>Rozporządzeniu Ministra Pracy i Polityki Społecznej z dnia 14 marca 2012 r. w</w:t>
      </w:r>
      <w:r w:rsidR="00EF0A59">
        <w:rPr>
          <w:rFonts w:eastAsia="Arial" w:cs="Arial"/>
        </w:rPr>
        <w:t> </w:t>
      </w:r>
      <w:r w:rsidRPr="00EF0A59">
        <w:rPr>
          <w:rFonts w:eastAsia="Arial" w:cs="Arial"/>
        </w:rPr>
        <w:t xml:space="preserve">sprawie mieszkań chronionych albo </w:t>
      </w:r>
      <w:r w:rsidRPr="00EF0A59">
        <w:t>w ustawie z dnia 21 czerwca 2001 r. o ochronie praw lokatorów, mieszkaniowym zasobie gminy i o zmianie Kodeksu cywilnego.</w:t>
      </w:r>
    </w:p>
    <w:p w:rsidR="00504528" w:rsidRPr="00EF0A59" w:rsidRDefault="00504528" w:rsidP="009E021A">
      <w:pPr>
        <w:spacing w:before="120" w:after="120" w:line="240" w:lineRule="auto"/>
        <w:jc w:val="both"/>
        <w:rPr>
          <w:rFonts w:ascii="Calibri" w:hAnsi="Calibri"/>
        </w:rPr>
      </w:pPr>
      <w:r w:rsidRPr="00EF0A59">
        <w:t>M</w:t>
      </w:r>
      <w:r w:rsidRPr="00EF0A59">
        <w:rPr>
          <w:rFonts w:ascii="Calibri" w:hAnsi="Calibri"/>
        </w:rPr>
        <w:t xml:space="preserve">inimalne wyposażenie </w:t>
      </w:r>
      <w:r w:rsidRPr="00EF0A59">
        <w:t xml:space="preserve">ww. mieszkań na potrzeby konkursu </w:t>
      </w:r>
      <w:r w:rsidRPr="00EF0A59">
        <w:rPr>
          <w:rFonts w:ascii="Calibri" w:hAnsi="Calibri"/>
        </w:rPr>
        <w:t>określ</w:t>
      </w:r>
      <w:r w:rsidRPr="00EF0A59">
        <w:t xml:space="preserve">one zostało zgodnie z </w:t>
      </w:r>
      <w:r w:rsidRPr="00EF0A59">
        <w:rPr>
          <w:rFonts w:ascii="Calibri" w:hAnsi="Calibri"/>
        </w:rPr>
        <w:t>§9 Rozporządzenia Ministra Infrastruktury i Budownictwa z dnia 26 lutego 2016 r. w sprawie finansowego wsparcia na tworzenie lokali s</w:t>
      </w:r>
      <w:r w:rsidRPr="00EF0A59">
        <w:t xml:space="preserve">ocjalnych, mieszkań chronionych </w:t>
      </w:r>
      <w:r w:rsidRPr="00EF0A59">
        <w:rPr>
          <w:rFonts w:ascii="Calibri" w:hAnsi="Calibri"/>
        </w:rPr>
        <w:t>i lokali wchodzących w</w:t>
      </w:r>
      <w:r w:rsidR="00EF0A59">
        <w:rPr>
          <w:rFonts w:ascii="Calibri" w:hAnsi="Calibri"/>
        </w:rPr>
        <w:t> </w:t>
      </w:r>
      <w:r w:rsidRPr="00EF0A59">
        <w:rPr>
          <w:rFonts w:ascii="Calibri" w:hAnsi="Calibri"/>
        </w:rPr>
        <w:t>skład mieszkaniowego zasobu gminy niestanowiących lokali socjalnych:</w:t>
      </w:r>
    </w:p>
    <w:p w:rsidR="00504528" w:rsidRPr="00EF0A59" w:rsidRDefault="00504528" w:rsidP="009E021A">
      <w:pPr>
        <w:spacing w:after="0" w:line="240" w:lineRule="auto"/>
        <w:jc w:val="both"/>
        <w:rPr>
          <w:rFonts w:ascii="Calibri" w:hAnsi="Calibri"/>
        </w:rPr>
      </w:pPr>
      <w:r w:rsidRPr="00EF0A59">
        <w:rPr>
          <w:rFonts w:ascii="Calibri" w:hAnsi="Calibri"/>
        </w:rPr>
        <w:t>– wanna lub kabina natryskowa – w łazience,</w:t>
      </w:r>
    </w:p>
    <w:p w:rsidR="00504528" w:rsidRPr="00EF0A59" w:rsidRDefault="00504528" w:rsidP="009E021A">
      <w:pPr>
        <w:spacing w:after="0" w:line="240" w:lineRule="auto"/>
        <w:jc w:val="both"/>
        <w:rPr>
          <w:rFonts w:ascii="Calibri" w:hAnsi="Calibri"/>
        </w:rPr>
      </w:pPr>
      <w:r w:rsidRPr="00EF0A59">
        <w:rPr>
          <w:rFonts w:ascii="Calibri" w:hAnsi="Calibri"/>
        </w:rPr>
        <w:t>– umywalka – w łazience,</w:t>
      </w:r>
    </w:p>
    <w:p w:rsidR="00504528" w:rsidRPr="00EF0A59" w:rsidRDefault="00504528" w:rsidP="009E021A">
      <w:pPr>
        <w:spacing w:after="0" w:line="240" w:lineRule="auto"/>
        <w:jc w:val="both"/>
        <w:rPr>
          <w:rFonts w:ascii="Calibri" w:hAnsi="Calibri"/>
        </w:rPr>
      </w:pPr>
      <w:r w:rsidRPr="00EF0A59">
        <w:rPr>
          <w:rFonts w:ascii="Calibri" w:hAnsi="Calibri"/>
        </w:rPr>
        <w:t xml:space="preserve">– miska ustępowa – w łazience lub w wydzielonym ustępie, </w:t>
      </w:r>
    </w:p>
    <w:p w:rsidR="00504528" w:rsidRPr="00EF0A59" w:rsidRDefault="00504528" w:rsidP="009E021A">
      <w:pPr>
        <w:spacing w:after="0" w:line="240" w:lineRule="auto"/>
        <w:jc w:val="both"/>
      </w:pPr>
      <w:r w:rsidRPr="00EF0A59">
        <w:rPr>
          <w:rFonts w:ascii="Calibri" w:hAnsi="Calibri"/>
        </w:rPr>
        <w:t>– zlewozmywak</w:t>
      </w:r>
    </w:p>
    <w:p w:rsidR="00504528" w:rsidRPr="00EF0A59" w:rsidRDefault="00504528" w:rsidP="009E021A">
      <w:pPr>
        <w:spacing w:after="0" w:line="240" w:lineRule="auto"/>
        <w:jc w:val="both"/>
        <w:rPr>
          <w:rFonts w:ascii="Calibri" w:hAnsi="Calibri"/>
        </w:rPr>
      </w:pPr>
      <w:r w:rsidRPr="00EF0A59">
        <w:rPr>
          <w:rFonts w:ascii="Calibri" w:hAnsi="Calibri"/>
        </w:rPr>
        <w:t>– czteropaleniskowa kuchenka gazowa lub kuchenka na inne paliwo lub równoważna użytkowo kuchenka elektryczna.</w:t>
      </w:r>
    </w:p>
    <w:p w:rsidR="00504528" w:rsidRPr="00EF0A59" w:rsidRDefault="00504528" w:rsidP="009E021A">
      <w:pPr>
        <w:spacing w:before="120" w:after="120" w:line="240" w:lineRule="auto"/>
        <w:jc w:val="both"/>
      </w:pPr>
      <w:r w:rsidRPr="00EF0A59">
        <w:lastRenderedPageBreak/>
        <w:t>M</w:t>
      </w:r>
      <w:r w:rsidRPr="00EF0A59">
        <w:rPr>
          <w:rFonts w:ascii="Calibri" w:hAnsi="Calibri"/>
        </w:rPr>
        <w:t xml:space="preserve">ając na uwadze cel pobytu w mieszkaniu </w:t>
      </w:r>
      <w:r w:rsidRPr="00EF0A59">
        <w:t xml:space="preserve">(również </w:t>
      </w:r>
      <w:r w:rsidRPr="00EF0A59">
        <w:rPr>
          <w:rFonts w:ascii="Calibri" w:hAnsi="Calibri"/>
        </w:rPr>
        <w:t>wspomaganym</w:t>
      </w:r>
      <w:r w:rsidRPr="00EF0A59">
        <w:t>, wspieranym lub treningowym)</w:t>
      </w:r>
      <w:r w:rsidRPr="00EF0A59">
        <w:rPr>
          <w:rFonts w:ascii="Calibri" w:hAnsi="Calibri"/>
        </w:rPr>
        <w:t xml:space="preserve">, </w:t>
      </w:r>
      <w:r w:rsidRPr="00EF0A59">
        <w:t xml:space="preserve">możliwe </w:t>
      </w:r>
      <w:r w:rsidRPr="00EF0A59">
        <w:rPr>
          <w:rFonts w:ascii="Calibri" w:hAnsi="Calibri"/>
        </w:rPr>
        <w:t>jest</w:t>
      </w:r>
      <w:r w:rsidRPr="00EF0A59">
        <w:t xml:space="preserve"> rozszerzenie wymaganego wyposażenia o, np.:</w:t>
      </w:r>
    </w:p>
    <w:p w:rsidR="00504528" w:rsidRPr="00EF0A59" w:rsidRDefault="00504528" w:rsidP="009E021A">
      <w:pPr>
        <w:spacing w:before="120" w:after="0" w:line="240" w:lineRule="auto"/>
        <w:jc w:val="both"/>
      </w:pPr>
      <w:r w:rsidRPr="00EF0A59">
        <w:rPr>
          <w:rFonts w:ascii="Calibri" w:hAnsi="Calibri"/>
        </w:rPr>
        <w:t>– </w:t>
      </w:r>
      <w:r w:rsidRPr="00EF0A59">
        <w:t>meble w ramach wyposażenia pokoju mieszkalnego (sypialnego), np. łóżko lub tapczan z pościelą, szafkę przyłóżkową, szafę na ubrania, krzesło lub fotel, stolik;</w:t>
      </w:r>
    </w:p>
    <w:p w:rsidR="00504528" w:rsidRPr="00EF0A59" w:rsidRDefault="00504528" w:rsidP="009E021A">
      <w:pPr>
        <w:spacing w:after="0" w:line="240" w:lineRule="auto"/>
        <w:jc w:val="both"/>
      </w:pPr>
      <w:r w:rsidRPr="00EF0A59">
        <w:rPr>
          <w:rFonts w:ascii="Calibri" w:hAnsi="Calibri"/>
        </w:rPr>
        <w:t>– </w:t>
      </w:r>
      <w:r w:rsidRPr="00EF0A59">
        <w:t>lodówkę, czajnik oraz sprzęty niezbędne do przygotowywania i spożywania posiłków;</w:t>
      </w:r>
    </w:p>
    <w:p w:rsidR="00504528" w:rsidRPr="00EF0A59" w:rsidRDefault="00504528" w:rsidP="009E021A">
      <w:pPr>
        <w:spacing w:after="0" w:line="240" w:lineRule="auto"/>
        <w:jc w:val="both"/>
      </w:pPr>
      <w:r w:rsidRPr="00EF0A59">
        <w:rPr>
          <w:rFonts w:ascii="Calibri" w:hAnsi="Calibri"/>
        </w:rPr>
        <w:t>– </w:t>
      </w:r>
      <w:r w:rsidRPr="00EF0A59">
        <w:t>pralkę.</w:t>
      </w:r>
    </w:p>
    <w:p w:rsidR="00504528" w:rsidRDefault="00504528" w:rsidP="009E021A">
      <w:pPr>
        <w:autoSpaceDE w:val="0"/>
        <w:autoSpaceDN w:val="0"/>
        <w:adjustRightInd w:val="0"/>
        <w:spacing w:after="0" w:line="240" w:lineRule="auto"/>
      </w:pPr>
    </w:p>
    <w:p w:rsidR="0009348A" w:rsidRPr="0009348A" w:rsidRDefault="0009348A" w:rsidP="0009348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9348A">
        <w:t>Szczegółowe zasady kwalifikowalności wydatków określone zostały w „Wytycznych w zakresie kwalifikowalności wydatków w ramach Europejskiego Funduszu Rozwoju Regionalnego, Europejskiego Funduszu Społecznego oraz Funduszu Spójności na lata 2014-2020”</w:t>
      </w:r>
      <w:r w:rsidRPr="0009348A">
        <w:rPr>
          <w:b/>
          <w:bCs/>
        </w:rPr>
        <w:t xml:space="preserve"> </w:t>
      </w:r>
      <w:r w:rsidRPr="0009348A">
        <w:t>oraz</w:t>
      </w:r>
      <w:r w:rsidRPr="0009348A">
        <w:rPr>
          <w:b/>
          <w:bCs/>
        </w:rPr>
        <w:t xml:space="preserve"> </w:t>
      </w:r>
      <w:r w:rsidRPr="0009348A">
        <w:t xml:space="preserve">Załączniku nr 6 do SZOOP </w:t>
      </w:r>
      <w:r>
        <w:t>–</w:t>
      </w:r>
      <w:r w:rsidRPr="0009348A">
        <w:t xml:space="preserve"> Zasady kwalifikowalności wydatków w RPO WD 2014-2020.</w:t>
      </w:r>
    </w:p>
    <w:p w:rsidR="0009348A" w:rsidRPr="0009348A" w:rsidRDefault="0009348A" w:rsidP="0009348A">
      <w:pPr>
        <w:autoSpaceDE w:val="0"/>
        <w:autoSpaceDN w:val="0"/>
        <w:adjustRightInd w:val="0"/>
        <w:spacing w:after="0" w:line="240" w:lineRule="auto"/>
        <w:jc w:val="both"/>
      </w:pPr>
    </w:p>
    <w:p w:rsidR="0009348A" w:rsidRDefault="0009348A" w:rsidP="00E43455">
      <w:pPr>
        <w:autoSpaceDE w:val="0"/>
        <w:autoSpaceDN w:val="0"/>
        <w:adjustRightInd w:val="0"/>
        <w:spacing w:after="240" w:line="240" w:lineRule="auto"/>
        <w:jc w:val="both"/>
      </w:pPr>
      <w:r w:rsidRPr="0009348A">
        <w:t xml:space="preserve">Projekty i wydatki muszą być zgodne z ww. Wytycznymi. </w:t>
      </w:r>
      <w:r w:rsidRPr="000833F5">
        <w:rPr>
          <w:b/>
        </w:rPr>
        <w:t>Wyposażenie i sprzęt (w tym środki trwałe) powinny być uzasadnione potrzebami użytkowników obiektów oraz niezbędne do prawidłowego ich funkcjonowania i korzystania z infrastruktury objętej wsparciem w ramach projektu oraz mogą stanowić element projektu, jeśli są niezbędne dla realizacji celów projektu</w:t>
      </w:r>
      <w:r w:rsidRPr="0009348A">
        <w:t>. Zasadność wydatku (w</w:t>
      </w:r>
      <w:r w:rsidR="00973EAA">
        <w:t> </w:t>
      </w:r>
      <w:r w:rsidRPr="0009348A">
        <w:t>tym jego wysokość) weryfikowana jest podczas oceny wniosku.</w:t>
      </w:r>
    </w:p>
    <w:p w:rsidR="00504528" w:rsidRDefault="00504528" w:rsidP="009E021A">
      <w:pPr>
        <w:pBdr>
          <w:top w:val="single" w:sz="4" w:space="1" w:color="auto"/>
        </w:pBdr>
        <w:spacing w:after="0" w:line="240" w:lineRule="auto"/>
        <w:rPr>
          <w:b/>
        </w:rPr>
      </w:pPr>
    </w:p>
    <w:p w:rsidR="00504528" w:rsidRPr="00EF0A59" w:rsidRDefault="00504528" w:rsidP="00E43455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  <w:r w:rsidRPr="00EF0A59">
        <w:rPr>
          <w:b/>
        </w:rPr>
        <w:t>Części wspólne w budynkach</w:t>
      </w:r>
    </w:p>
    <w:p w:rsidR="00504528" w:rsidRPr="00EF0A59" w:rsidRDefault="00504528" w:rsidP="009E021A">
      <w:pPr>
        <w:spacing w:before="120" w:after="120" w:line="240" w:lineRule="auto"/>
        <w:jc w:val="both"/>
      </w:pPr>
      <w:r w:rsidRPr="00EF0A59">
        <w:t xml:space="preserve">Inwestycje w ramach projektu mogą dotyczyć, poza wspieranymi lokalami mieszkalnymi, również części wspólnych budynku. </w:t>
      </w:r>
    </w:p>
    <w:p w:rsidR="00504528" w:rsidRPr="00EF0A59" w:rsidRDefault="00504528" w:rsidP="004A43F3">
      <w:pPr>
        <w:pStyle w:val="Poprawka"/>
        <w:spacing w:after="120"/>
        <w:jc w:val="both"/>
        <w:rPr>
          <w:rFonts w:asciiTheme="minorHAnsi" w:hAnsiTheme="minorHAnsi"/>
          <w:sz w:val="22"/>
          <w:szCs w:val="22"/>
        </w:rPr>
      </w:pPr>
      <w:r w:rsidRPr="00EF0A59">
        <w:rPr>
          <w:rFonts w:asciiTheme="minorHAnsi" w:hAnsiTheme="minorHAnsi"/>
          <w:sz w:val="22"/>
          <w:szCs w:val="22"/>
        </w:rPr>
        <w:t xml:space="preserve">Części  wspólne  budynku – części  budynku (i istniejących w nim urządzeń), które nie służą wyłącznie do użytku poszczególnych właścicieli lokali, na którym wzniesiono budynek. Co do zasady za części wspólne uznaje się: ściany zewnętrzne, fundamenty, dach, strychy, korytarze, kominy, pralnie, suszarnie, przechowalnie wózków dziecięcych, instalacje centralnego ogrzewania, kanalizacyjne, czy elektryczne, ściany nośne, windy. </w:t>
      </w:r>
    </w:p>
    <w:p w:rsidR="00504528" w:rsidRPr="00EF0A59" w:rsidRDefault="00504528" w:rsidP="009E021A">
      <w:pPr>
        <w:pStyle w:val="Poprawka"/>
        <w:jc w:val="both"/>
        <w:rPr>
          <w:rFonts w:asciiTheme="minorHAnsi" w:hAnsiTheme="minorHAnsi"/>
          <w:sz w:val="22"/>
          <w:szCs w:val="22"/>
        </w:rPr>
      </w:pPr>
      <w:r w:rsidRPr="00EF0A59">
        <w:rPr>
          <w:rFonts w:asciiTheme="minorHAnsi" w:hAnsiTheme="minorHAnsi"/>
          <w:sz w:val="22"/>
          <w:szCs w:val="22"/>
        </w:rPr>
        <w:t xml:space="preserve">IOK nie określa zamkniętego katalogu części wspólnych budynku, o tym co jest częścią wspólną decydują w dużej mierze postanowienia umów o ustanowieniu odrębnej własności lokalu. </w:t>
      </w:r>
    </w:p>
    <w:p w:rsidR="00504528" w:rsidRPr="00EF0A59" w:rsidRDefault="00504528" w:rsidP="00E43455">
      <w:pPr>
        <w:spacing w:before="120" w:after="240" w:line="240" w:lineRule="auto"/>
        <w:jc w:val="both"/>
      </w:pPr>
      <w:r w:rsidRPr="00EF0A59">
        <w:rPr>
          <w:u w:val="single"/>
        </w:rPr>
        <w:t>Inwestycje w częściach wspólnych budynku, co do zasady, rozliczane są proporcjonalnie</w:t>
      </w:r>
      <w:r w:rsidRPr="00EF0A59">
        <w:t>. Należy określić procentowy udział powierzchni użytkowej związanej z projektem w całkowitej powierzchni użytkowej budynku. Następnie należy wg uzyskanej proporcji obniżyć wydatki kwalifikowalne dla</w:t>
      </w:r>
      <w:r w:rsidR="000833F5" w:rsidRPr="000833F5">
        <w:t xml:space="preserve"> </w:t>
      </w:r>
      <w:r w:rsidR="000833F5" w:rsidRPr="00EF0A59">
        <w:t xml:space="preserve">części wspólnych. </w:t>
      </w:r>
      <w:r w:rsidR="000833F5">
        <w:t xml:space="preserve"> </w:t>
      </w:r>
      <w:r w:rsidRPr="00EF0A59">
        <w:t>Zatem kwalifikowanie kosztu, np. remontu całej klatki schodowej nie jest możliwe</w:t>
      </w:r>
      <w:bookmarkStart w:id="0" w:name="_GoBack"/>
      <w:bookmarkEnd w:id="0"/>
      <w:r w:rsidR="00A91BD2">
        <w:t xml:space="preserve"> w przypadku projektu polegającego utworzeniu np. jednego mieszkania w budynku</w:t>
      </w:r>
      <w:r w:rsidRPr="00EF0A59">
        <w:t>.</w:t>
      </w:r>
    </w:p>
    <w:p w:rsidR="003D54B0" w:rsidRDefault="003D54B0" w:rsidP="003D54B0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p w:rsidR="004A43F3" w:rsidRDefault="004A43F3" w:rsidP="003D54B0">
      <w:pPr>
        <w:pBdr>
          <w:top w:val="single" w:sz="4" w:space="1" w:color="auto"/>
        </w:pBdr>
        <w:spacing w:line="240" w:lineRule="auto"/>
        <w:jc w:val="center"/>
      </w:pPr>
      <w:r w:rsidRPr="00EF0A59">
        <w:rPr>
          <w:b/>
        </w:rPr>
        <w:t xml:space="preserve">Dostępność </w:t>
      </w:r>
      <w:r>
        <w:rPr>
          <w:b/>
        </w:rPr>
        <w:t xml:space="preserve">obiektu </w:t>
      </w:r>
      <w:r w:rsidRPr="00EF0A59">
        <w:rPr>
          <w:b/>
        </w:rPr>
        <w:t>dla osób z niepełnosprawnościami</w:t>
      </w:r>
    </w:p>
    <w:p w:rsidR="00504528" w:rsidRPr="00EF0A59" w:rsidRDefault="00504528" w:rsidP="009E021A">
      <w:pPr>
        <w:spacing w:line="240" w:lineRule="auto"/>
        <w:jc w:val="both"/>
      </w:pPr>
      <w:r w:rsidRPr="00EF0A59">
        <w:t xml:space="preserve">Zgodnie z zapisami Regulaminu </w:t>
      </w:r>
      <w:r w:rsidRPr="000833F5">
        <w:rPr>
          <w:u w:val="single"/>
        </w:rPr>
        <w:t>projekt powinien uwzględniać dostosowanie infrastruktury do potrzeb osób niepełnosprawnych</w:t>
      </w:r>
      <w:r w:rsidRPr="00EF0A59">
        <w:t xml:space="preserve">. </w:t>
      </w:r>
      <w:r w:rsidRPr="00EF0A59">
        <w:rPr>
          <w:b/>
        </w:rPr>
        <w:t>Dostępność dla osób z niepełnosprawnościami</w:t>
      </w:r>
      <w:r w:rsidRPr="00EF0A59">
        <w:t xml:space="preserve"> w projektach zapewniana jest przede wszystkim dzięki stosowaniu koncepcji uniwersalnego projektowania, poprzez usuwanie istniejących barier</w:t>
      </w:r>
      <w:r w:rsidR="0098525B">
        <w:t xml:space="preserve"> architektonicznych </w:t>
      </w:r>
      <w:r w:rsidRPr="00EF0A59">
        <w:t xml:space="preserve">– wynikających z konieczności realizacji dla projektów zasady równości szans i niedyskryminacji (vide: </w:t>
      </w:r>
      <w:r w:rsidRPr="00EF0A59">
        <w:rPr>
          <w:i/>
          <w:iCs/>
        </w:rPr>
        <w:t>Wytyczne w zakresie realizacji zasady równości szans i niedyskryminacji, w tym dostępności dla osób z</w:t>
      </w:r>
      <w:r w:rsidR="00EF0A59">
        <w:rPr>
          <w:i/>
          <w:iCs/>
        </w:rPr>
        <w:t> </w:t>
      </w:r>
      <w:r w:rsidRPr="00EF0A59">
        <w:rPr>
          <w:i/>
          <w:iCs/>
        </w:rPr>
        <w:t>niepełnosprawnościami oraz zasady równości szans kobiet i mężczyzn w ramach funduszy unijnych na lata 2014-2020</w:t>
      </w:r>
      <w:r w:rsidRPr="00EF0A59">
        <w:t>).</w:t>
      </w:r>
    </w:p>
    <w:p w:rsidR="00504528" w:rsidRPr="00EF0A59" w:rsidRDefault="00504528" w:rsidP="009E021A">
      <w:pPr>
        <w:spacing w:before="120" w:line="240" w:lineRule="auto"/>
        <w:jc w:val="both"/>
      </w:pPr>
      <w:r w:rsidRPr="00EF0A59">
        <w:t xml:space="preserve">W przypadku </w:t>
      </w:r>
      <w:r w:rsidRPr="00EF0A59">
        <w:rPr>
          <w:u w:val="single"/>
        </w:rPr>
        <w:t>dostosowania architektonicznego budynków dla osób niepełnosprawnych</w:t>
      </w:r>
      <w:r w:rsidRPr="00EF0A59">
        <w:t xml:space="preserve"> – poprzez np. montaż platformy, windy czy podnośnika na klatce schodowej w części wspólnej, wydatki z nim związane </w:t>
      </w:r>
      <w:r w:rsidRPr="00EF0A59">
        <w:rPr>
          <w:u w:val="single"/>
        </w:rPr>
        <w:t>mogą być kwalifikowalne w całości</w:t>
      </w:r>
      <w:r w:rsidRPr="00EF0A59">
        <w:t xml:space="preserve"> (pod warunkiem ich zasadności etc. w projekcie, np. braku takiego rozwiązania architektonicznego, które jest jednak konieczne, biorąc pod uwagę cel projektu/przeznaczenie infrastruktury).</w:t>
      </w:r>
    </w:p>
    <w:p w:rsidR="00504528" w:rsidRDefault="00504528" w:rsidP="00A904A6">
      <w:pPr>
        <w:spacing w:before="120" w:after="240" w:line="240" w:lineRule="auto"/>
        <w:jc w:val="both"/>
      </w:pPr>
      <w:r w:rsidRPr="00EF0A59">
        <w:t>Przywołane „</w:t>
      </w:r>
      <w:r w:rsidRPr="00EF0A59">
        <w:rPr>
          <w:i/>
          <w:iCs/>
        </w:rPr>
        <w:t>Wytyczne w zakresie realizacji zasady równości szans i niedyskryminacji, w tym dostępności dla osób z niepełnosprawnościami oraz zasady równości szans kobiet i mężczyzn w</w:t>
      </w:r>
      <w:r w:rsidR="00EF0A59">
        <w:rPr>
          <w:i/>
          <w:iCs/>
        </w:rPr>
        <w:t> </w:t>
      </w:r>
      <w:r w:rsidRPr="00EF0A59">
        <w:rPr>
          <w:i/>
          <w:iCs/>
        </w:rPr>
        <w:t xml:space="preserve">ramach funduszy unijnych na lata 2014-2020” </w:t>
      </w:r>
      <w:r w:rsidRPr="00EF0A59">
        <w:t>[Podrozdział 5.2 – System wdrażania programów operacyjnych]</w:t>
      </w:r>
      <w:r w:rsidRPr="00EF0A59">
        <w:rPr>
          <w:i/>
          <w:iCs/>
        </w:rPr>
        <w:t xml:space="preserve"> </w:t>
      </w:r>
      <w:r w:rsidRPr="00EF0A59">
        <w:t>wskazują również wprost, że każdy wydatek poniesiony w celu ułatwienia dostępu i</w:t>
      </w:r>
      <w:r w:rsidR="00EF0A59">
        <w:t> </w:t>
      </w:r>
      <w:r w:rsidRPr="00EF0A59">
        <w:t>uczestnictwa w projekcie osób z niepełnosprawnościami jest kwalifikowalny, o ile nie stanowi wydatku niekwalifikowalnego na mocy przepisów unijnych oraz „</w:t>
      </w:r>
      <w:r w:rsidRPr="00EF0A59">
        <w:rPr>
          <w:i/>
          <w:iCs/>
        </w:rPr>
        <w:t>Wytycznych Ministra Infrastruktury i</w:t>
      </w:r>
      <w:r w:rsidR="00EF0A59">
        <w:rPr>
          <w:i/>
          <w:iCs/>
        </w:rPr>
        <w:t> </w:t>
      </w:r>
      <w:r w:rsidRPr="00EF0A59">
        <w:rPr>
          <w:i/>
          <w:iCs/>
        </w:rPr>
        <w:t>Rozwoju w zakresie kwalifikowalności wydatków w ramach Europejskiego Funduszu Rozwoju Regionalnego, Europejskiego Funduszu Społecznego oraz Funduszu Spójności na lata 2014-2020</w:t>
      </w:r>
      <w:r w:rsidRPr="00EF0A59">
        <w:t>”.</w:t>
      </w:r>
    </w:p>
    <w:p w:rsidR="003D54B0" w:rsidRDefault="004A43F3" w:rsidP="00A904A6">
      <w:pPr>
        <w:spacing w:before="120" w:after="120" w:line="240" w:lineRule="auto"/>
        <w:jc w:val="both"/>
      </w:pPr>
      <w:r w:rsidRPr="00973EAA">
        <w:t xml:space="preserve">Więcej w tym zakresie: Poradnik opublikowany przez Ministerstwo Rozwoju </w:t>
      </w:r>
      <w:r w:rsidRPr="00973EAA">
        <w:rPr>
          <w:i/>
          <w:iCs/>
        </w:rPr>
        <w:t>"Realizacja zasady równości szans i niedyskryminacji, w tym dostępności dla osób z niepełnosprawnościami”.</w:t>
      </w:r>
      <w:r w:rsidRPr="004A43F3">
        <w:t xml:space="preserve"> </w:t>
      </w:r>
    </w:p>
    <w:p w:rsidR="003D54B0" w:rsidRPr="00EF0A59" w:rsidRDefault="003D54B0" w:rsidP="003D54B0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p w:rsidR="003D54B0" w:rsidRPr="00EF0A59" w:rsidRDefault="003D54B0" w:rsidP="003D54B0">
      <w:pPr>
        <w:pBdr>
          <w:top w:val="single" w:sz="4" w:space="1" w:color="auto"/>
        </w:pBdr>
        <w:spacing w:after="120" w:line="240" w:lineRule="auto"/>
        <w:jc w:val="center"/>
        <w:rPr>
          <w:b/>
        </w:rPr>
      </w:pPr>
      <w:r>
        <w:rPr>
          <w:b/>
        </w:rPr>
        <w:t>Adaptacja zdegradowanej infrastruktury na mieszkania chronione, wspomagane lub socjalne</w:t>
      </w:r>
    </w:p>
    <w:p w:rsidR="003D54B0" w:rsidRDefault="003D54B0" w:rsidP="003D54B0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Przewidziane w ramach konkursu w</w:t>
      </w:r>
      <w:r w:rsidRPr="00497F62">
        <w:rPr>
          <w:rFonts w:cs="Calibri"/>
          <w:color w:val="000000"/>
        </w:rPr>
        <w:t>spa</w:t>
      </w:r>
      <w:r>
        <w:rPr>
          <w:rFonts w:cs="Calibri"/>
          <w:color w:val="000000"/>
        </w:rPr>
        <w:t xml:space="preserve">rcie dla mieszkań chronionych, </w:t>
      </w:r>
      <w:r w:rsidRPr="00497F62">
        <w:rPr>
          <w:rFonts w:cs="Calibri"/>
          <w:color w:val="000000"/>
        </w:rPr>
        <w:t>wspomaganych</w:t>
      </w:r>
      <w:r>
        <w:rPr>
          <w:rFonts w:cs="Calibri"/>
          <w:color w:val="000000"/>
        </w:rPr>
        <w:t xml:space="preserve"> oraz socjalnych </w:t>
      </w:r>
      <w:r w:rsidRPr="00497F62">
        <w:rPr>
          <w:rFonts w:cs="Calibri"/>
          <w:color w:val="000000"/>
        </w:rPr>
        <w:t>polega</w:t>
      </w:r>
      <w:r>
        <w:rPr>
          <w:rFonts w:cs="Calibri"/>
          <w:color w:val="000000"/>
        </w:rPr>
        <w:t xml:space="preserve">, co do zasady, </w:t>
      </w:r>
      <w:r w:rsidRPr="00497F62">
        <w:rPr>
          <w:rFonts w:cs="Calibri"/>
          <w:color w:val="000000"/>
        </w:rPr>
        <w:t xml:space="preserve">na tworzeniu miejsc </w:t>
      </w:r>
      <w:r w:rsidRPr="00232EE9">
        <w:rPr>
          <w:rFonts w:cs="Calibri"/>
          <w:b/>
          <w:color w:val="000000"/>
        </w:rPr>
        <w:t>w nowo tworzonych</w:t>
      </w:r>
      <w:r w:rsidRPr="00232EE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mieszkaniach (zaadaptowanych na ten cel) socjalnych lub</w:t>
      </w:r>
      <w:r w:rsidRPr="00497F62">
        <w:rPr>
          <w:rFonts w:cs="Calibri"/>
          <w:color w:val="000000"/>
        </w:rPr>
        <w:t xml:space="preserve"> mieszkaniach chronionych lub mieszkaniach wspomaganych</w:t>
      </w:r>
      <w:r>
        <w:rPr>
          <w:rFonts w:cs="Calibri"/>
          <w:color w:val="000000"/>
        </w:rPr>
        <w:t>,</w:t>
      </w:r>
      <w:r w:rsidRPr="00232EE9">
        <w:rPr>
          <w:rFonts w:cs="Calibri"/>
          <w:color w:val="000000"/>
        </w:rPr>
        <w:t xml:space="preserve"> </w:t>
      </w:r>
      <w:r w:rsidRPr="00497F62">
        <w:rPr>
          <w:rFonts w:cs="Calibri"/>
          <w:color w:val="000000"/>
        </w:rPr>
        <w:t>przeznaczonych dla osób lub rodzin zagrożonych ubóst</w:t>
      </w:r>
      <w:r>
        <w:rPr>
          <w:rFonts w:cs="Calibri"/>
          <w:color w:val="000000"/>
        </w:rPr>
        <w:t>wem lub wykluczeniem społecznym.</w:t>
      </w:r>
    </w:p>
    <w:p w:rsidR="003D54B0" w:rsidRDefault="003D54B0" w:rsidP="003D54B0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W</w:t>
      </w:r>
      <w:r w:rsidRPr="00497F62">
        <w:rPr>
          <w:rFonts w:cs="Calibri"/>
          <w:color w:val="000000"/>
        </w:rPr>
        <w:t xml:space="preserve">sparcie istniejących mieszkań możliwe wyłącznie pod warunkiem zwiększenia liczby miejsc świadczenia usług w danym mieszkaniu, bez pogorszenia jakości świadczonych usług. </w:t>
      </w:r>
    </w:p>
    <w:p w:rsidR="003D54B0" w:rsidRDefault="003D54B0" w:rsidP="003D54B0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</w:p>
    <w:p w:rsidR="003D54B0" w:rsidRPr="005071EC" w:rsidRDefault="003D54B0" w:rsidP="003D54B0">
      <w:pPr>
        <w:tabs>
          <w:tab w:val="left" w:pos="284"/>
        </w:tabs>
        <w:suppressAutoHyphens/>
        <w:autoSpaceDN w:val="0"/>
        <w:spacing w:before="60" w:after="0" w:line="240" w:lineRule="auto"/>
        <w:jc w:val="both"/>
        <w:textAlignment w:val="baseline"/>
        <w:rPr>
          <w:rFonts w:cs="Calibri"/>
          <w:color w:val="000000"/>
        </w:rPr>
      </w:pPr>
      <w:r w:rsidRPr="00973EAA">
        <w:rPr>
          <w:rFonts w:cs="Calibri"/>
          <w:color w:val="000000"/>
        </w:rPr>
        <w:t>Powyższe oznacza, że w przypadku projektu polegającego na pracach budowlanych w budynku,</w:t>
      </w:r>
      <w:r w:rsidR="00F32EA2" w:rsidRPr="00973EAA">
        <w:rPr>
          <w:rFonts w:cs="Calibri"/>
          <w:color w:val="000000"/>
        </w:rPr>
        <w:t xml:space="preserve"> w którym istnieją już mieszkania chronione, wspomagan</w:t>
      </w:r>
      <w:r w:rsidR="005071EC" w:rsidRPr="00973EAA">
        <w:rPr>
          <w:rFonts w:cs="Calibri"/>
          <w:color w:val="000000"/>
        </w:rPr>
        <w:t>e lub</w:t>
      </w:r>
      <w:r w:rsidR="00F32EA2" w:rsidRPr="00973EAA">
        <w:rPr>
          <w:rFonts w:cs="Calibri"/>
          <w:color w:val="000000"/>
        </w:rPr>
        <w:t xml:space="preserve"> socjalne </w:t>
      </w:r>
      <w:r w:rsidRPr="00973EAA">
        <w:rPr>
          <w:rFonts w:cs="Calibri"/>
          <w:color w:val="000000"/>
        </w:rPr>
        <w:t>kwalifikowalne będą wydatki w części (proporcji) dotyczącej mieszkania, w którym zwiększona zostaje liczba miejsc (np. w wyniku przebudowy mieszkania). Tym samym, zgodnie z treścią Komunikatu</w:t>
      </w:r>
      <w:r w:rsidR="005071EC" w:rsidRPr="00973EAA">
        <w:rPr>
          <w:rFonts w:cs="Calibri"/>
          <w:color w:val="000000"/>
        </w:rPr>
        <w:t xml:space="preserve"> IZ RPO WD</w:t>
      </w:r>
      <w:r w:rsidRPr="00973EAA">
        <w:rPr>
          <w:rFonts w:cs="Calibri"/>
          <w:color w:val="000000"/>
        </w:rPr>
        <w:t>, wynikającego z</w:t>
      </w:r>
      <w:r w:rsidR="005071EC" w:rsidRPr="00973EAA">
        <w:rPr>
          <w:rFonts w:cs="Calibri"/>
          <w:color w:val="000000"/>
        </w:rPr>
        <w:t> </w:t>
      </w:r>
      <w:r w:rsidR="00F32EA2" w:rsidRPr="00973EAA">
        <w:rPr>
          <w:rFonts w:cs="Calibri"/>
          <w:i/>
          <w:color w:val="000000"/>
        </w:rPr>
        <w:t>„Wytycznych w zakresie realizacji przedsięwzięć w obszarze włączenia społecznego i zwalczania ubóstwa z wykorzystaniem środków Europejskiego Funduszu Społecznego i Europejskiego Funduszu Rozwoju Regionalnego na lata 2014-2020”</w:t>
      </w:r>
      <w:r w:rsidRPr="00973EAA">
        <w:rPr>
          <w:rFonts w:cs="Calibri"/>
          <w:color w:val="000000"/>
        </w:rPr>
        <w:t xml:space="preserve"> – wsparcie istniejących mieszkań możliwe wyłącznie pod warunkiem zwiększenia liczby miejsc świadczenia usług w </w:t>
      </w:r>
      <w:r w:rsidRPr="00973EAA">
        <w:rPr>
          <w:rFonts w:cs="Calibri"/>
          <w:b/>
          <w:bCs/>
          <w:color w:val="000000"/>
        </w:rPr>
        <w:t>danym mieszkaniu</w:t>
      </w:r>
      <w:r w:rsidRPr="00973EAA">
        <w:rPr>
          <w:rFonts w:cs="Calibri"/>
          <w:color w:val="000000"/>
        </w:rPr>
        <w:t>, bez pogorsze</w:t>
      </w:r>
      <w:r w:rsidR="00F32EA2" w:rsidRPr="00973EAA">
        <w:rPr>
          <w:rFonts w:cs="Calibri"/>
          <w:color w:val="000000"/>
        </w:rPr>
        <w:t xml:space="preserve">nia jakości świadczonych usług a </w:t>
      </w:r>
      <w:r w:rsidRPr="00973EAA">
        <w:rPr>
          <w:rFonts w:cs="Calibri"/>
          <w:color w:val="000000"/>
        </w:rPr>
        <w:t xml:space="preserve">projekt musi zakładać, że w </w:t>
      </w:r>
      <w:r w:rsidRPr="00973EAA">
        <w:rPr>
          <w:rFonts w:cs="Calibri"/>
          <w:b/>
          <w:bCs/>
          <w:color w:val="000000"/>
        </w:rPr>
        <w:t>każdym</w:t>
      </w:r>
      <w:r w:rsidR="005071EC" w:rsidRPr="00973EAA">
        <w:rPr>
          <w:rFonts w:cs="Calibri"/>
          <w:color w:val="000000"/>
        </w:rPr>
        <w:t xml:space="preserve"> ze wspieranych, </w:t>
      </w:r>
      <w:r w:rsidRPr="00973EAA">
        <w:rPr>
          <w:rFonts w:cs="Calibri"/>
          <w:color w:val="000000"/>
        </w:rPr>
        <w:t xml:space="preserve">istniejących już mieszkań zostanie zwiększona liczba miejsc, by uzyskać </w:t>
      </w:r>
      <w:r w:rsidR="005071EC" w:rsidRPr="00973EAA">
        <w:rPr>
          <w:rFonts w:cs="Calibri"/>
          <w:color w:val="000000"/>
        </w:rPr>
        <w:t>do</w:t>
      </w:r>
      <w:r w:rsidRPr="00973EAA">
        <w:rPr>
          <w:rFonts w:cs="Calibri"/>
          <w:color w:val="000000"/>
        </w:rPr>
        <w:t xml:space="preserve">finansowanie </w:t>
      </w:r>
      <w:r w:rsidR="00A904A6" w:rsidRPr="00973EAA">
        <w:rPr>
          <w:rFonts w:cs="Calibri"/>
          <w:color w:val="000000"/>
        </w:rPr>
        <w:t xml:space="preserve">całości (nie w proporcjonalnej części) </w:t>
      </w:r>
      <w:r w:rsidRPr="00973EAA">
        <w:rPr>
          <w:rFonts w:cs="Calibri"/>
          <w:color w:val="000000"/>
        </w:rPr>
        <w:t>kosztów prac budowlanych.</w:t>
      </w:r>
    </w:p>
    <w:p w:rsidR="00EF0A59" w:rsidRDefault="00EF0A59" w:rsidP="00EF0A59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Theme="minorHAnsi" w:hAnsiTheme="minorHAnsi" w:cs="Calibri"/>
          <w:b/>
          <w:color w:val="000000"/>
        </w:rPr>
      </w:pPr>
    </w:p>
    <w:p w:rsidR="00EF0A59" w:rsidRDefault="00EF0A59" w:rsidP="00EF0A59">
      <w:pPr>
        <w:pStyle w:val="Akapitzlist"/>
        <w:pBdr>
          <w:top w:val="single" w:sz="4" w:space="1" w:color="auto"/>
        </w:pBdr>
        <w:tabs>
          <w:tab w:val="left" w:pos="284"/>
        </w:tabs>
        <w:spacing w:after="0" w:line="240" w:lineRule="auto"/>
        <w:ind w:left="284"/>
        <w:contextualSpacing w:val="0"/>
        <w:jc w:val="center"/>
        <w:rPr>
          <w:rFonts w:asciiTheme="minorHAnsi" w:hAnsiTheme="minorHAnsi" w:cs="Calibri"/>
          <w:b/>
          <w:color w:val="000000"/>
        </w:rPr>
      </w:pPr>
    </w:p>
    <w:p w:rsidR="00EF0A59" w:rsidRPr="00EF0A59" w:rsidRDefault="00EF0A59" w:rsidP="00EF0A59">
      <w:pPr>
        <w:pStyle w:val="Akapitzlist"/>
        <w:pBdr>
          <w:top w:val="single" w:sz="4" w:space="1" w:color="auto"/>
        </w:pBdr>
        <w:tabs>
          <w:tab w:val="left" w:pos="284"/>
        </w:tabs>
        <w:spacing w:after="120" w:line="240" w:lineRule="auto"/>
        <w:ind w:left="284"/>
        <w:contextualSpacing w:val="0"/>
        <w:jc w:val="center"/>
        <w:rPr>
          <w:rFonts w:asciiTheme="minorHAnsi" w:hAnsiTheme="minorHAnsi" w:cs="Calibri"/>
          <w:b/>
          <w:color w:val="000000"/>
        </w:rPr>
      </w:pPr>
      <w:r w:rsidRPr="00EF0A59">
        <w:rPr>
          <w:rFonts w:asciiTheme="minorHAnsi" w:hAnsiTheme="minorHAnsi" w:cs="Calibri"/>
          <w:b/>
          <w:color w:val="000000"/>
        </w:rPr>
        <w:t>Definicja „obiektu” w ramach wskaźników:</w:t>
      </w:r>
    </w:p>
    <w:p w:rsidR="00EF0A59" w:rsidRPr="00EF0A59" w:rsidRDefault="00EF0A59" w:rsidP="00EF0A5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  <w:color w:val="000000"/>
        </w:rPr>
      </w:pPr>
      <w:r w:rsidRPr="00EF0A59">
        <w:rPr>
          <w:rFonts w:asciiTheme="minorHAnsi" w:eastAsiaTheme="minorHAnsi" w:hAnsiTheme="minorHAnsi" w:cs="Calibri"/>
          <w:b/>
        </w:rPr>
        <w:t>[Liczba wspartych obiektów, w których realizowane są usługi społeczne]</w:t>
      </w:r>
    </w:p>
    <w:p w:rsidR="00EF0A59" w:rsidRPr="00EF0A59" w:rsidRDefault="00EF0A59" w:rsidP="00EF0A5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  <w:color w:val="000000"/>
        </w:rPr>
      </w:pPr>
      <w:r w:rsidRPr="00EF0A59">
        <w:rPr>
          <w:rFonts w:asciiTheme="minorHAnsi" w:eastAsiaTheme="minorHAnsi" w:hAnsiTheme="minorHAnsi"/>
          <w:b/>
        </w:rPr>
        <w:t>[Liczba przebudowanych obiektów, w których realizowane są usługi aktywizacji społeczno-zawodowej]</w:t>
      </w:r>
    </w:p>
    <w:p w:rsidR="00EF0A59" w:rsidRPr="00EF0A59" w:rsidRDefault="00EF0A59" w:rsidP="00EF0A5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  <w:color w:val="000000"/>
        </w:rPr>
      </w:pPr>
      <w:r w:rsidRPr="00EF0A59">
        <w:rPr>
          <w:rFonts w:asciiTheme="minorHAnsi" w:eastAsiaTheme="minorHAnsi" w:hAnsiTheme="minorHAnsi"/>
          <w:b/>
        </w:rPr>
        <w:t>[Liczba wyremontowanych obiektów, w których realizowane są usługi aktywizacji społeczno-zawodowej]</w:t>
      </w:r>
    </w:p>
    <w:p w:rsidR="00EF0A59" w:rsidRPr="00EF0A59" w:rsidRDefault="00EF0A59" w:rsidP="00EF0A59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  <w:color w:val="000000"/>
        </w:rPr>
      </w:pPr>
      <w:r w:rsidRPr="00EF0A59">
        <w:rPr>
          <w:rFonts w:asciiTheme="minorHAnsi" w:eastAsiaTheme="minorHAnsi" w:hAnsiTheme="minorHAnsi"/>
          <w:b/>
        </w:rPr>
        <w:t>[Liczba wyposażonych obiektów, w których realizowane są usługi aktywizacji społeczno-zawodowej]</w:t>
      </w:r>
    </w:p>
    <w:p w:rsidR="00EF0A59" w:rsidRPr="00EF0A59" w:rsidRDefault="00EF0A59" w:rsidP="00EF0A59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Theme="minorHAnsi" w:hAnsiTheme="minorHAnsi" w:cs="Calibri"/>
          <w:b/>
          <w:color w:val="000000"/>
        </w:rPr>
      </w:pPr>
    </w:p>
    <w:p w:rsidR="00EF0A59" w:rsidRPr="00EF0A59" w:rsidRDefault="00EF0A59" w:rsidP="00EF0A59">
      <w:pPr>
        <w:tabs>
          <w:tab w:val="left" w:pos="284"/>
        </w:tabs>
        <w:spacing w:after="120" w:line="240" w:lineRule="auto"/>
        <w:jc w:val="both"/>
        <w:rPr>
          <w:rFonts w:cs="Calibri"/>
          <w:bCs/>
          <w:color w:val="000000"/>
        </w:rPr>
      </w:pPr>
      <w:r w:rsidRPr="00EF0A59">
        <w:rPr>
          <w:rFonts w:cs="Calibri"/>
          <w:color w:val="000000"/>
        </w:rPr>
        <w:t xml:space="preserve">Przez obiekt rozumieć należy </w:t>
      </w:r>
      <w:r w:rsidRPr="00EF0A59">
        <w:rPr>
          <w:rFonts w:cs="Calibri"/>
          <w:b/>
          <w:color w:val="000000"/>
        </w:rPr>
        <w:t>budynek</w:t>
      </w:r>
      <w:r w:rsidRPr="00EF0A59">
        <w:rPr>
          <w:rFonts w:cs="Calibri"/>
          <w:color w:val="000000"/>
        </w:rPr>
        <w:t>, tj. taki obiekt budowlany, który jest trwale związany z gruntem, wydzielony z przestrzeni za pomocą przegród budowlanych oraz posiada fundamenty i</w:t>
      </w:r>
      <w:r>
        <w:rPr>
          <w:rFonts w:cs="Calibri"/>
          <w:color w:val="000000"/>
        </w:rPr>
        <w:t> </w:t>
      </w:r>
      <w:r w:rsidRPr="00EF0A59">
        <w:rPr>
          <w:rFonts w:cs="Calibri"/>
          <w:color w:val="000000"/>
        </w:rPr>
        <w:t>dach [zgodnie z definicją ujętą w art. 3 ustawy z dnia 7 lipca 1994 r. Prawo budowlane (</w:t>
      </w:r>
      <w:r w:rsidRPr="00EF0A59">
        <w:rPr>
          <w:rFonts w:cs="Calibri"/>
          <w:bCs/>
          <w:color w:val="000000"/>
        </w:rPr>
        <w:t>Dz. U. z</w:t>
      </w:r>
      <w:r w:rsidR="00973EAA">
        <w:rPr>
          <w:rFonts w:cs="Calibri"/>
          <w:bCs/>
          <w:color w:val="000000"/>
        </w:rPr>
        <w:t> </w:t>
      </w:r>
      <w:r w:rsidRPr="00EF0A59">
        <w:rPr>
          <w:rFonts w:cs="Calibri"/>
          <w:bCs/>
          <w:color w:val="000000"/>
        </w:rPr>
        <w:t>2016</w:t>
      </w:r>
      <w:r w:rsidR="0098525B">
        <w:rPr>
          <w:rFonts w:cs="Calibri"/>
          <w:bCs/>
          <w:color w:val="000000"/>
        </w:rPr>
        <w:t> </w:t>
      </w:r>
      <w:r w:rsidRPr="00EF0A59">
        <w:rPr>
          <w:rFonts w:cs="Calibri"/>
          <w:bCs/>
          <w:color w:val="000000"/>
        </w:rPr>
        <w:t>r. poz. 290 z późn. zm.)].</w:t>
      </w:r>
    </w:p>
    <w:p w:rsidR="00EF0A59" w:rsidRDefault="00EF0A59" w:rsidP="00AD30B5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EF0A59">
        <w:rPr>
          <w:rFonts w:eastAsia="Times New Roman" w:cs="Arial"/>
        </w:rPr>
        <w:t xml:space="preserve">W związku z powyższym w ww. wskaźnikach </w:t>
      </w:r>
      <w:r w:rsidRPr="00EF0A59">
        <w:rPr>
          <w:rFonts w:cs="Arial"/>
        </w:rPr>
        <w:t xml:space="preserve">należy wykazać liczbę </w:t>
      </w:r>
      <w:r w:rsidRPr="00EF0A59">
        <w:rPr>
          <w:rFonts w:cs="Arial"/>
          <w:b/>
        </w:rPr>
        <w:t>budynków (obiektów budowlanych)</w:t>
      </w:r>
      <w:r w:rsidRPr="00EF0A59">
        <w:rPr>
          <w:rFonts w:cs="Arial"/>
        </w:rPr>
        <w:t xml:space="preserve">, w których odpowiednio: wykonano </w:t>
      </w:r>
      <w:r w:rsidR="0098525B">
        <w:rPr>
          <w:rFonts w:cs="Arial"/>
        </w:rPr>
        <w:t xml:space="preserve">właściwe </w:t>
      </w:r>
      <w:r w:rsidRPr="00EF0A59">
        <w:rPr>
          <w:rFonts w:cs="Arial"/>
        </w:rPr>
        <w:t>roboty budowlane lub które wyposażono w</w:t>
      </w:r>
      <w:r>
        <w:rPr>
          <w:rFonts w:cs="Arial"/>
        </w:rPr>
        <w:t> </w:t>
      </w:r>
      <w:r w:rsidRPr="00EF0A59">
        <w:rPr>
          <w:rFonts w:cs="Arial"/>
        </w:rPr>
        <w:t>niezbędny sprzęt w wyniku udzielonego</w:t>
      </w:r>
      <w:r w:rsidR="0098525B">
        <w:rPr>
          <w:rFonts w:cs="Arial"/>
        </w:rPr>
        <w:t xml:space="preserve"> wsparcia</w:t>
      </w:r>
      <w:r w:rsidRPr="00EF0A59">
        <w:rPr>
          <w:rFonts w:cs="Arial"/>
        </w:rPr>
        <w:t>.</w:t>
      </w:r>
    </w:p>
    <w:p w:rsidR="00AD30B5" w:rsidRPr="00EF0A59" w:rsidRDefault="00AD30B5" w:rsidP="00AD30B5">
      <w:pPr>
        <w:tabs>
          <w:tab w:val="left" w:pos="284"/>
        </w:tabs>
        <w:spacing w:after="0" w:line="240" w:lineRule="auto"/>
        <w:jc w:val="both"/>
        <w:rPr>
          <w:rFonts w:cs="Arial"/>
        </w:rPr>
      </w:pPr>
    </w:p>
    <w:p w:rsidR="001538B5" w:rsidRDefault="001538B5" w:rsidP="001538B5">
      <w:pPr>
        <w:pStyle w:val="Akapitzlist"/>
        <w:pBdr>
          <w:top w:val="single" w:sz="4" w:space="1" w:color="auto"/>
        </w:pBdr>
        <w:tabs>
          <w:tab w:val="left" w:pos="284"/>
        </w:tabs>
        <w:spacing w:after="0" w:line="240" w:lineRule="auto"/>
        <w:ind w:left="284"/>
        <w:contextualSpacing w:val="0"/>
        <w:jc w:val="center"/>
        <w:rPr>
          <w:rFonts w:asciiTheme="minorHAnsi" w:hAnsiTheme="minorHAnsi" w:cs="Calibri"/>
          <w:b/>
          <w:color w:val="000000"/>
        </w:rPr>
      </w:pPr>
    </w:p>
    <w:p w:rsidR="001538B5" w:rsidRPr="00A63216" w:rsidRDefault="001538B5" w:rsidP="001538B5">
      <w:pPr>
        <w:pStyle w:val="Akapitzlist"/>
        <w:pBdr>
          <w:top w:val="single" w:sz="4" w:space="1" w:color="auto"/>
        </w:pBdr>
        <w:tabs>
          <w:tab w:val="left" w:pos="284"/>
        </w:tabs>
        <w:spacing w:after="120" w:line="240" w:lineRule="auto"/>
        <w:ind w:left="284"/>
        <w:contextualSpacing w:val="0"/>
        <w:jc w:val="center"/>
        <w:rPr>
          <w:rFonts w:asciiTheme="minorHAnsi" w:eastAsiaTheme="minorHAnsi" w:hAnsiTheme="minorHAnsi"/>
          <w:b/>
        </w:rPr>
      </w:pPr>
      <w:r w:rsidRPr="00A63216">
        <w:rPr>
          <w:rFonts w:asciiTheme="minorHAnsi" w:hAnsiTheme="minorHAnsi" w:cs="Calibri"/>
          <w:b/>
        </w:rPr>
        <w:t xml:space="preserve">Wybór właściwego wskaźnika w przypadku </w:t>
      </w:r>
      <w:r w:rsidRPr="00A63216">
        <w:rPr>
          <w:rFonts w:asciiTheme="minorHAnsi" w:eastAsiaTheme="minorHAnsi" w:hAnsiTheme="minorHAnsi"/>
          <w:b/>
        </w:rPr>
        <w:t>obiektów, w których realizowane są usługi aktywizacji społeczno-zawodowej</w:t>
      </w:r>
    </w:p>
    <w:p w:rsidR="00D3444B" w:rsidRPr="00A63216" w:rsidRDefault="00D3444B" w:rsidP="00A63216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C40BDC" w:rsidRPr="00A63216" w:rsidRDefault="00D3444B" w:rsidP="001538B5">
      <w:pPr>
        <w:tabs>
          <w:tab w:val="left" w:pos="284"/>
        </w:tabs>
        <w:spacing w:after="120" w:line="240" w:lineRule="auto"/>
        <w:jc w:val="both"/>
        <w:rPr>
          <w:rFonts w:cs="Calibri"/>
        </w:rPr>
      </w:pPr>
      <w:r w:rsidRPr="00A63216">
        <w:rPr>
          <w:rFonts w:cs="Calibri"/>
        </w:rPr>
        <w:t>Dla</w:t>
      </w:r>
      <w:r w:rsidR="00C40BDC" w:rsidRPr="00A63216">
        <w:rPr>
          <w:rFonts w:cs="Calibri"/>
        </w:rPr>
        <w:t xml:space="preserve"> projektów, </w:t>
      </w:r>
      <w:r w:rsidRPr="00A63216">
        <w:rPr>
          <w:rFonts w:cs="Calibri"/>
        </w:rPr>
        <w:t>polegających na wsparciu</w:t>
      </w:r>
      <w:r w:rsidR="001538B5" w:rsidRPr="00A63216">
        <w:rPr>
          <w:rFonts w:cs="Calibri"/>
        </w:rPr>
        <w:t xml:space="preserve"> obiekt</w:t>
      </w:r>
      <w:r w:rsidR="00C40BDC" w:rsidRPr="00A63216">
        <w:rPr>
          <w:rFonts w:cs="Calibri"/>
        </w:rPr>
        <w:t>ów, w których realizowane są</w:t>
      </w:r>
      <w:r w:rsidRPr="00A63216">
        <w:rPr>
          <w:rFonts w:cs="Calibri"/>
        </w:rPr>
        <w:t xml:space="preserve"> lub będą</w:t>
      </w:r>
      <w:r w:rsidR="00C40BDC" w:rsidRPr="00A63216">
        <w:rPr>
          <w:rFonts w:cs="Calibri"/>
        </w:rPr>
        <w:t xml:space="preserve"> usługi aktywizacji społeczno-zawodowej</w:t>
      </w:r>
      <w:r w:rsidRPr="00A63216">
        <w:rPr>
          <w:rFonts w:cs="Calibri"/>
        </w:rPr>
        <w:t>,</w:t>
      </w:r>
      <w:r w:rsidR="00C40BDC" w:rsidRPr="00A63216">
        <w:rPr>
          <w:rFonts w:cs="Calibri"/>
        </w:rPr>
        <w:t xml:space="preserve"> </w:t>
      </w:r>
      <w:r w:rsidRPr="00A63216">
        <w:rPr>
          <w:rFonts w:cs="Calibri"/>
        </w:rPr>
        <w:t>przewidziano wybór następującego wskaźnika:</w:t>
      </w:r>
    </w:p>
    <w:p w:rsidR="00D3444B" w:rsidRPr="00A63216" w:rsidRDefault="00D3444B" w:rsidP="00D3444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</w:rPr>
      </w:pPr>
      <w:r w:rsidRPr="00A63216">
        <w:rPr>
          <w:rFonts w:asciiTheme="minorHAnsi" w:eastAsiaTheme="minorHAnsi" w:hAnsiTheme="minorHAnsi"/>
          <w:b/>
        </w:rPr>
        <w:t>[Liczba przebudowanych obiektów, w których realizowane są usługi aktywizacji społeczno-zawodowej]</w:t>
      </w:r>
    </w:p>
    <w:p w:rsidR="00D3444B" w:rsidRPr="00A63216" w:rsidRDefault="00D3444B" w:rsidP="00D3444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</w:rPr>
      </w:pPr>
      <w:r w:rsidRPr="00A63216">
        <w:rPr>
          <w:rFonts w:asciiTheme="minorHAnsi" w:eastAsiaTheme="minorHAnsi" w:hAnsiTheme="minorHAnsi"/>
          <w:b/>
        </w:rPr>
        <w:t>[Liczba wyremontowanych obiektów, w których realizowane są usługi aktywizacji społeczno-zawodowej]</w:t>
      </w:r>
    </w:p>
    <w:p w:rsidR="00D3444B" w:rsidRPr="00A63216" w:rsidRDefault="00D3444B" w:rsidP="00D3444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inorHAnsi" w:hAnsiTheme="minorHAnsi" w:cs="Calibri"/>
          <w:b/>
        </w:rPr>
      </w:pPr>
      <w:r w:rsidRPr="00A63216">
        <w:rPr>
          <w:rFonts w:asciiTheme="minorHAnsi" w:eastAsiaTheme="minorHAnsi" w:hAnsiTheme="minorHAnsi"/>
          <w:b/>
        </w:rPr>
        <w:t>[Liczba wyposażonych obiektów, w których realizowane są usługi aktywizacji społeczno-zawodowej]</w:t>
      </w:r>
      <w:r w:rsidRPr="00A63216">
        <w:rPr>
          <w:rFonts w:asciiTheme="minorHAnsi" w:eastAsiaTheme="minorHAnsi" w:hAnsiTheme="minorHAnsi"/>
        </w:rPr>
        <w:t>.</w:t>
      </w:r>
    </w:p>
    <w:p w:rsidR="00C40BDC" w:rsidRPr="00A63216" w:rsidRDefault="00C40BDC" w:rsidP="00A63216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D3444B" w:rsidRPr="00A63216" w:rsidRDefault="00D3444B" w:rsidP="002936D6">
      <w:pPr>
        <w:tabs>
          <w:tab w:val="left" w:pos="284"/>
        </w:tabs>
        <w:spacing w:after="0" w:line="240" w:lineRule="auto"/>
        <w:jc w:val="both"/>
        <w:rPr>
          <w:rFonts w:cs="Calibri"/>
          <w:b/>
        </w:rPr>
      </w:pPr>
      <w:r w:rsidRPr="00A63216">
        <w:rPr>
          <w:rFonts w:cs="Arial"/>
        </w:rPr>
        <w:t xml:space="preserve">Z uwagi na fakt, że są to wskaźniki składowe, zliczane w ramach wskaźnika agregującego </w:t>
      </w:r>
      <w:r w:rsidRPr="00A63216">
        <w:rPr>
          <w:rFonts w:eastAsiaTheme="minorHAnsi"/>
        </w:rPr>
        <w:t>[Liczba wspartych obiektów, w których realizowane są usługi aktywizacji społeczno-zawodowej]</w:t>
      </w:r>
      <w:r w:rsidRPr="00A63216">
        <w:rPr>
          <w:rFonts w:cs="Calibri"/>
          <w:b/>
        </w:rPr>
        <w:t xml:space="preserve"> </w:t>
      </w:r>
      <w:r w:rsidRPr="00A63216">
        <w:rPr>
          <w:rFonts w:cs="Arial"/>
        </w:rPr>
        <w:t xml:space="preserve">możliwy jest </w:t>
      </w:r>
      <w:r w:rsidRPr="00A63216">
        <w:rPr>
          <w:rFonts w:cs="Arial"/>
          <w:b/>
        </w:rPr>
        <w:t>wybór tylko jednego z nich</w:t>
      </w:r>
      <w:r w:rsidRPr="00A63216">
        <w:rPr>
          <w:rFonts w:cs="Arial"/>
        </w:rPr>
        <w:t xml:space="preserve">. </w:t>
      </w:r>
    </w:p>
    <w:p w:rsidR="002936D6" w:rsidRPr="00A63216" w:rsidRDefault="002936D6" w:rsidP="00A63216">
      <w:pPr>
        <w:tabs>
          <w:tab w:val="left" w:pos="284"/>
        </w:tabs>
        <w:spacing w:after="0" w:line="240" w:lineRule="auto"/>
        <w:jc w:val="both"/>
        <w:rPr>
          <w:rFonts w:cs="Arial"/>
        </w:rPr>
      </w:pPr>
    </w:p>
    <w:p w:rsidR="001538B5" w:rsidRPr="00A63216" w:rsidRDefault="00D3444B" w:rsidP="002936D6">
      <w:pPr>
        <w:tabs>
          <w:tab w:val="left" w:pos="284"/>
        </w:tabs>
        <w:spacing w:after="0" w:line="240" w:lineRule="auto"/>
        <w:jc w:val="both"/>
        <w:rPr>
          <w:rFonts w:cs="Arial"/>
          <w:b/>
        </w:rPr>
      </w:pPr>
      <w:r w:rsidRPr="00A63216">
        <w:rPr>
          <w:rFonts w:cs="Arial"/>
        </w:rPr>
        <w:t xml:space="preserve">Zatem </w:t>
      </w:r>
      <w:r w:rsidR="002936D6" w:rsidRPr="00A63216">
        <w:rPr>
          <w:rFonts w:cs="Arial"/>
        </w:rPr>
        <w:t xml:space="preserve">w </w:t>
      </w:r>
      <w:r w:rsidRPr="00A63216">
        <w:rPr>
          <w:rFonts w:cs="Arial"/>
        </w:rPr>
        <w:t>przypadku, gdy projekt zakłada jednocześnie, np. przebudowę, remont i wyposażenie obiektu</w:t>
      </w:r>
      <w:r w:rsidR="002936D6" w:rsidRPr="00A63216">
        <w:rPr>
          <w:rFonts w:cs="Arial"/>
        </w:rPr>
        <w:t>,</w:t>
      </w:r>
      <w:r w:rsidRPr="00A63216">
        <w:rPr>
          <w:rFonts w:cs="Arial"/>
        </w:rPr>
        <w:t xml:space="preserve"> należy wybrać tylko jeden </w:t>
      </w:r>
      <w:r w:rsidRPr="00A63216">
        <w:rPr>
          <w:rFonts w:cs="Arial"/>
          <w:b/>
        </w:rPr>
        <w:t>dominujący wskaźnik</w:t>
      </w:r>
      <w:r w:rsidR="002936D6" w:rsidRPr="00A63216">
        <w:rPr>
          <w:rFonts w:cs="Arial"/>
        </w:rPr>
        <w:t xml:space="preserve">, np. dotyczący przebudowy </w:t>
      </w:r>
      <w:r w:rsidR="002936D6" w:rsidRPr="00A63216">
        <w:rPr>
          <w:rFonts w:cs="Arial"/>
          <w:b/>
        </w:rPr>
        <w:t>a</w:t>
      </w:r>
      <w:r w:rsidR="002936D6" w:rsidRPr="00A63216">
        <w:rPr>
          <w:rFonts w:cs="Arial"/>
        </w:rPr>
        <w:t xml:space="preserve"> </w:t>
      </w:r>
      <w:r w:rsidRPr="00A63216">
        <w:rPr>
          <w:rFonts w:cs="Arial"/>
          <w:b/>
        </w:rPr>
        <w:t xml:space="preserve">o </w:t>
      </w:r>
      <w:r w:rsidR="002936D6" w:rsidRPr="00A63216">
        <w:rPr>
          <w:rFonts w:cs="Arial"/>
          <w:b/>
        </w:rPr>
        <w:t xml:space="preserve">jego </w:t>
      </w:r>
      <w:r w:rsidRPr="00A63216">
        <w:rPr>
          <w:rFonts w:cs="Arial"/>
          <w:b/>
        </w:rPr>
        <w:t>wyborze decyduje struktura wydatków kwalifikowalnych (ich większościowy udział)</w:t>
      </w:r>
      <w:r w:rsidR="002936D6" w:rsidRPr="00A63216">
        <w:rPr>
          <w:rFonts w:cs="Arial"/>
          <w:b/>
        </w:rPr>
        <w:t xml:space="preserve"> związanych z</w:t>
      </w:r>
      <w:r w:rsidR="00A63216" w:rsidRPr="00A63216">
        <w:rPr>
          <w:rFonts w:cs="Arial"/>
          <w:b/>
        </w:rPr>
        <w:t> </w:t>
      </w:r>
      <w:r w:rsidR="002936D6" w:rsidRPr="00A63216">
        <w:rPr>
          <w:rFonts w:cs="Arial"/>
          <w:b/>
        </w:rPr>
        <w:t>przewidzianym rodzajem wsparcia.</w:t>
      </w:r>
    </w:p>
    <w:p w:rsidR="002936D6" w:rsidRPr="002936D6" w:rsidRDefault="002936D6" w:rsidP="002936D6">
      <w:pPr>
        <w:tabs>
          <w:tab w:val="left" w:pos="284"/>
        </w:tabs>
        <w:spacing w:after="0" w:line="240" w:lineRule="auto"/>
        <w:jc w:val="both"/>
        <w:rPr>
          <w:rFonts w:cs="Arial"/>
          <w:color w:val="FF0000"/>
        </w:rPr>
      </w:pPr>
    </w:p>
    <w:p w:rsidR="001538B5" w:rsidRDefault="001538B5" w:rsidP="00E43455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/>
        </w:rPr>
      </w:pPr>
    </w:p>
    <w:p w:rsidR="00E43455" w:rsidRPr="00973EAA" w:rsidRDefault="00E43455" w:rsidP="00E43455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/>
        </w:rPr>
      </w:pPr>
      <w:r w:rsidRPr="00973EAA">
        <w:rPr>
          <w:b/>
          <w:color w:val="000000"/>
        </w:rPr>
        <w:t xml:space="preserve">Koszty </w:t>
      </w:r>
      <w:r w:rsidR="00AD30B5" w:rsidRPr="00973EAA">
        <w:rPr>
          <w:b/>
          <w:color w:val="000000"/>
        </w:rPr>
        <w:t>usług wspierających pobyt osoby w mieszkaniu</w:t>
      </w:r>
    </w:p>
    <w:p w:rsidR="00E43455" w:rsidRPr="00973EAA" w:rsidRDefault="00E43455" w:rsidP="00E43455">
      <w:pPr>
        <w:pBdr>
          <w:top w:val="single" w:sz="4" w:space="1" w:color="auto"/>
        </w:pBdr>
        <w:spacing w:after="0" w:line="240" w:lineRule="auto"/>
        <w:jc w:val="center"/>
        <w:rPr>
          <w:b/>
          <w:color w:val="000000"/>
        </w:rPr>
      </w:pPr>
    </w:p>
    <w:p w:rsidR="00AD30B5" w:rsidRPr="00973EAA" w:rsidRDefault="00AD30B5" w:rsidP="00AD30B5">
      <w:pPr>
        <w:spacing w:line="240" w:lineRule="auto"/>
        <w:jc w:val="both"/>
        <w:rPr>
          <w:color w:val="000000"/>
        </w:rPr>
      </w:pPr>
      <w:r w:rsidRPr="00973EAA">
        <w:rPr>
          <w:color w:val="000000"/>
        </w:rPr>
        <w:t xml:space="preserve">Konkurs </w:t>
      </w:r>
      <w:r w:rsidR="00E43455" w:rsidRPr="00973EAA">
        <w:rPr>
          <w:color w:val="000000"/>
        </w:rPr>
        <w:t xml:space="preserve">zakłada wsparcie infrastruktury w </w:t>
      </w:r>
      <w:r w:rsidR="00E43455" w:rsidRPr="00973EAA">
        <w:rPr>
          <w:b/>
          <w:bCs/>
          <w:color w:val="000000"/>
        </w:rPr>
        <w:t>formie robót budowlanych lub wyposażenia</w:t>
      </w:r>
      <w:r w:rsidR="00E43455" w:rsidRPr="00973EAA">
        <w:rPr>
          <w:color w:val="000000"/>
        </w:rPr>
        <w:t xml:space="preserve"> </w:t>
      </w:r>
      <w:r w:rsidR="00E43455" w:rsidRPr="00973EAA">
        <w:rPr>
          <w:rStyle w:val="Pogrubienie"/>
          <w:color w:val="000000"/>
          <w:bdr w:val="none" w:sz="0" w:space="0" w:color="auto" w:frame="1"/>
        </w:rPr>
        <w:t xml:space="preserve">infrastruktury zdegradowanych budynków w celu ich adaptacji na mieszkania </w:t>
      </w:r>
      <w:r w:rsidRPr="00973EAA">
        <w:rPr>
          <w:rFonts w:cs="Calibri"/>
          <w:color w:val="000000"/>
        </w:rPr>
        <w:t>chronione, wspomagane oraz socjalne</w:t>
      </w:r>
      <w:r w:rsidRPr="00973EAA">
        <w:rPr>
          <w:color w:val="000000"/>
        </w:rPr>
        <w:t xml:space="preserve"> tj. tzw. działania twarde, </w:t>
      </w:r>
      <w:r w:rsidR="00E43455" w:rsidRPr="00973EAA">
        <w:rPr>
          <w:color w:val="000000"/>
        </w:rPr>
        <w:t>finansowane z Europejskiego Funduszu Rozwoju Regionalnego).</w:t>
      </w:r>
      <w:r w:rsidR="00E43455" w:rsidRPr="00973EAA">
        <w:rPr>
          <w:color w:val="000000"/>
        </w:rPr>
        <w:br/>
      </w:r>
    </w:p>
    <w:p w:rsidR="00E43455" w:rsidRDefault="00E43455" w:rsidP="00AD30B5">
      <w:pPr>
        <w:spacing w:line="240" w:lineRule="auto"/>
        <w:jc w:val="both"/>
        <w:rPr>
          <w:b/>
        </w:rPr>
      </w:pPr>
      <w:r w:rsidRPr="00973EAA">
        <w:rPr>
          <w:color w:val="000000"/>
        </w:rPr>
        <w:t xml:space="preserve">Ewentualną możliwość sfinansowania kosztów </w:t>
      </w:r>
      <w:r w:rsidR="00AD30B5" w:rsidRPr="00973EAA">
        <w:rPr>
          <w:b/>
          <w:color w:val="000000"/>
        </w:rPr>
        <w:t>usług wspierających pobyt osoby w mieszkaniu</w:t>
      </w:r>
      <w:r w:rsidR="00AD30B5" w:rsidRPr="00973EAA">
        <w:rPr>
          <w:color w:val="000000"/>
        </w:rPr>
        <w:t xml:space="preserve"> </w:t>
      </w:r>
      <w:r w:rsidRPr="00973EAA">
        <w:rPr>
          <w:color w:val="000000"/>
        </w:rPr>
        <w:t>w</w:t>
      </w:r>
      <w:r w:rsidR="00973EAA">
        <w:rPr>
          <w:color w:val="000000"/>
        </w:rPr>
        <w:t> </w:t>
      </w:r>
      <w:r w:rsidRPr="00973EAA">
        <w:rPr>
          <w:color w:val="000000"/>
        </w:rPr>
        <w:t>ramach Regionalnego Programu Operacyjnego 2014-2020 mogą określać zapisy konkursów ogłaszanych w ramach Europejskiego Funduszu Społecznego (</w:t>
      </w:r>
      <w:r w:rsidRPr="00973EAA">
        <w:t>Oś priorytetowa 9 Włączenie społeczne</w:t>
      </w:r>
      <w:r w:rsidRPr="00973EAA">
        <w:rPr>
          <w:color w:val="000000"/>
        </w:rPr>
        <w:t>).</w:t>
      </w:r>
    </w:p>
    <w:p w:rsidR="00E43455" w:rsidRDefault="00E43455" w:rsidP="00E43455">
      <w:pPr>
        <w:pBdr>
          <w:top w:val="single" w:sz="4" w:space="1" w:color="auto"/>
        </w:pBdr>
        <w:spacing w:after="0" w:line="240" w:lineRule="auto"/>
        <w:jc w:val="center"/>
        <w:rPr>
          <w:b/>
        </w:rPr>
      </w:pPr>
    </w:p>
    <w:p w:rsidR="00091E68" w:rsidRPr="00EF0A59" w:rsidRDefault="00091E68" w:rsidP="009E021A">
      <w:pPr>
        <w:spacing w:line="240" w:lineRule="auto"/>
        <w:rPr>
          <w:b/>
        </w:rPr>
      </w:pPr>
    </w:p>
    <w:sectPr w:rsidR="00091E68" w:rsidRPr="00EF0A59" w:rsidSect="0038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4B" w:rsidRDefault="00D3444B" w:rsidP="000833F5">
      <w:pPr>
        <w:spacing w:after="0" w:line="240" w:lineRule="auto"/>
      </w:pPr>
      <w:r>
        <w:separator/>
      </w:r>
    </w:p>
  </w:endnote>
  <w:endnote w:type="continuationSeparator" w:id="0">
    <w:p w:rsidR="00D3444B" w:rsidRDefault="00D3444B" w:rsidP="0008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4B" w:rsidRDefault="00D3444B" w:rsidP="000833F5">
      <w:pPr>
        <w:spacing w:after="0" w:line="240" w:lineRule="auto"/>
      </w:pPr>
      <w:r>
        <w:separator/>
      </w:r>
    </w:p>
  </w:footnote>
  <w:footnote w:type="continuationSeparator" w:id="0">
    <w:p w:rsidR="00D3444B" w:rsidRDefault="00D3444B" w:rsidP="000833F5">
      <w:pPr>
        <w:spacing w:after="0" w:line="240" w:lineRule="auto"/>
      </w:pPr>
      <w:r>
        <w:continuationSeparator/>
      </w:r>
    </w:p>
  </w:footnote>
  <w:footnote w:id="1">
    <w:p w:rsidR="00D3444B" w:rsidRDefault="00D3444B" w:rsidP="000833F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833F5">
        <w:t>zgodnie z Rozporządzeniem Ministra pracy i Polityki Społecznej z dni</w:t>
      </w:r>
      <w:r>
        <w:t>a 14 marca 2012 r. w sprawie mieszkań socjalnych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3F"/>
    <w:multiLevelType w:val="hybridMultilevel"/>
    <w:tmpl w:val="8C8426CC"/>
    <w:lvl w:ilvl="0" w:tplc="C4F8E69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74655"/>
    <w:multiLevelType w:val="multilevel"/>
    <w:tmpl w:val="C4D0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ED53DB1"/>
    <w:multiLevelType w:val="hybridMultilevel"/>
    <w:tmpl w:val="89D07CA0"/>
    <w:lvl w:ilvl="0" w:tplc="75A601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3264"/>
    <w:multiLevelType w:val="hybridMultilevel"/>
    <w:tmpl w:val="9000B770"/>
    <w:lvl w:ilvl="0" w:tplc="F1B0835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2EEE"/>
    <w:multiLevelType w:val="hybridMultilevel"/>
    <w:tmpl w:val="79E4A5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01020"/>
    <w:multiLevelType w:val="hybridMultilevel"/>
    <w:tmpl w:val="90D6EFF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207F"/>
    <w:rsid w:val="000072A8"/>
    <w:rsid w:val="00020D26"/>
    <w:rsid w:val="000331C4"/>
    <w:rsid w:val="000833F5"/>
    <w:rsid w:val="00091E68"/>
    <w:rsid w:val="0009348A"/>
    <w:rsid w:val="000B1D97"/>
    <w:rsid w:val="00125C40"/>
    <w:rsid w:val="001538B5"/>
    <w:rsid w:val="00162E5C"/>
    <w:rsid w:val="001B0919"/>
    <w:rsid w:val="001C6201"/>
    <w:rsid w:val="00232EE9"/>
    <w:rsid w:val="002936D6"/>
    <w:rsid w:val="002A484F"/>
    <w:rsid w:val="003111EE"/>
    <w:rsid w:val="003260E2"/>
    <w:rsid w:val="003312E2"/>
    <w:rsid w:val="0033340B"/>
    <w:rsid w:val="00384A7D"/>
    <w:rsid w:val="003C42B8"/>
    <w:rsid w:val="003D54B0"/>
    <w:rsid w:val="00497F62"/>
    <w:rsid w:val="004A43F3"/>
    <w:rsid w:val="004E12DA"/>
    <w:rsid w:val="00504528"/>
    <w:rsid w:val="005071EC"/>
    <w:rsid w:val="005B341A"/>
    <w:rsid w:val="005C5D93"/>
    <w:rsid w:val="006A1CC3"/>
    <w:rsid w:val="006C3C47"/>
    <w:rsid w:val="007660A1"/>
    <w:rsid w:val="007C4FA3"/>
    <w:rsid w:val="007E3837"/>
    <w:rsid w:val="00884A24"/>
    <w:rsid w:val="008955F9"/>
    <w:rsid w:val="008A53AA"/>
    <w:rsid w:val="008F161D"/>
    <w:rsid w:val="008F1763"/>
    <w:rsid w:val="008F296F"/>
    <w:rsid w:val="0094573C"/>
    <w:rsid w:val="00973EAA"/>
    <w:rsid w:val="0098525B"/>
    <w:rsid w:val="00994866"/>
    <w:rsid w:val="009E021A"/>
    <w:rsid w:val="009E2E76"/>
    <w:rsid w:val="00A63216"/>
    <w:rsid w:val="00A904A6"/>
    <w:rsid w:val="00A91BD2"/>
    <w:rsid w:val="00AD2896"/>
    <w:rsid w:val="00AD30B5"/>
    <w:rsid w:val="00B232F9"/>
    <w:rsid w:val="00B3138E"/>
    <w:rsid w:val="00B361AE"/>
    <w:rsid w:val="00B8207F"/>
    <w:rsid w:val="00BF4976"/>
    <w:rsid w:val="00C40BDC"/>
    <w:rsid w:val="00C43E8D"/>
    <w:rsid w:val="00C57978"/>
    <w:rsid w:val="00D3444B"/>
    <w:rsid w:val="00D41A30"/>
    <w:rsid w:val="00D456CA"/>
    <w:rsid w:val="00E02E54"/>
    <w:rsid w:val="00E43455"/>
    <w:rsid w:val="00E47D43"/>
    <w:rsid w:val="00EF0A59"/>
    <w:rsid w:val="00F32EA2"/>
    <w:rsid w:val="00F50606"/>
    <w:rsid w:val="00FA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41A"/>
  </w:style>
  <w:style w:type="paragraph" w:styleId="Nagwek1">
    <w:name w:val="heading 1"/>
    <w:basedOn w:val="Normalny"/>
    <w:next w:val="Normalny"/>
    <w:link w:val="Nagwek1Znak"/>
    <w:qFormat/>
    <w:rsid w:val="003111E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semiHidden/>
    <w:rsid w:val="0050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0D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0D26"/>
    <w:rPr>
      <w:color w:val="800080" w:themeColor="followedHyperlink"/>
      <w:u w:val="single"/>
    </w:rPr>
  </w:style>
  <w:style w:type="paragraph" w:styleId="Akapitzlist">
    <w:name w:val="List Paragraph"/>
    <w:aliases w:val="Numerowanie,List Paragraph,Akapit z listą BS"/>
    <w:basedOn w:val="Normalny"/>
    <w:qFormat/>
    <w:rsid w:val="009E021A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111EE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Lista">
    <w:name w:val="List"/>
    <w:basedOn w:val="Normalny"/>
    <w:rsid w:val="003111EE"/>
    <w:pPr>
      <w:spacing w:after="0" w:line="240" w:lineRule="auto"/>
      <w:ind w:left="283" w:hanging="283"/>
      <w:jc w:val="center"/>
    </w:pPr>
    <w:rPr>
      <w:rFonts w:ascii="Arial" w:eastAsia="Times New Roman" w:hAnsi="Arial" w:cs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3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3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3F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43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semiHidden/>
    <w:rsid w:val="0050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20D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0D26"/>
    <w:rPr>
      <w:color w:val="800080" w:themeColor="followedHyperlink"/>
      <w:u w:val="single"/>
    </w:rPr>
  </w:style>
  <w:style w:type="paragraph" w:styleId="Akapitzlist">
    <w:name w:val="List Paragraph"/>
    <w:aliases w:val="Numerowanie,List Paragraph,Akapit z listą BS"/>
    <w:basedOn w:val="Normalny"/>
    <w:qFormat/>
    <w:rsid w:val="009E021A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27996/wytyczne_CT9_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F85D3-9140-4930-B834-C6999EA6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ksiodmiak</cp:lastModifiedBy>
  <cp:revision>5</cp:revision>
  <dcterms:created xsi:type="dcterms:W3CDTF">2016-12-29T12:15:00Z</dcterms:created>
  <dcterms:modified xsi:type="dcterms:W3CDTF">2017-01-16T09:47:00Z</dcterms:modified>
</cp:coreProperties>
</file>