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60" w:rsidRPr="000F595D" w:rsidRDefault="001C18B0" w:rsidP="001C18B0">
      <w:pPr>
        <w:spacing w:after="120" w:line="240" w:lineRule="auto"/>
        <w:jc w:val="center"/>
        <w:rPr>
          <w:rFonts w:ascii="Calibri" w:eastAsia="Times New Roman" w:hAnsi="Calibri" w:cs="Arial"/>
          <w:b/>
        </w:rPr>
      </w:pPr>
      <w:r>
        <w:t xml:space="preserve">                                            </w:t>
      </w:r>
      <w:r w:rsidR="006E5125">
        <w:t xml:space="preserve">        </w:t>
      </w:r>
      <w:r>
        <w:t xml:space="preserve">  </w:t>
      </w:r>
      <w:r w:rsidR="00764A60" w:rsidRPr="002B1104">
        <w:t xml:space="preserve">Załącznik </w:t>
      </w:r>
      <w:r w:rsidR="00764A60">
        <w:t>nr 3 do Szczegółowego opisu osi priorytetowych RPO WD 2014-</w:t>
      </w:r>
      <w:r w:rsidR="00764A60" w:rsidRPr="008D33CD">
        <w:t xml:space="preserve">2020 </w:t>
      </w:r>
      <w:r w:rsidR="00764A60" w:rsidRPr="001C18B0">
        <w:t xml:space="preserve">z dn. </w:t>
      </w:r>
      <w:r w:rsidRPr="001C18B0">
        <w:t xml:space="preserve"> </w:t>
      </w:r>
      <w:r w:rsidR="003E3EA2">
        <w:t>26.08.2016</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 </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p>
    <w:p w:rsidR="00764A60" w:rsidRPr="000B7629"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Kryteria wyboru projektów </w:t>
      </w:r>
      <w:r w:rsidRPr="000B7629">
        <w:rPr>
          <w:rFonts w:cs="Arial"/>
          <w:b/>
          <w:color w:val="4F81BD" w:themeColor="accent1"/>
          <w:sz w:val="40"/>
          <w:szCs w:val="40"/>
          <w:lang w:eastAsia="en-US"/>
        </w:rPr>
        <w:t>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810E1B">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Pr>
                <w:noProof/>
                <w:webHidden/>
              </w:rPr>
              <w:fldChar w:fldCharType="begin"/>
            </w:r>
            <w:r w:rsidR="00B55555">
              <w:rPr>
                <w:noProof/>
                <w:webHidden/>
              </w:rPr>
              <w:instrText xml:space="preserve"> PAGEREF _Toc453572169 \h </w:instrText>
            </w:r>
            <w:r>
              <w:rPr>
                <w:noProof/>
                <w:webHidden/>
              </w:rPr>
            </w:r>
            <w:r>
              <w:rPr>
                <w:noProof/>
                <w:webHidden/>
              </w:rPr>
              <w:fldChar w:fldCharType="separate"/>
            </w:r>
            <w:r w:rsidR="005B068E">
              <w:rPr>
                <w:noProof/>
                <w:webHidden/>
              </w:rPr>
              <w:t>6</w:t>
            </w:r>
            <w:r>
              <w:rPr>
                <w:noProof/>
                <w:webHidden/>
              </w:rPr>
              <w:fldChar w:fldCharType="end"/>
            </w:r>
          </w:hyperlink>
        </w:p>
        <w:p w:rsidR="00B55555" w:rsidRDefault="00810E1B">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Pr>
                <w:noProof/>
                <w:webHidden/>
              </w:rPr>
              <w:fldChar w:fldCharType="begin"/>
            </w:r>
            <w:r w:rsidR="00B55555">
              <w:rPr>
                <w:noProof/>
                <w:webHidden/>
              </w:rPr>
              <w:instrText xml:space="preserve"> PAGEREF _Toc453572170 \h </w:instrText>
            </w:r>
            <w:r>
              <w:rPr>
                <w:noProof/>
                <w:webHidden/>
              </w:rPr>
            </w:r>
            <w:r>
              <w:rPr>
                <w:noProof/>
                <w:webHidden/>
              </w:rPr>
              <w:fldChar w:fldCharType="separate"/>
            </w:r>
            <w:r w:rsidR="005B068E">
              <w:rPr>
                <w:noProof/>
                <w:webHidden/>
              </w:rPr>
              <w:t>8</w:t>
            </w:r>
            <w:r>
              <w:rPr>
                <w:noProof/>
                <w:webHidden/>
              </w:rPr>
              <w:fldChar w:fldCharType="end"/>
            </w:r>
          </w:hyperlink>
        </w:p>
        <w:p w:rsidR="00B55555" w:rsidRDefault="00810E1B">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_Toc453572171 \h </w:instrText>
            </w:r>
            <w:r>
              <w:rPr>
                <w:noProof/>
                <w:webHidden/>
              </w:rPr>
            </w:r>
            <w:r>
              <w:rPr>
                <w:noProof/>
                <w:webHidden/>
              </w:rPr>
              <w:fldChar w:fldCharType="separate"/>
            </w:r>
            <w:r w:rsidR="005B068E">
              <w:rPr>
                <w:noProof/>
                <w:webHidden/>
              </w:rPr>
              <w:t>8</w:t>
            </w:r>
            <w:r>
              <w:rPr>
                <w:noProof/>
                <w:webHidden/>
              </w:rPr>
              <w:fldChar w:fldCharType="end"/>
            </w:r>
          </w:hyperlink>
        </w:p>
        <w:p w:rsidR="00B55555" w:rsidRDefault="00810E1B">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Pr>
                <w:noProof/>
                <w:webHidden/>
              </w:rPr>
              <w:fldChar w:fldCharType="begin"/>
            </w:r>
            <w:r w:rsidR="00B55555">
              <w:rPr>
                <w:noProof/>
                <w:webHidden/>
              </w:rPr>
              <w:instrText xml:space="preserve"> PAGEREF _Toc453572172 \h </w:instrText>
            </w:r>
            <w:r>
              <w:rPr>
                <w:noProof/>
                <w:webHidden/>
              </w:rPr>
            </w:r>
            <w:r>
              <w:rPr>
                <w:noProof/>
                <w:webHidden/>
              </w:rPr>
              <w:fldChar w:fldCharType="separate"/>
            </w:r>
            <w:r w:rsidR="005B068E">
              <w:rPr>
                <w:noProof/>
                <w:webHidden/>
              </w:rPr>
              <w:t>16</w:t>
            </w:r>
            <w:r>
              <w:rPr>
                <w:noProof/>
                <w:webHidden/>
              </w:rPr>
              <w:fldChar w:fldCharType="end"/>
            </w:r>
          </w:hyperlink>
        </w:p>
        <w:p w:rsidR="00B55555" w:rsidRDefault="00810E1B">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Pr>
                <w:noProof/>
                <w:webHidden/>
              </w:rPr>
              <w:fldChar w:fldCharType="begin"/>
            </w:r>
            <w:r w:rsidR="00B55555">
              <w:rPr>
                <w:noProof/>
                <w:webHidden/>
              </w:rPr>
              <w:instrText xml:space="preserve"> PAGEREF _Toc453572173 \h </w:instrText>
            </w:r>
            <w:r>
              <w:rPr>
                <w:noProof/>
                <w:webHidden/>
              </w:rPr>
            </w:r>
            <w:r>
              <w:rPr>
                <w:noProof/>
                <w:webHidden/>
              </w:rPr>
              <w:fldChar w:fldCharType="separate"/>
            </w:r>
            <w:r w:rsidR="005B068E">
              <w:rPr>
                <w:noProof/>
                <w:webHidden/>
              </w:rPr>
              <w:t>35</w:t>
            </w:r>
            <w:r>
              <w:rPr>
                <w:noProof/>
                <w:webHidden/>
              </w:rPr>
              <w:fldChar w:fldCharType="end"/>
            </w:r>
          </w:hyperlink>
        </w:p>
        <w:p w:rsidR="00B55555" w:rsidRDefault="00810E1B">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_Toc453572174 \h </w:instrText>
            </w:r>
            <w:r>
              <w:rPr>
                <w:noProof/>
                <w:webHidden/>
              </w:rPr>
            </w:r>
            <w:r>
              <w:rPr>
                <w:noProof/>
                <w:webHidden/>
              </w:rPr>
              <w:fldChar w:fldCharType="separate"/>
            </w:r>
            <w:r w:rsidR="005B068E">
              <w:rPr>
                <w:noProof/>
                <w:webHidden/>
              </w:rPr>
              <w:t>35</w:t>
            </w:r>
            <w:r>
              <w:rPr>
                <w:noProof/>
                <w:webHidden/>
              </w:rPr>
              <w:fldChar w:fldCharType="end"/>
            </w:r>
          </w:hyperlink>
        </w:p>
        <w:p w:rsidR="00B55555" w:rsidRDefault="00810E1B">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Pr>
                <w:noProof/>
                <w:webHidden/>
              </w:rPr>
              <w:fldChar w:fldCharType="begin"/>
            </w:r>
            <w:r w:rsidR="00B55555">
              <w:rPr>
                <w:noProof/>
                <w:webHidden/>
              </w:rPr>
              <w:instrText xml:space="preserve"> PAGEREF _Toc453572175 \h </w:instrText>
            </w:r>
            <w:r>
              <w:rPr>
                <w:noProof/>
                <w:webHidden/>
              </w:rPr>
            </w:r>
            <w:r>
              <w:rPr>
                <w:noProof/>
                <w:webHidden/>
              </w:rPr>
              <w:fldChar w:fldCharType="separate"/>
            </w:r>
            <w:r w:rsidR="005B068E">
              <w:rPr>
                <w:noProof/>
                <w:webHidden/>
              </w:rPr>
              <w:t>52</w:t>
            </w:r>
            <w:r>
              <w:rPr>
                <w:noProof/>
                <w:webHidden/>
              </w:rPr>
              <w:fldChar w:fldCharType="end"/>
            </w:r>
          </w:hyperlink>
        </w:p>
        <w:p w:rsidR="00B55555" w:rsidRDefault="00810E1B">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Pr>
                <w:noProof/>
                <w:webHidden/>
              </w:rPr>
              <w:fldChar w:fldCharType="begin"/>
            </w:r>
            <w:r w:rsidR="00B55555">
              <w:rPr>
                <w:noProof/>
                <w:webHidden/>
              </w:rPr>
              <w:instrText xml:space="preserve"> PAGEREF _Toc453572176 \h </w:instrText>
            </w:r>
            <w:r>
              <w:rPr>
                <w:noProof/>
                <w:webHidden/>
              </w:rPr>
            </w:r>
            <w:r>
              <w:rPr>
                <w:noProof/>
                <w:webHidden/>
              </w:rPr>
              <w:fldChar w:fldCharType="separate"/>
            </w:r>
            <w:r w:rsidR="005B068E">
              <w:rPr>
                <w:noProof/>
                <w:webHidden/>
              </w:rPr>
              <w:t>330</w:t>
            </w:r>
            <w:r>
              <w:rPr>
                <w:noProof/>
                <w:webHidden/>
              </w:rPr>
              <w:fldChar w:fldCharType="end"/>
            </w:r>
          </w:hyperlink>
        </w:p>
        <w:p w:rsidR="00B55555" w:rsidRDefault="00810E1B">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Pr>
                <w:noProof/>
                <w:webHidden/>
              </w:rPr>
              <w:fldChar w:fldCharType="begin"/>
            </w:r>
            <w:r w:rsidR="00B55555">
              <w:rPr>
                <w:noProof/>
                <w:webHidden/>
              </w:rPr>
              <w:instrText xml:space="preserve"> PAGEREF _Toc453572177 \h </w:instrText>
            </w:r>
            <w:r>
              <w:rPr>
                <w:noProof/>
                <w:webHidden/>
              </w:rPr>
            </w:r>
            <w:r>
              <w:rPr>
                <w:noProof/>
                <w:webHidden/>
              </w:rPr>
              <w:fldChar w:fldCharType="separate"/>
            </w:r>
            <w:r w:rsidR="005B068E">
              <w:rPr>
                <w:noProof/>
                <w:webHidden/>
              </w:rPr>
              <w:t>371</w:t>
            </w:r>
            <w:r>
              <w:rPr>
                <w:noProof/>
                <w:webHidden/>
              </w:rPr>
              <w:fldChar w:fldCharType="end"/>
            </w:r>
          </w:hyperlink>
        </w:p>
        <w:p w:rsidR="00B55555" w:rsidRDefault="00810E1B">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Pr>
                <w:noProof/>
                <w:webHidden/>
              </w:rPr>
              <w:fldChar w:fldCharType="begin"/>
            </w:r>
            <w:r w:rsidR="00B55555">
              <w:rPr>
                <w:noProof/>
                <w:webHidden/>
              </w:rPr>
              <w:instrText xml:space="preserve"> PAGEREF _Toc453572178 \h </w:instrText>
            </w:r>
            <w:r>
              <w:rPr>
                <w:noProof/>
                <w:webHidden/>
              </w:rPr>
            </w:r>
            <w:r>
              <w:rPr>
                <w:noProof/>
                <w:webHidden/>
              </w:rPr>
              <w:fldChar w:fldCharType="separate"/>
            </w:r>
            <w:r w:rsidR="005B068E">
              <w:rPr>
                <w:noProof/>
                <w:webHidden/>
              </w:rPr>
              <w:t>373</w:t>
            </w:r>
            <w:r>
              <w:rPr>
                <w:noProof/>
                <w:webHidden/>
              </w:rPr>
              <w:fldChar w:fldCharType="end"/>
            </w:r>
          </w:hyperlink>
        </w:p>
        <w:p w:rsidR="00B55555" w:rsidRDefault="00810E1B">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_Toc453572179 \h </w:instrText>
            </w:r>
            <w:r>
              <w:rPr>
                <w:noProof/>
                <w:webHidden/>
              </w:rPr>
            </w:r>
            <w:r>
              <w:rPr>
                <w:noProof/>
                <w:webHidden/>
              </w:rPr>
              <w:fldChar w:fldCharType="separate"/>
            </w:r>
            <w:r w:rsidR="005B068E">
              <w:rPr>
                <w:noProof/>
                <w:webHidden/>
              </w:rPr>
              <w:t>373</w:t>
            </w:r>
            <w:r>
              <w:rPr>
                <w:noProof/>
                <w:webHidden/>
              </w:rPr>
              <w:fldChar w:fldCharType="end"/>
            </w:r>
          </w:hyperlink>
        </w:p>
        <w:p w:rsidR="00B55555" w:rsidRDefault="00810E1B">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Pr>
                <w:noProof/>
                <w:webHidden/>
              </w:rPr>
              <w:fldChar w:fldCharType="begin"/>
            </w:r>
            <w:r w:rsidR="00B55555">
              <w:rPr>
                <w:noProof/>
                <w:webHidden/>
              </w:rPr>
              <w:instrText xml:space="preserve"> PAGEREF _Toc453572180 \h </w:instrText>
            </w:r>
            <w:r>
              <w:rPr>
                <w:noProof/>
                <w:webHidden/>
              </w:rPr>
            </w:r>
            <w:r>
              <w:rPr>
                <w:noProof/>
                <w:webHidden/>
              </w:rPr>
              <w:fldChar w:fldCharType="separate"/>
            </w:r>
            <w:r w:rsidR="005B068E">
              <w:rPr>
                <w:noProof/>
                <w:webHidden/>
              </w:rPr>
              <w:t>383</w:t>
            </w:r>
            <w:r>
              <w:rPr>
                <w:noProof/>
                <w:webHidden/>
              </w:rPr>
              <w:fldChar w:fldCharType="end"/>
            </w:r>
          </w:hyperlink>
        </w:p>
        <w:p w:rsidR="00B55555" w:rsidRDefault="00810E1B">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Pr>
                <w:noProof/>
                <w:webHidden/>
              </w:rPr>
              <w:fldChar w:fldCharType="begin"/>
            </w:r>
            <w:r w:rsidR="00B55555">
              <w:rPr>
                <w:noProof/>
                <w:webHidden/>
              </w:rPr>
              <w:instrText xml:space="preserve"> PAGEREF _Toc453572181 \h </w:instrText>
            </w:r>
            <w:r>
              <w:rPr>
                <w:noProof/>
                <w:webHidden/>
              </w:rPr>
            </w:r>
            <w:r>
              <w:rPr>
                <w:noProof/>
                <w:webHidden/>
              </w:rPr>
              <w:fldChar w:fldCharType="separate"/>
            </w:r>
            <w:r w:rsidR="005B068E">
              <w:rPr>
                <w:noProof/>
                <w:webHidden/>
              </w:rPr>
              <w:t>383</w:t>
            </w:r>
            <w:r>
              <w:rPr>
                <w:noProof/>
                <w:webHidden/>
              </w:rPr>
              <w:fldChar w:fldCharType="end"/>
            </w:r>
          </w:hyperlink>
        </w:p>
        <w:p w:rsidR="00B55555" w:rsidRDefault="00810E1B">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Pr>
                <w:noProof/>
                <w:webHidden/>
              </w:rPr>
              <w:fldChar w:fldCharType="begin"/>
            </w:r>
            <w:r w:rsidR="00B55555">
              <w:rPr>
                <w:noProof/>
                <w:webHidden/>
              </w:rPr>
              <w:instrText xml:space="preserve"> PAGEREF _Toc453572182 \h </w:instrText>
            </w:r>
            <w:r>
              <w:rPr>
                <w:noProof/>
                <w:webHidden/>
              </w:rPr>
            </w:r>
            <w:r>
              <w:rPr>
                <w:noProof/>
                <w:webHidden/>
              </w:rPr>
              <w:fldChar w:fldCharType="separate"/>
            </w:r>
            <w:r w:rsidR="005B068E">
              <w:rPr>
                <w:noProof/>
                <w:webHidden/>
              </w:rPr>
              <w:t>397</w:t>
            </w:r>
            <w:r>
              <w:rPr>
                <w:noProof/>
                <w:webHidden/>
              </w:rPr>
              <w:fldChar w:fldCharType="end"/>
            </w:r>
          </w:hyperlink>
        </w:p>
        <w:p w:rsidR="00B55555" w:rsidRDefault="00810E1B">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Pr>
                <w:noProof/>
                <w:webHidden/>
              </w:rPr>
              <w:fldChar w:fldCharType="begin"/>
            </w:r>
            <w:r w:rsidR="00B55555">
              <w:rPr>
                <w:noProof/>
                <w:webHidden/>
              </w:rPr>
              <w:instrText xml:space="preserve"> PAGEREF _Toc453572183 \h </w:instrText>
            </w:r>
            <w:r>
              <w:rPr>
                <w:noProof/>
                <w:webHidden/>
              </w:rPr>
            </w:r>
            <w:r>
              <w:rPr>
                <w:noProof/>
                <w:webHidden/>
              </w:rPr>
              <w:fldChar w:fldCharType="separate"/>
            </w:r>
            <w:r w:rsidR="005B068E">
              <w:rPr>
                <w:noProof/>
                <w:webHidden/>
              </w:rPr>
              <w:t>406</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Pr>
                <w:noProof/>
                <w:webHidden/>
              </w:rPr>
              <w:fldChar w:fldCharType="begin"/>
            </w:r>
            <w:r w:rsidR="00B55555">
              <w:rPr>
                <w:noProof/>
                <w:webHidden/>
              </w:rPr>
              <w:instrText xml:space="preserve"> PAGEREF _Toc453572184 \h </w:instrText>
            </w:r>
            <w:r>
              <w:rPr>
                <w:noProof/>
                <w:webHidden/>
              </w:rPr>
            </w:r>
            <w:r>
              <w:rPr>
                <w:noProof/>
                <w:webHidden/>
              </w:rPr>
              <w:fldChar w:fldCharType="separate"/>
            </w:r>
            <w:r w:rsidR="005B068E">
              <w:rPr>
                <w:noProof/>
                <w:webHidden/>
              </w:rPr>
              <w:t>411</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Pr>
                <w:noProof/>
                <w:webHidden/>
              </w:rPr>
              <w:fldChar w:fldCharType="begin"/>
            </w:r>
            <w:r w:rsidR="00B55555">
              <w:rPr>
                <w:noProof/>
                <w:webHidden/>
              </w:rPr>
              <w:instrText xml:space="preserve"> PAGEREF _Toc453572185 \h </w:instrText>
            </w:r>
            <w:r>
              <w:rPr>
                <w:noProof/>
                <w:webHidden/>
              </w:rPr>
            </w:r>
            <w:r>
              <w:rPr>
                <w:noProof/>
                <w:webHidden/>
              </w:rPr>
              <w:fldChar w:fldCharType="separate"/>
            </w:r>
            <w:r w:rsidR="005B068E">
              <w:rPr>
                <w:noProof/>
                <w:webHidden/>
              </w:rPr>
              <w:t>415</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Pr>
                <w:noProof/>
                <w:webHidden/>
              </w:rPr>
              <w:fldChar w:fldCharType="begin"/>
            </w:r>
            <w:r w:rsidR="00B55555">
              <w:rPr>
                <w:noProof/>
                <w:webHidden/>
              </w:rPr>
              <w:instrText xml:space="preserve"> PAGEREF _Toc453572186 \h </w:instrText>
            </w:r>
            <w:r>
              <w:rPr>
                <w:noProof/>
                <w:webHidden/>
              </w:rPr>
            </w:r>
            <w:r>
              <w:rPr>
                <w:noProof/>
                <w:webHidden/>
              </w:rPr>
              <w:fldChar w:fldCharType="separate"/>
            </w:r>
            <w:r w:rsidR="005B068E">
              <w:rPr>
                <w:noProof/>
                <w:webHidden/>
              </w:rPr>
              <w:t>421</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Pr>
                <w:noProof/>
                <w:webHidden/>
              </w:rPr>
              <w:fldChar w:fldCharType="begin"/>
            </w:r>
            <w:r w:rsidR="00B55555">
              <w:rPr>
                <w:noProof/>
                <w:webHidden/>
              </w:rPr>
              <w:instrText xml:space="preserve"> PAGEREF _Toc453572187 \h </w:instrText>
            </w:r>
            <w:r>
              <w:rPr>
                <w:noProof/>
                <w:webHidden/>
              </w:rPr>
            </w:r>
            <w:r>
              <w:rPr>
                <w:noProof/>
                <w:webHidden/>
              </w:rPr>
              <w:fldChar w:fldCharType="separate"/>
            </w:r>
            <w:r w:rsidR="005B068E">
              <w:rPr>
                <w:noProof/>
                <w:webHidden/>
              </w:rPr>
              <w:t>423</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Pr>
                <w:noProof/>
                <w:webHidden/>
              </w:rPr>
              <w:fldChar w:fldCharType="begin"/>
            </w:r>
            <w:r w:rsidR="00B55555">
              <w:rPr>
                <w:noProof/>
                <w:webHidden/>
              </w:rPr>
              <w:instrText xml:space="preserve"> PAGEREF _Toc453572188 \h </w:instrText>
            </w:r>
            <w:r>
              <w:rPr>
                <w:noProof/>
                <w:webHidden/>
              </w:rPr>
            </w:r>
            <w:r>
              <w:rPr>
                <w:noProof/>
                <w:webHidden/>
              </w:rPr>
              <w:fldChar w:fldCharType="separate"/>
            </w:r>
            <w:r w:rsidR="005B068E">
              <w:rPr>
                <w:noProof/>
                <w:webHidden/>
              </w:rPr>
              <w:t>429</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Pr>
                <w:noProof/>
                <w:webHidden/>
              </w:rPr>
              <w:fldChar w:fldCharType="begin"/>
            </w:r>
            <w:r w:rsidR="00B55555">
              <w:rPr>
                <w:noProof/>
                <w:webHidden/>
              </w:rPr>
              <w:instrText xml:space="preserve"> PAGEREF _Toc453572189 \h </w:instrText>
            </w:r>
            <w:r>
              <w:rPr>
                <w:noProof/>
                <w:webHidden/>
              </w:rPr>
            </w:r>
            <w:r>
              <w:rPr>
                <w:noProof/>
                <w:webHidden/>
              </w:rPr>
              <w:fldChar w:fldCharType="separate"/>
            </w:r>
            <w:r w:rsidR="005B068E">
              <w:rPr>
                <w:noProof/>
                <w:webHidden/>
              </w:rPr>
              <w:t>435</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Pr>
                <w:noProof/>
                <w:webHidden/>
              </w:rPr>
              <w:fldChar w:fldCharType="begin"/>
            </w:r>
            <w:r w:rsidR="00B55555">
              <w:rPr>
                <w:noProof/>
                <w:webHidden/>
              </w:rPr>
              <w:instrText xml:space="preserve"> PAGEREF _Toc453572190 \h </w:instrText>
            </w:r>
            <w:r>
              <w:rPr>
                <w:noProof/>
                <w:webHidden/>
              </w:rPr>
            </w:r>
            <w:r>
              <w:rPr>
                <w:noProof/>
                <w:webHidden/>
              </w:rPr>
              <w:fldChar w:fldCharType="separate"/>
            </w:r>
            <w:r w:rsidR="005B068E">
              <w:rPr>
                <w:noProof/>
                <w:webHidden/>
              </w:rPr>
              <w:t>436</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Pr>
                <w:noProof/>
                <w:webHidden/>
              </w:rPr>
              <w:fldChar w:fldCharType="begin"/>
            </w:r>
            <w:r w:rsidR="00B55555">
              <w:rPr>
                <w:noProof/>
                <w:webHidden/>
              </w:rPr>
              <w:instrText xml:space="preserve"> PAGEREF _Toc453572191 \h </w:instrText>
            </w:r>
            <w:r>
              <w:rPr>
                <w:noProof/>
                <w:webHidden/>
              </w:rPr>
            </w:r>
            <w:r>
              <w:rPr>
                <w:noProof/>
                <w:webHidden/>
              </w:rPr>
              <w:fldChar w:fldCharType="separate"/>
            </w:r>
            <w:r w:rsidR="005B068E">
              <w:rPr>
                <w:noProof/>
                <w:webHidden/>
              </w:rPr>
              <w:t>437</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Pr>
                <w:noProof/>
                <w:webHidden/>
              </w:rPr>
              <w:fldChar w:fldCharType="begin"/>
            </w:r>
            <w:r w:rsidR="00B55555">
              <w:rPr>
                <w:noProof/>
                <w:webHidden/>
              </w:rPr>
              <w:instrText xml:space="preserve"> PAGEREF _Toc453572192 \h </w:instrText>
            </w:r>
            <w:r>
              <w:rPr>
                <w:noProof/>
                <w:webHidden/>
              </w:rPr>
            </w:r>
            <w:r>
              <w:rPr>
                <w:noProof/>
                <w:webHidden/>
              </w:rPr>
              <w:fldChar w:fldCharType="separate"/>
            </w:r>
            <w:r w:rsidR="005B068E">
              <w:rPr>
                <w:noProof/>
                <w:webHidden/>
              </w:rPr>
              <w:t>437</w:t>
            </w:r>
            <w:r>
              <w:rPr>
                <w:noProof/>
                <w:webHidden/>
              </w:rPr>
              <w:fldChar w:fldCharType="end"/>
            </w:r>
          </w:hyperlink>
        </w:p>
        <w:p w:rsidR="00B55555" w:rsidRDefault="00810E1B">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Pr>
                <w:noProof/>
                <w:webHidden/>
              </w:rPr>
              <w:fldChar w:fldCharType="begin"/>
            </w:r>
            <w:r w:rsidR="00B55555">
              <w:rPr>
                <w:noProof/>
                <w:webHidden/>
              </w:rPr>
              <w:instrText xml:space="preserve"> PAGEREF _Toc453572193 \h </w:instrText>
            </w:r>
            <w:r>
              <w:rPr>
                <w:noProof/>
                <w:webHidden/>
              </w:rPr>
            </w:r>
            <w:r>
              <w:rPr>
                <w:noProof/>
                <w:webHidden/>
              </w:rPr>
              <w:fldChar w:fldCharType="separate"/>
            </w:r>
            <w:r w:rsidR="005B068E">
              <w:rPr>
                <w:noProof/>
                <w:webHidden/>
              </w:rPr>
              <w:t>440</w:t>
            </w:r>
            <w:r>
              <w:rPr>
                <w:noProof/>
                <w:webHidden/>
              </w:rPr>
              <w:fldChar w:fldCharType="end"/>
            </w:r>
          </w:hyperlink>
        </w:p>
        <w:p w:rsidR="00B55555" w:rsidRDefault="00810E1B">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Pr>
                <w:noProof/>
                <w:webHidden/>
              </w:rPr>
              <w:fldChar w:fldCharType="begin"/>
            </w:r>
            <w:r w:rsidR="00B55555">
              <w:rPr>
                <w:noProof/>
                <w:webHidden/>
              </w:rPr>
              <w:instrText xml:space="preserve"> PAGEREF _Toc453572194 \h </w:instrText>
            </w:r>
            <w:r>
              <w:rPr>
                <w:noProof/>
                <w:webHidden/>
              </w:rPr>
            </w:r>
            <w:r>
              <w:rPr>
                <w:noProof/>
                <w:webHidden/>
              </w:rPr>
              <w:fldChar w:fldCharType="separate"/>
            </w:r>
            <w:r w:rsidR="005B068E">
              <w:rPr>
                <w:noProof/>
                <w:webHidden/>
              </w:rPr>
              <w:t>440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Pr>
                <w:noProof/>
                <w:webHidden/>
              </w:rPr>
              <w:fldChar w:fldCharType="begin"/>
            </w:r>
            <w:r w:rsidR="00B55555">
              <w:rPr>
                <w:noProof/>
                <w:webHidden/>
              </w:rPr>
              <w:instrText xml:space="preserve"> PAGEREF _Toc453572195 \h </w:instrText>
            </w:r>
            <w:r>
              <w:rPr>
                <w:noProof/>
                <w:webHidden/>
              </w:rPr>
            </w:r>
            <w:r>
              <w:rPr>
                <w:noProof/>
                <w:webHidden/>
              </w:rPr>
              <w:fldChar w:fldCharType="separate"/>
            </w:r>
            <w:r w:rsidR="005B068E">
              <w:rPr>
                <w:noProof/>
                <w:webHidden/>
              </w:rPr>
              <w:t>445</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Pr>
                <w:noProof/>
                <w:webHidden/>
              </w:rPr>
              <w:fldChar w:fldCharType="begin"/>
            </w:r>
            <w:r w:rsidR="00B55555">
              <w:rPr>
                <w:noProof/>
                <w:webHidden/>
              </w:rPr>
              <w:instrText xml:space="preserve"> PAGEREF _Toc453572196 \h </w:instrText>
            </w:r>
            <w:r>
              <w:rPr>
                <w:noProof/>
                <w:webHidden/>
              </w:rPr>
            </w:r>
            <w:r>
              <w:rPr>
                <w:noProof/>
                <w:webHidden/>
              </w:rPr>
              <w:fldChar w:fldCharType="separate"/>
            </w:r>
            <w:r w:rsidR="005B068E">
              <w:rPr>
                <w:noProof/>
                <w:webHidden/>
              </w:rPr>
              <w:t>449</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Pr>
                <w:noProof/>
                <w:webHidden/>
              </w:rPr>
              <w:fldChar w:fldCharType="begin"/>
            </w:r>
            <w:r w:rsidR="00B55555">
              <w:rPr>
                <w:noProof/>
                <w:webHidden/>
              </w:rPr>
              <w:instrText xml:space="preserve"> PAGEREF _Toc453572197 \h </w:instrText>
            </w:r>
            <w:r>
              <w:rPr>
                <w:noProof/>
                <w:webHidden/>
              </w:rPr>
            </w:r>
            <w:r>
              <w:rPr>
                <w:noProof/>
                <w:webHidden/>
              </w:rPr>
              <w:fldChar w:fldCharType="separate"/>
            </w:r>
            <w:r w:rsidR="005B068E">
              <w:rPr>
                <w:noProof/>
                <w:webHidden/>
              </w:rPr>
              <w:t>449</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Pr>
                <w:noProof/>
                <w:webHidden/>
              </w:rPr>
              <w:fldChar w:fldCharType="begin"/>
            </w:r>
            <w:r w:rsidR="00B55555">
              <w:rPr>
                <w:noProof/>
                <w:webHidden/>
              </w:rPr>
              <w:instrText xml:space="preserve"> PAGEREF _Toc453572198 \h </w:instrText>
            </w:r>
            <w:r>
              <w:rPr>
                <w:noProof/>
                <w:webHidden/>
              </w:rPr>
            </w:r>
            <w:r>
              <w:rPr>
                <w:noProof/>
                <w:webHidden/>
              </w:rPr>
              <w:fldChar w:fldCharType="separate"/>
            </w:r>
            <w:r w:rsidR="005B068E">
              <w:rPr>
                <w:noProof/>
                <w:webHidden/>
              </w:rPr>
              <w:t>450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Pr>
                <w:noProof/>
                <w:webHidden/>
              </w:rPr>
              <w:fldChar w:fldCharType="begin"/>
            </w:r>
            <w:r w:rsidR="00B55555">
              <w:rPr>
                <w:noProof/>
                <w:webHidden/>
              </w:rPr>
              <w:instrText xml:space="preserve"> PAGEREF _Toc453572199 \h </w:instrText>
            </w:r>
            <w:r>
              <w:rPr>
                <w:noProof/>
                <w:webHidden/>
              </w:rPr>
            </w:r>
            <w:r>
              <w:rPr>
                <w:noProof/>
                <w:webHidden/>
              </w:rPr>
              <w:fldChar w:fldCharType="separate"/>
            </w:r>
            <w:r w:rsidR="005B068E">
              <w:rPr>
                <w:noProof/>
                <w:webHidden/>
              </w:rPr>
              <w:t>450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Pr>
                <w:noProof/>
                <w:webHidden/>
              </w:rPr>
              <w:fldChar w:fldCharType="begin"/>
            </w:r>
            <w:r w:rsidR="00B55555">
              <w:rPr>
                <w:noProof/>
                <w:webHidden/>
              </w:rPr>
              <w:instrText xml:space="preserve"> PAGEREF _Toc453572200 \h </w:instrText>
            </w:r>
            <w:r>
              <w:rPr>
                <w:noProof/>
                <w:webHidden/>
              </w:rPr>
            </w:r>
            <w:r>
              <w:rPr>
                <w:noProof/>
                <w:webHidden/>
              </w:rPr>
              <w:fldChar w:fldCharType="separate"/>
            </w:r>
            <w:r w:rsidR="005B068E">
              <w:rPr>
                <w:noProof/>
                <w:webHidden/>
              </w:rPr>
              <w:t>452</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Pr>
                <w:noProof/>
                <w:webHidden/>
              </w:rPr>
              <w:fldChar w:fldCharType="begin"/>
            </w:r>
            <w:r w:rsidR="00B55555">
              <w:rPr>
                <w:noProof/>
                <w:webHidden/>
              </w:rPr>
              <w:instrText xml:space="preserve"> PAGEREF _Toc453572201 \h </w:instrText>
            </w:r>
            <w:r>
              <w:rPr>
                <w:noProof/>
                <w:webHidden/>
              </w:rPr>
            </w:r>
            <w:r>
              <w:rPr>
                <w:noProof/>
                <w:webHidden/>
              </w:rPr>
              <w:fldChar w:fldCharType="separate"/>
            </w:r>
            <w:r w:rsidR="005B068E">
              <w:rPr>
                <w:noProof/>
                <w:webHidden/>
              </w:rPr>
              <w:t>456</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Pr>
                <w:noProof/>
                <w:webHidden/>
              </w:rPr>
              <w:fldChar w:fldCharType="begin"/>
            </w:r>
            <w:r w:rsidR="00B55555">
              <w:rPr>
                <w:noProof/>
                <w:webHidden/>
              </w:rPr>
              <w:instrText xml:space="preserve"> PAGEREF _Toc453572202 \h </w:instrText>
            </w:r>
            <w:r>
              <w:rPr>
                <w:noProof/>
                <w:webHidden/>
              </w:rPr>
            </w:r>
            <w:r>
              <w:rPr>
                <w:noProof/>
                <w:webHidden/>
              </w:rPr>
              <w:fldChar w:fldCharType="separate"/>
            </w:r>
            <w:r w:rsidR="005B068E">
              <w:rPr>
                <w:noProof/>
                <w:webHidden/>
              </w:rPr>
              <w:t>456</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Pr>
                <w:noProof/>
                <w:webHidden/>
              </w:rPr>
              <w:fldChar w:fldCharType="begin"/>
            </w:r>
            <w:r w:rsidR="00B55555">
              <w:rPr>
                <w:noProof/>
                <w:webHidden/>
              </w:rPr>
              <w:instrText xml:space="preserve"> PAGEREF _Toc453572203 \h </w:instrText>
            </w:r>
            <w:r>
              <w:rPr>
                <w:noProof/>
                <w:webHidden/>
              </w:rPr>
            </w:r>
            <w:r>
              <w:rPr>
                <w:noProof/>
                <w:webHidden/>
              </w:rPr>
              <w:fldChar w:fldCharType="separate"/>
            </w:r>
            <w:r w:rsidR="005B068E">
              <w:rPr>
                <w:noProof/>
                <w:webHidden/>
              </w:rPr>
              <w:t>458</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Pr>
                <w:noProof/>
                <w:webHidden/>
              </w:rPr>
              <w:fldChar w:fldCharType="begin"/>
            </w:r>
            <w:r w:rsidR="00B55555">
              <w:rPr>
                <w:noProof/>
                <w:webHidden/>
              </w:rPr>
              <w:instrText xml:space="preserve"> PAGEREF _Toc453572204 \h </w:instrText>
            </w:r>
            <w:r>
              <w:rPr>
                <w:noProof/>
                <w:webHidden/>
              </w:rPr>
            </w:r>
            <w:r>
              <w:rPr>
                <w:noProof/>
                <w:webHidden/>
              </w:rPr>
              <w:fldChar w:fldCharType="separate"/>
            </w:r>
            <w:r w:rsidR="005B068E">
              <w:rPr>
                <w:noProof/>
                <w:webHidden/>
              </w:rPr>
              <w:t>461</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Pr>
                <w:noProof/>
                <w:webHidden/>
              </w:rPr>
              <w:fldChar w:fldCharType="begin"/>
            </w:r>
            <w:r w:rsidR="00B55555">
              <w:rPr>
                <w:noProof/>
                <w:webHidden/>
              </w:rPr>
              <w:instrText xml:space="preserve"> PAGEREF _Toc453572205 \h </w:instrText>
            </w:r>
            <w:r>
              <w:rPr>
                <w:noProof/>
                <w:webHidden/>
              </w:rPr>
            </w:r>
            <w:r>
              <w:rPr>
                <w:noProof/>
                <w:webHidden/>
              </w:rPr>
              <w:fldChar w:fldCharType="separate"/>
            </w:r>
            <w:r w:rsidR="005B068E">
              <w:rPr>
                <w:noProof/>
                <w:webHidden/>
              </w:rPr>
              <w:t>461</w:t>
            </w:r>
            <w:r>
              <w:rPr>
                <w:noProof/>
                <w:webHidden/>
              </w:rPr>
              <w:fldChar w:fldCharType="end"/>
            </w:r>
          </w:hyperlink>
        </w:p>
        <w:p w:rsidR="00B55555" w:rsidRDefault="00810E1B">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Pr>
                <w:noProof/>
                <w:webHidden/>
              </w:rPr>
              <w:fldChar w:fldCharType="begin"/>
            </w:r>
            <w:r w:rsidR="00B55555">
              <w:rPr>
                <w:noProof/>
                <w:webHidden/>
              </w:rPr>
              <w:instrText xml:space="preserve"> PAGEREF _Toc453572206 \h </w:instrText>
            </w:r>
            <w:r>
              <w:rPr>
                <w:noProof/>
                <w:webHidden/>
              </w:rPr>
            </w:r>
            <w:r>
              <w:rPr>
                <w:noProof/>
                <w:webHidden/>
              </w:rPr>
              <w:fldChar w:fldCharType="separate"/>
            </w:r>
            <w:r w:rsidR="005B068E">
              <w:rPr>
                <w:noProof/>
                <w:webHidden/>
              </w:rPr>
              <w:t>464</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Pr>
                <w:noProof/>
                <w:webHidden/>
              </w:rPr>
              <w:fldChar w:fldCharType="begin"/>
            </w:r>
            <w:r w:rsidR="00B55555">
              <w:rPr>
                <w:noProof/>
                <w:webHidden/>
              </w:rPr>
              <w:instrText xml:space="preserve"> PAGEREF _Toc453572207 \h </w:instrText>
            </w:r>
            <w:r>
              <w:rPr>
                <w:noProof/>
                <w:webHidden/>
              </w:rPr>
            </w:r>
            <w:r>
              <w:rPr>
                <w:noProof/>
                <w:webHidden/>
              </w:rPr>
              <w:fldChar w:fldCharType="separate"/>
            </w:r>
            <w:r w:rsidR="005B068E">
              <w:rPr>
                <w:noProof/>
                <w:webHidden/>
              </w:rPr>
              <w:t>465</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Pr>
                <w:noProof/>
                <w:webHidden/>
              </w:rPr>
              <w:fldChar w:fldCharType="begin"/>
            </w:r>
            <w:r w:rsidR="00B55555">
              <w:rPr>
                <w:noProof/>
                <w:webHidden/>
              </w:rPr>
              <w:instrText xml:space="preserve"> PAGEREF _Toc453572208 \h </w:instrText>
            </w:r>
            <w:r>
              <w:rPr>
                <w:noProof/>
                <w:webHidden/>
              </w:rPr>
            </w:r>
            <w:r>
              <w:rPr>
                <w:noProof/>
                <w:webHidden/>
              </w:rPr>
              <w:fldChar w:fldCharType="separate"/>
            </w:r>
            <w:r w:rsidR="005B068E">
              <w:rPr>
                <w:noProof/>
                <w:webHidden/>
              </w:rPr>
              <w:t>465</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Pr>
                <w:noProof/>
                <w:webHidden/>
              </w:rPr>
              <w:fldChar w:fldCharType="begin"/>
            </w:r>
            <w:r w:rsidR="00B55555">
              <w:rPr>
                <w:noProof/>
                <w:webHidden/>
              </w:rPr>
              <w:instrText xml:space="preserve"> PAGEREF _Toc453572209 \h </w:instrText>
            </w:r>
            <w:r>
              <w:rPr>
                <w:noProof/>
                <w:webHidden/>
              </w:rPr>
            </w:r>
            <w:r>
              <w:rPr>
                <w:noProof/>
                <w:webHidden/>
              </w:rPr>
              <w:fldChar w:fldCharType="separate"/>
            </w:r>
            <w:r w:rsidR="005B068E">
              <w:rPr>
                <w:noProof/>
                <w:webHidden/>
              </w:rPr>
              <w:t>469</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Pr>
                <w:noProof/>
                <w:webHidden/>
              </w:rPr>
              <w:fldChar w:fldCharType="begin"/>
            </w:r>
            <w:r w:rsidR="00B55555">
              <w:rPr>
                <w:noProof/>
                <w:webHidden/>
              </w:rPr>
              <w:instrText xml:space="preserve"> PAGEREF _Toc453572210 \h </w:instrText>
            </w:r>
            <w:r>
              <w:rPr>
                <w:noProof/>
                <w:webHidden/>
              </w:rPr>
            </w:r>
            <w:r>
              <w:rPr>
                <w:noProof/>
                <w:webHidden/>
              </w:rPr>
              <w:fldChar w:fldCharType="separate"/>
            </w:r>
            <w:r w:rsidR="005B068E">
              <w:rPr>
                <w:noProof/>
                <w:webHidden/>
              </w:rPr>
              <w:t>472</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Pr>
                <w:noProof/>
                <w:webHidden/>
              </w:rPr>
              <w:fldChar w:fldCharType="begin"/>
            </w:r>
            <w:r w:rsidR="00B55555">
              <w:rPr>
                <w:noProof/>
                <w:webHidden/>
              </w:rPr>
              <w:instrText xml:space="preserve"> PAGEREF _Toc453572211 \h </w:instrText>
            </w:r>
            <w:r>
              <w:rPr>
                <w:noProof/>
                <w:webHidden/>
              </w:rPr>
            </w:r>
            <w:r>
              <w:rPr>
                <w:noProof/>
                <w:webHidden/>
              </w:rPr>
              <w:fldChar w:fldCharType="separate"/>
            </w:r>
            <w:r w:rsidR="005B068E">
              <w:rPr>
                <w:noProof/>
                <w:webHidden/>
              </w:rPr>
              <w:t>472</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Pr>
                <w:noProof/>
                <w:webHidden/>
              </w:rPr>
              <w:fldChar w:fldCharType="begin"/>
            </w:r>
            <w:r w:rsidR="00B55555">
              <w:rPr>
                <w:noProof/>
                <w:webHidden/>
              </w:rPr>
              <w:instrText xml:space="preserve"> PAGEREF _Toc453572212 \h </w:instrText>
            </w:r>
            <w:r>
              <w:rPr>
                <w:noProof/>
                <w:webHidden/>
              </w:rPr>
            </w:r>
            <w:r>
              <w:rPr>
                <w:noProof/>
                <w:webHidden/>
              </w:rPr>
              <w:fldChar w:fldCharType="separate"/>
            </w:r>
            <w:r w:rsidR="005B068E">
              <w:rPr>
                <w:noProof/>
                <w:webHidden/>
              </w:rPr>
              <w:t>474</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Pr>
                <w:noProof/>
                <w:webHidden/>
              </w:rPr>
              <w:fldChar w:fldCharType="begin"/>
            </w:r>
            <w:r w:rsidR="00B55555">
              <w:rPr>
                <w:noProof/>
                <w:webHidden/>
              </w:rPr>
              <w:instrText xml:space="preserve"> PAGEREF _Toc453572213 \h </w:instrText>
            </w:r>
            <w:r>
              <w:rPr>
                <w:noProof/>
                <w:webHidden/>
              </w:rPr>
            </w:r>
            <w:r>
              <w:rPr>
                <w:noProof/>
                <w:webHidden/>
              </w:rPr>
              <w:fldChar w:fldCharType="separate"/>
            </w:r>
            <w:r w:rsidR="005B068E">
              <w:rPr>
                <w:noProof/>
                <w:webHidden/>
              </w:rPr>
              <w:t>476</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Pr>
                <w:noProof/>
                <w:webHidden/>
              </w:rPr>
              <w:fldChar w:fldCharType="begin"/>
            </w:r>
            <w:r w:rsidR="00B55555">
              <w:rPr>
                <w:noProof/>
                <w:webHidden/>
              </w:rPr>
              <w:instrText xml:space="preserve"> PAGEREF _Toc453572214 \h </w:instrText>
            </w:r>
            <w:r>
              <w:rPr>
                <w:noProof/>
                <w:webHidden/>
              </w:rPr>
            </w:r>
            <w:r>
              <w:rPr>
                <w:noProof/>
                <w:webHidden/>
              </w:rPr>
              <w:fldChar w:fldCharType="separate"/>
            </w:r>
            <w:r w:rsidR="005B068E">
              <w:rPr>
                <w:noProof/>
                <w:webHidden/>
              </w:rPr>
              <w:t>476</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Pr>
                <w:noProof/>
                <w:webHidden/>
              </w:rPr>
              <w:fldChar w:fldCharType="begin"/>
            </w:r>
            <w:r w:rsidR="00B55555">
              <w:rPr>
                <w:noProof/>
                <w:webHidden/>
              </w:rPr>
              <w:instrText xml:space="preserve"> PAGEREF _Toc453572215 \h </w:instrText>
            </w:r>
            <w:r>
              <w:rPr>
                <w:noProof/>
                <w:webHidden/>
              </w:rPr>
            </w:r>
            <w:r>
              <w:rPr>
                <w:noProof/>
                <w:webHidden/>
              </w:rPr>
              <w:fldChar w:fldCharType="separate"/>
            </w:r>
            <w:r w:rsidR="005B068E">
              <w:rPr>
                <w:noProof/>
                <w:webHidden/>
              </w:rPr>
              <w:t>480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Pr>
                <w:noProof/>
                <w:webHidden/>
              </w:rPr>
              <w:fldChar w:fldCharType="begin"/>
            </w:r>
            <w:r w:rsidR="00B55555">
              <w:rPr>
                <w:noProof/>
                <w:webHidden/>
              </w:rPr>
              <w:instrText xml:space="preserve"> PAGEREF _Toc453572216 \h </w:instrText>
            </w:r>
            <w:r>
              <w:rPr>
                <w:noProof/>
                <w:webHidden/>
              </w:rPr>
            </w:r>
            <w:r>
              <w:rPr>
                <w:noProof/>
                <w:webHidden/>
              </w:rPr>
              <w:fldChar w:fldCharType="separate"/>
            </w:r>
            <w:r w:rsidR="005B068E">
              <w:rPr>
                <w:noProof/>
                <w:webHidden/>
              </w:rPr>
              <w:t>480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Pr>
                <w:noProof/>
                <w:webHidden/>
              </w:rPr>
              <w:fldChar w:fldCharType="begin"/>
            </w:r>
            <w:r w:rsidR="00B55555">
              <w:rPr>
                <w:noProof/>
                <w:webHidden/>
              </w:rPr>
              <w:instrText xml:space="preserve"> PAGEREF _Toc453572217 \h </w:instrText>
            </w:r>
            <w:r>
              <w:rPr>
                <w:noProof/>
                <w:webHidden/>
              </w:rPr>
            </w:r>
            <w:r>
              <w:rPr>
                <w:noProof/>
                <w:webHidden/>
              </w:rPr>
              <w:fldChar w:fldCharType="separate"/>
            </w:r>
            <w:r w:rsidR="005B068E">
              <w:rPr>
                <w:noProof/>
                <w:webHidden/>
              </w:rPr>
              <w:t>485</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Pr>
                <w:noProof/>
                <w:webHidden/>
              </w:rPr>
              <w:fldChar w:fldCharType="begin"/>
            </w:r>
            <w:r w:rsidR="00B55555">
              <w:rPr>
                <w:noProof/>
                <w:webHidden/>
              </w:rPr>
              <w:instrText xml:space="preserve"> PAGEREF _Toc453572218 \h </w:instrText>
            </w:r>
            <w:r>
              <w:rPr>
                <w:noProof/>
                <w:webHidden/>
              </w:rPr>
            </w:r>
            <w:r>
              <w:rPr>
                <w:noProof/>
                <w:webHidden/>
              </w:rPr>
              <w:fldChar w:fldCharType="separate"/>
            </w:r>
            <w:r w:rsidR="005B068E">
              <w:rPr>
                <w:noProof/>
                <w:webHidden/>
              </w:rPr>
              <w:t>488</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Pr>
                <w:noProof/>
                <w:webHidden/>
              </w:rPr>
              <w:fldChar w:fldCharType="begin"/>
            </w:r>
            <w:r w:rsidR="00B55555">
              <w:rPr>
                <w:noProof/>
                <w:webHidden/>
              </w:rPr>
              <w:instrText xml:space="preserve"> PAGEREF _Toc453572219 \h </w:instrText>
            </w:r>
            <w:r>
              <w:rPr>
                <w:noProof/>
                <w:webHidden/>
              </w:rPr>
            </w:r>
            <w:r>
              <w:rPr>
                <w:noProof/>
                <w:webHidden/>
              </w:rPr>
              <w:fldChar w:fldCharType="separate"/>
            </w:r>
            <w:r w:rsidR="005B068E">
              <w:rPr>
                <w:noProof/>
                <w:webHidden/>
              </w:rPr>
              <w:t>488</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Pr>
                <w:noProof/>
                <w:webHidden/>
              </w:rPr>
              <w:fldChar w:fldCharType="begin"/>
            </w:r>
            <w:r w:rsidR="00B55555">
              <w:rPr>
                <w:noProof/>
                <w:webHidden/>
              </w:rPr>
              <w:instrText xml:space="preserve"> PAGEREF _Toc453572220 \h </w:instrText>
            </w:r>
            <w:r>
              <w:rPr>
                <w:noProof/>
                <w:webHidden/>
              </w:rPr>
            </w:r>
            <w:r>
              <w:rPr>
                <w:noProof/>
                <w:webHidden/>
              </w:rPr>
              <w:fldChar w:fldCharType="separate"/>
            </w:r>
            <w:r w:rsidR="005B068E">
              <w:rPr>
                <w:noProof/>
                <w:webHidden/>
              </w:rPr>
              <w:t>491</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Pr>
                <w:noProof/>
                <w:webHidden/>
              </w:rPr>
              <w:fldChar w:fldCharType="begin"/>
            </w:r>
            <w:r w:rsidR="00B55555">
              <w:rPr>
                <w:noProof/>
                <w:webHidden/>
              </w:rPr>
              <w:instrText xml:space="preserve"> PAGEREF _Toc453572221 \h </w:instrText>
            </w:r>
            <w:r>
              <w:rPr>
                <w:noProof/>
                <w:webHidden/>
              </w:rPr>
            </w:r>
            <w:r>
              <w:rPr>
                <w:noProof/>
                <w:webHidden/>
              </w:rPr>
              <w:fldChar w:fldCharType="separate"/>
            </w:r>
            <w:r w:rsidR="005B068E">
              <w:rPr>
                <w:noProof/>
                <w:webHidden/>
              </w:rPr>
              <w:t>493</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Pr>
                <w:noProof/>
                <w:webHidden/>
              </w:rPr>
              <w:fldChar w:fldCharType="begin"/>
            </w:r>
            <w:r w:rsidR="00B55555">
              <w:rPr>
                <w:noProof/>
                <w:webHidden/>
              </w:rPr>
              <w:instrText xml:space="preserve"> PAGEREF _Toc453572222 \h </w:instrText>
            </w:r>
            <w:r>
              <w:rPr>
                <w:noProof/>
                <w:webHidden/>
              </w:rPr>
            </w:r>
            <w:r>
              <w:rPr>
                <w:noProof/>
                <w:webHidden/>
              </w:rPr>
              <w:fldChar w:fldCharType="separate"/>
            </w:r>
            <w:r w:rsidR="005B068E">
              <w:rPr>
                <w:noProof/>
                <w:webHidden/>
              </w:rPr>
              <w:t>493</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Pr>
                <w:noProof/>
                <w:webHidden/>
              </w:rPr>
              <w:fldChar w:fldCharType="begin"/>
            </w:r>
            <w:r w:rsidR="00B55555">
              <w:rPr>
                <w:noProof/>
                <w:webHidden/>
              </w:rPr>
              <w:instrText xml:space="preserve"> PAGEREF _Toc453572223 \h </w:instrText>
            </w:r>
            <w:r>
              <w:rPr>
                <w:noProof/>
                <w:webHidden/>
              </w:rPr>
            </w:r>
            <w:r>
              <w:rPr>
                <w:noProof/>
                <w:webHidden/>
              </w:rPr>
              <w:fldChar w:fldCharType="separate"/>
            </w:r>
            <w:r w:rsidR="005B068E">
              <w:rPr>
                <w:noProof/>
                <w:webHidden/>
              </w:rPr>
              <w:t>499</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Pr>
                <w:noProof/>
                <w:webHidden/>
              </w:rPr>
              <w:fldChar w:fldCharType="begin"/>
            </w:r>
            <w:r w:rsidR="00B55555">
              <w:rPr>
                <w:noProof/>
                <w:webHidden/>
              </w:rPr>
              <w:instrText xml:space="preserve"> PAGEREF _Toc453572224 \h </w:instrText>
            </w:r>
            <w:r>
              <w:rPr>
                <w:noProof/>
                <w:webHidden/>
              </w:rPr>
            </w:r>
            <w:r>
              <w:rPr>
                <w:noProof/>
                <w:webHidden/>
              </w:rPr>
              <w:fldChar w:fldCharType="separate"/>
            </w:r>
            <w:r w:rsidR="005B068E">
              <w:rPr>
                <w:noProof/>
                <w:webHidden/>
              </w:rPr>
              <w:t>502</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Pr>
                <w:noProof/>
                <w:webHidden/>
              </w:rPr>
              <w:fldChar w:fldCharType="begin"/>
            </w:r>
            <w:r w:rsidR="00B55555">
              <w:rPr>
                <w:noProof/>
                <w:webHidden/>
              </w:rPr>
              <w:instrText xml:space="preserve"> PAGEREF _Toc453572225 \h </w:instrText>
            </w:r>
            <w:r>
              <w:rPr>
                <w:noProof/>
                <w:webHidden/>
              </w:rPr>
            </w:r>
            <w:r>
              <w:rPr>
                <w:noProof/>
                <w:webHidden/>
              </w:rPr>
              <w:fldChar w:fldCharType="separate"/>
            </w:r>
            <w:r w:rsidR="005B068E">
              <w:rPr>
                <w:noProof/>
                <w:webHidden/>
              </w:rPr>
              <w:t>502</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Pr>
                <w:noProof/>
                <w:webHidden/>
              </w:rPr>
              <w:fldChar w:fldCharType="begin"/>
            </w:r>
            <w:r w:rsidR="00B55555">
              <w:rPr>
                <w:noProof/>
                <w:webHidden/>
              </w:rPr>
              <w:instrText xml:space="preserve"> PAGEREF _Toc453572226 \h </w:instrText>
            </w:r>
            <w:r>
              <w:rPr>
                <w:noProof/>
                <w:webHidden/>
              </w:rPr>
            </w:r>
            <w:r>
              <w:rPr>
                <w:noProof/>
                <w:webHidden/>
              </w:rPr>
              <w:fldChar w:fldCharType="separate"/>
            </w:r>
            <w:r w:rsidR="005B068E">
              <w:rPr>
                <w:noProof/>
                <w:webHidden/>
              </w:rPr>
              <w:t>506</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Pr>
                <w:noProof/>
                <w:webHidden/>
              </w:rPr>
              <w:fldChar w:fldCharType="begin"/>
            </w:r>
            <w:r w:rsidR="00B55555">
              <w:rPr>
                <w:noProof/>
                <w:webHidden/>
              </w:rPr>
              <w:instrText xml:space="preserve"> PAGEREF _Toc453572227 \h </w:instrText>
            </w:r>
            <w:r>
              <w:rPr>
                <w:noProof/>
                <w:webHidden/>
              </w:rPr>
            </w:r>
            <w:r>
              <w:rPr>
                <w:noProof/>
                <w:webHidden/>
              </w:rPr>
              <w:fldChar w:fldCharType="separate"/>
            </w:r>
            <w:r w:rsidR="005B068E">
              <w:rPr>
                <w:noProof/>
                <w:webHidden/>
              </w:rPr>
              <w:t>507</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Pr>
                <w:noProof/>
                <w:webHidden/>
              </w:rPr>
              <w:fldChar w:fldCharType="begin"/>
            </w:r>
            <w:r w:rsidR="00B55555">
              <w:rPr>
                <w:noProof/>
                <w:webHidden/>
              </w:rPr>
              <w:instrText xml:space="preserve"> PAGEREF _Toc453572228 \h </w:instrText>
            </w:r>
            <w:r>
              <w:rPr>
                <w:noProof/>
                <w:webHidden/>
              </w:rPr>
            </w:r>
            <w:r>
              <w:rPr>
                <w:noProof/>
                <w:webHidden/>
              </w:rPr>
              <w:fldChar w:fldCharType="separate"/>
            </w:r>
            <w:r w:rsidR="005B068E">
              <w:rPr>
                <w:noProof/>
                <w:webHidden/>
              </w:rPr>
              <w:t>510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Pr>
                <w:noProof/>
                <w:webHidden/>
              </w:rPr>
              <w:fldChar w:fldCharType="begin"/>
            </w:r>
            <w:r w:rsidR="00B55555">
              <w:rPr>
                <w:noProof/>
                <w:webHidden/>
              </w:rPr>
              <w:instrText xml:space="preserve"> PAGEREF _Toc453572229 \h </w:instrText>
            </w:r>
            <w:r>
              <w:rPr>
                <w:noProof/>
                <w:webHidden/>
              </w:rPr>
            </w:r>
            <w:r>
              <w:rPr>
                <w:noProof/>
                <w:webHidden/>
              </w:rPr>
              <w:fldChar w:fldCharType="separate"/>
            </w:r>
            <w:r w:rsidR="005B068E">
              <w:rPr>
                <w:noProof/>
                <w:webHidden/>
              </w:rPr>
              <w:t>510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Pr>
                <w:noProof/>
                <w:webHidden/>
              </w:rPr>
              <w:fldChar w:fldCharType="begin"/>
            </w:r>
            <w:r w:rsidR="00B55555">
              <w:rPr>
                <w:noProof/>
                <w:webHidden/>
              </w:rPr>
              <w:instrText xml:space="preserve"> PAGEREF _Toc453572230 \h </w:instrText>
            </w:r>
            <w:r>
              <w:rPr>
                <w:noProof/>
                <w:webHidden/>
              </w:rPr>
            </w:r>
            <w:r>
              <w:rPr>
                <w:noProof/>
                <w:webHidden/>
              </w:rPr>
              <w:fldChar w:fldCharType="separate"/>
            </w:r>
            <w:r w:rsidR="005B068E">
              <w:rPr>
                <w:noProof/>
                <w:webHidden/>
              </w:rPr>
              <w:t>511</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Pr>
                <w:noProof/>
                <w:webHidden/>
              </w:rPr>
              <w:fldChar w:fldCharType="begin"/>
            </w:r>
            <w:r w:rsidR="00B55555">
              <w:rPr>
                <w:noProof/>
                <w:webHidden/>
              </w:rPr>
              <w:instrText xml:space="preserve"> PAGEREF _Toc453572231 \h </w:instrText>
            </w:r>
            <w:r>
              <w:rPr>
                <w:noProof/>
                <w:webHidden/>
              </w:rPr>
            </w:r>
            <w:r>
              <w:rPr>
                <w:noProof/>
                <w:webHidden/>
              </w:rPr>
              <w:fldChar w:fldCharType="separate"/>
            </w:r>
            <w:r w:rsidR="005B068E">
              <w:rPr>
                <w:noProof/>
                <w:webHidden/>
              </w:rPr>
              <w:t>515</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Pr>
                <w:noProof/>
                <w:webHidden/>
              </w:rPr>
              <w:fldChar w:fldCharType="begin"/>
            </w:r>
            <w:r w:rsidR="00B55555">
              <w:rPr>
                <w:noProof/>
                <w:webHidden/>
              </w:rPr>
              <w:instrText xml:space="preserve"> PAGEREF _Toc453572232 \h </w:instrText>
            </w:r>
            <w:r>
              <w:rPr>
                <w:noProof/>
                <w:webHidden/>
              </w:rPr>
            </w:r>
            <w:r>
              <w:rPr>
                <w:noProof/>
                <w:webHidden/>
              </w:rPr>
              <w:fldChar w:fldCharType="separate"/>
            </w:r>
            <w:r w:rsidR="005B068E">
              <w:rPr>
                <w:noProof/>
                <w:webHidden/>
              </w:rPr>
              <w:t>515</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Pr>
                <w:noProof/>
                <w:webHidden/>
              </w:rPr>
              <w:fldChar w:fldCharType="begin"/>
            </w:r>
            <w:r w:rsidR="00B55555">
              <w:rPr>
                <w:noProof/>
                <w:webHidden/>
              </w:rPr>
              <w:instrText xml:space="preserve"> PAGEREF _Toc453572233 \h </w:instrText>
            </w:r>
            <w:r>
              <w:rPr>
                <w:noProof/>
                <w:webHidden/>
              </w:rPr>
            </w:r>
            <w:r>
              <w:rPr>
                <w:noProof/>
                <w:webHidden/>
              </w:rPr>
              <w:fldChar w:fldCharType="separate"/>
            </w:r>
            <w:r w:rsidR="005B068E">
              <w:rPr>
                <w:noProof/>
                <w:webHidden/>
              </w:rPr>
              <w:t>516</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Pr>
                <w:noProof/>
                <w:webHidden/>
              </w:rPr>
              <w:fldChar w:fldCharType="begin"/>
            </w:r>
            <w:r w:rsidR="00B55555">
              <w:rPr>
                <w:noProof/>
                <w:webHidden/>
              </w:rPr>
              <w:instrText xml:space="preserve"> PAGEREF _Toc453572234 \h </w:instrText>
            </w:r>
            <w:r>
              <w:rPr>
                <w:noProof/>
                <w:webHidden/>
              </w:rPr>
            </w:r>
            <w:r>
              <w:rPr>
                <w:noProof/>
                <w:webHidden/>
              </w:rPr>
              <w:fldChar w:fldCharType="separate"/>
            </w:r>
            <w:r w:rsidR="005B068E">
              <w:rPr>
                <w:noProof/>
                <w:webHidden/>
              </w:rPr>
              <w:t>517</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Pr>
                <w:noProof/>
                <w:webHidden/>
              </w:rPr>
              <w:fldChar w:fldCharType="begin"/>
            </w:r>
            <w:r w:rsidR="00B55555">
              <w:rPr>
                <w:noProof/>
                <w:webHidden/>
              </w:rPr>
              <w:instrText xml:space="preserve"> PAGEREF _Toc453572235 \h </w:instrText>
            </w:r>
            <w:r>
              <w:rPr>
                <w:noProof/>
                <w:webHidden/>
              </w:rPr>
            </w:r>
            <w:r>
              <w:rPr>
                <w:noProof/>
                <w:webHidden/>
              </w:rPr>
              <w:fldChar w:fldCharType="separate"/>
            </w:r>
            <w:r w:rsidR="005B068E">
              <w:rPr>
                <w:noProof/>
                <w:webHidden/>
              </w:rPr>
              <w:t>520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Pr>
                <w:noProof/>
                <w:webHidden/>
              </w:rPr>
              <w:fldChar w:fldCharType="begin"/>
            </w:r>
            <w:r w:rsidR="00B55555">
              <w:rPr>
                <w:noProof/>
                <w:webHidden/>
              </w:rPr>
              <w:instrText xml:space="preserve"> PAGEREF _Toc453572236 \h </w:instrText>
            </w:r>
            <w:r>
              <w:rPr>
                <w:noProof/>
                <w:webHidden/>
              </w:rPr>
            </w:r>
            <w:r>
              <w:rPr>
                <w:noProof/>
                <w:webHidden/>
              </w:rPr>
              <w:fldChar w:fldCharType="separate"/>
            </w:r>
            <w:r w:rsidR="005B068E">
              <w:rPr>
                <w:noProof/>
                <w:webHidden/>
              </w:rPr>
              <w:t>520</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Pr>
                <w:noProof/>
                <w:webHidden/>
              </w:rPr>
              <w:fldChar w:fldCharType="begin"/>
            </w:r>
            <w:r w:rsidR="00B55555">
              <w:rPr>
                <w:noProof/>
                <w:webHidden/>
              </w:rPr>
              <w:instrText xml:space="preserve"> PAGEREF _Toc453572237 \h </w:instrText>
            </w:r>
            <w:r>
              <w:rPr>
                <w:noProof/>
                <w:webHidden/>
              </w:rPr>
            </w:r>
            <w:r>
              <w:rPr>
                <w:noProof/>
                <w:webHidden/>
              </w:rPr>
              <w:fldChar w:fldCharType="separate"/>
            </w:r>
            <w:r w:rsidR="005B068E">
              <w:rPr>
                <w:noProof/>
                <w:webHidden/>
              </w:rPr>
              <w:t>523</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Pr>
                <w:noProof/>
                <w:webHidden/>
              </w:rPr>
              <w:fldChar w:fldCharType="begin"/>
            </w:r>
            <w:r w:rsidR="00B55555">
              <w:rPr>
                <w:noProof/>
                <w:webHidden/>
              </w:rPr>
              <w:instrText xml:space="preserve"> PAGEREF _Toc453572238 \h </w:instrText>
            </w:r>
            <w:r>
              <w:rPr>
                <w:noProof/>
                <w:webHidden/>
              </w:rPr>
            </w:r>
            <w:r>
              <w:rPr>
                <w:noProof/>
                <w:webHidden/>
              </w:rPr>
              <w:fldChar w:fldCharType="separate"/>
            </w:r>
            <w:r w:rsidR="005B068E">
              <w:rPr>
                <w:noProof/>
                <w:webHidden/>
              </w:rPr>
              <w:t>524</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Pr>
                <w:noProof/>
                <w:webHidden/>
              </w:rPr>
              <w:fldChar w:fldCharType="begin"/>
            </w:r>
            <w:r w:rsidR="00B55555">
              <w:rPr>
                <w:noProof/>
                <w:webHidden/>
              </w:rPr>
              <w:instrText xml:space="preserve"> PAGEREF _Toc453572239 \h </w:instrText>
            </w:r>
            <w:r>
              <w:rPr>
                <w:noProof/>
                <w:webHidden/>
              </w:rPr>
            </w:r>
            <w:r>
              <w:rPr>
                <w:noProof/>
                <w:webHidden/>
              </w:rPr>
              <w:fldChar w:fldCharType="separate"/>
            </w:r>
            <w:r w:rsidR="005B068E">
              <w:rPr>
                <w:noProof/>
                <w:webHidden/>
              </w:rPr>
              <w:t>524</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Pr>
                <w:noProof/>
                <w:webHidden/>
              </w:rPr>
              <w:fldChar w:fldCharType="begin"/>
            </w:r>
            <w:r w:rsidR="00B55555">
              <w:rPr>
                <w:noProof/>
                <w:webHidden/>
              </w:rPr>
              <w:instrText xml:space="preserve"> PAGEREF _Toc453572240 \h </w:instrText>
            </w:r>
            <w:r>
              <w:rPr>
                <w:noProof/>
                <w:webHidden/>
              </w:rPr>
            </w:r>
            <w:r>
              <w:rPr>
                <w:noProof/>
                <w:webHidden/>
              </w:rPr>
              <w:fldChar w:fldCharType="separate"/>
            </w:r>
            <w:r w:rsidR="005B068E">
              <w:rPr>
                <w:noProof/>
                <w:webHidden/>
              </w:rPr>
              <w:t>524</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Pr>
                <w:noProof/>
                <w:webHidden/>
              </w:rPr>
              <w:fldChar w:fldCharType="begin"/>
            </w:r>
            <w:r w:rsidR="00B55555">
              <w:rPr>
                <w:noProof/>
                <w:webHidden/>
              </w:rPr>
              <w:instrText xml:space="preserve"> PAGEREF _Toc453572241 \h </w:instrText>
            </w:r>
            <w:r>
              <w:rPr>
                <w:noProof/>
                <w:webHidden/>
              </w:rPr>
            </w:r>
            <w:r>
              <w:rPr>
                <w:noProof/>
                <w:webHidden/>
              </w:rPr>
              <w:fldChar w:fldCharType="separate"/>
            </w:r>
            <w:r w:rsidR="005B068E">
              <w:rPr>
                <w:noProof/>
                <w:webHidden/>
              </w:rPr>
              <w:t>525</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Pr>
                <w:noProof/>
                <w:webHidden/>
              </w:rPr>
              <w:fldChar w:fldCharType="begin"/>
            </w:r>
            <w:r w:rsidR="00B55555">
              <w:rPr>
                <w:noProof/>
                <w:webHidden/>
              </w:rPr>
              <w:instrText xml:space="preserve"> PAGEREF _Toc453572242 \h </w:instrText>
            </w:r>
            <w:r>
              <w:rPr>
                <w:noProof/>
                <w:webHidden/>
              </w:rPr>
            </w:r>
            <w:r>
              <w:rPr>
                <w:noProof/>
                <w:webHidden/>
              </w:rPr>
              <w:fldChar w:fldCharType="separate"/>
            </w:r>
            <w:r w:rsidR="005B068E">
              <w:rPr>
                <w:noProof/>
                <w:webHidden/>
              </w:rPr>
              <w:t>527</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Pr>
                <w:noProof/>
                <w:webHidden/>
              </w:rPr>
              <w:fldChar w:fldCharType="begin"/>
            </w:r>
            <w:r w:rsidR="00B55555">
              <w:rPr>
                <w:noProof/>
                <w:webHidden/>
              </w:rPr>
              <w:instrText xml:space="preserve"> PAGEREF _Toc453572243 \h </w:instrText>
            </w:r>
            <w:r>
              <w:rPr>
                <w:noProof/>
                <w:webHidden/>
              </w:rPr>
            </w:r>
            <w:r>
              <w:rPr>
                <w:noProof/>
                <w:webHidden/>
              </w:rPr>
              <w:fldChar w:fldCharType="separate"/>
            </w:r>
            <w:r w:rsidR="005B068E">
              <w:rPr>
                <w:noProof/>
                <w:webHidden/>
              </w:rPr>
              <w:t>528</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Pr>
                <w:noProof/>
                <w:webHidden/>
              </w:rPr>
              <w:fldChar w:fldCharType="begin"/>
            </w:r>
            <w:r w:rsidR="00B55555">
              <w:rPr>
                <w:noProof/>
                <w:webHidden/>
              </w:rPr>
              <w:instrText xml:space="preserve"> PAGEREF _Toc453572244 \h </w:instrText>
            </w:r>
            <w:r>
              <w:rPr>
                <w:noProof/>
                <w:webHidden/>
              </w:rPr>
            </w:r>
            <w:r>
              <w:rPr>
                <w:noProof/>
                <w:webHidden/>
              </w:rPr>
              <w:fldChar w:fldCharType="separate"/>
            </w:r>
            <w:r w:rsidR="005B068E">
              <w:rPr>
                <w:noProof/>
                <w:webHidden/>
              </w:rPr>
              <w:t>529</w:t>
            </w:r>
            <w:r>
              <w:rPr>
                <w:noProof/>
                <w:webHidden/>
              </w:rPr>
              <w:fldChar w:fldCharType="end"/>
            </w:r>
          </w:hyperlink>
        </w:p>
        <w:p w:rsidR="00B55555" w:rsidRDefault="00810E1B">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Pr>
                <w:noProof/>
                <w:webHidden/>
              </w:rPr>
              <w:fldChar w:fldCharType="begin"/>
            </w:r>
            <w:r w:rsidR="00B55555">
              <w:rPr>
                <w:noProof/>
                <w:webHidden/>
              </w:rPr>
              <w:instrText xml:space="preserve"> PAGEREF _Toc453572245 \h </w:instrText>
            </w:r>
            <w:r>
              <w:rPr>
                <w:noProof/>
                <w:webHidden/>
              </w:rPr>
            </w:r>
            <w:r>
              <w:rPr>
                <w:noProof/>
                <w:webHidden/>
              </w:rPr>
              <w:fldChar w:fldCharType="separate"/>
            </w:r>
            <w:r w:rsidR="005B068E">
              <w:rPr>
                <w:noProof/>
                <w:webHidden/>
              </w:rPr>
              <w:t>532</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Pr>
                <w:noProof/>
                <w:webHidden/>
              </w:rPr>
              <w:fldChar w:fldCharType="begin"/>
            </w:r>
            <w:r w:rsidR="00B55555">
              <w:rPr>
                <w:noProof/>
                <w:webHidden/>
              </w:rPr>
              <w:instrText xml:space="preserve"> PAGEREF _Toc453572246 \h </w:instrText>
            </w:r>
            <w:r>
              <w:rPr>
                <w:noProof/>
                <w:webHidden/>
              </w:rPr>
            </w:r>
            <w:r>
              <w:rPr>
                <w:noProof/>
                <w:webHidden/>
              </w:rPr>
              <w:fldChar w:fldCharType="separate"/>
            </w:r>
            <w:r w:rsidR="005B068E">
              <w:rPr>
                <w:noProof/>
                <w:webHidden/>
              </w:rPr>
              <w:t>532</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Pr>
                <w:noProof/>
                <w:webHidden/>
              </w:rPr>
              <w:fldChar w:fldCharType="begin"/>
            </w:r>
            <w:r w:rsidR="00B55555">
              <w:rPr>
                <w:noProof/>
                <w:webHidden/>
              </w:rPr>
              <w:instrText xml:space="preserve"> PAGEREF _Toc453572247 \h </w:instrText>
            </w:r>
            <w:r>
              <w:rPr>
                <w:noProof/>
                <w:webHidden/>
              </w:rPr>
            </w:r>
            <w:r>
              <w:rPr>
                <w:noProof/>
                <w:webHidden/>
              </w:rPr>
              <w:fldChar w:fldCharType="separate"/>
            </w:r>
            <w:r w:rsidR="005B068E">
              <w:rPr>
                <w:noProof/>
                <w:webHidden/>
              </w:rPr>
              <w:t>534</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Pr>
                <w:noProof/>
                <w:webHidden/>
              </w:rPr>
              <w:fldChar w:fldCharType="begin"/>
            </w:r>
            <w:r w:rsidR="00B55555">
              <w:rPr>
                <w:noProof/>
                <w:webHidden/>
              </w:rPr>
              <w:instrText xml:space="preserve"> PAGEREF _Toc453572248 \h </w:instrText>
            </w:r>
            <w:r>
              <w:rPr>
                <w:noProof/>
                <w:webHidden/>
              </w:rPr>
            </w:r>
            <w:r>
              <w:rPr>
                <w:noProof/>
                <w:webHidden/>
              </w:rPr>
              <w:fldChar w:fldCharType="separate"/>
            </w:r>
            <w:r w:rsidR="005B068E">
              <w:rPr>
                <w:noProof/>
                <w:webHidden/>
              </w:rPr>
              <w:t>535</w:t>
            </w:r>
            <w:r>
              <w:rPr>
                <w:noProof/>
                <w:webHidden/>
              </w:rPr>
              <w:fldChar w:fldCharType="end"/>
            </w:r>
          </w:hyperlink>
        </w:p>
        <w:p w:rsidR="00B55555" w:rsidRDefault="00810E1B">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Pr>
                <w:noProof/>
                <w:webHidden/>
              </w:rPr>
              <w:fldChar w:fldCharType="begin"/>
            </w:r>
            <w:r w:rsidR="00B55555">
              <w:rPr>
                <w:noProof/>
                <w:webHidden/>
              </w:rPr>
              <w:instrText xml:space="preserve"> PAGEREF _Toc453572249 \h </w:instrText>
            </w:r>
            <w:r>
              <w:rPr>
                <w:noProof/>
                <w:webHidden/>
              </w:rPr>
            </w:r>
            <w:r>
              <w:rPr>
                <w:noProof/>
                <w:webHidden/>
              </w:rPr>
              <w:fldChar w:fldCharType="separate"/>
            </w:r>
            <w:r w:rsidR="005B068E">
              <w:rPr>
                <w:noProof/>
                <w:webHidden/>
              </w:rPr>
              <w:t>536</w:t>
            </w:r>
            <w:r>
              <w:rPr>
                <w:noProof/>
                <w:webHidden/>
              </w:rPr>
              <w:fldChar w:fldCharType="end"/>
            </w:r>
          </w:hyperlink>
        </w:p>
        <w:p w:rsidR="00B55555" w:rsidRDefault="00810E1B">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Pr>
                <w:noProof/>
                <w:webHidden/>
              </w:rPr>
              <w:fldChar w:fldCharType="begin"/>
            </w:r>
            <w:r w:rsidR="00B55555">
              <w:rPr>
                <w:noProof/>
                <w:webHidden/>
              </w:rPr>
              <w:instrText xml:space="preserve"> PAGEREF _Toc453572250 \h </w:instrText>
            </w:r>
            <w:r>
              <w:rPr>
                <w:noProof/>
                <w:webHidden/>
              </w:rPr>
            </w:r>
            <w:r>
              <w:rPr>
                <w:noProof/>
                <w:webHidden/>
              </w:rPr>
              <w:fldChar w:fldCharType="separate"/>
            </w:r>
            <w:r w:rsidR="005B068E">
              <w:rPr>
                <w:noProof/>
                <w:webHidden/>
              </w:rPr>
              <w:t>538</w:t>
            </w:r>
            <w:r>
              <w:rPr>
                <w:noProof/>
                <w:webHidden/>
              </w:rPr>
              <w:fldChar w:fldCharType="end"/>
            </w:r>
          </w:hyperlink>
        </w:p>
        <w:p w:rsidR="00BA376C" w:rsidRPr="00BA376C" w:rsidRDefault="00810E1B">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0"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1" w:name="_Toc420998321"/>
    </w:p>
    <w:p w:rsidR="0032251B" w:rsidRPr="00DB4FBC" w:rsidRDefault="00454195" w:rsidP="00454195">
      <w:pPr>
        <w:pStyle w:val="Nagwek2"/>
        <w:jc w:val="left"/>
        <w:rPr>
          <w:rFonts w:asciiTheme="minorHAnsi" w:eastAsia="Times New Roman" w:hAnsiTheme="minorHAnsi"/>
          <w:bCs/>
          <w:sz w:val="28"/>
          <w:szCs w:val="28"/>
        </w:rPr>
      </w:pPr>
      <w:bookmarkStart w:id="2"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w okresie tym przy jego realizacji przestrzegano 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4" w:name="_Toc453572172"/>
      <w:r w:rsidRPr="00DB4FBC">
        <w:rPr>
          <w:rFonts w:asciiTheme="minorHAnsi" w:eastAsia="Times New Roman" w:hAnsiTheme="minorHAnsi" w:cs="Arial"/>
          <w:color w:val="000000" w:themeColor="text1"/>
          <w:u w:val="single"/>
        </w:rPr>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przedstawienie wyników osiąganych w przeszłości przez jednostkę 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wydanego przez właściwy urząd gminy. Zaświadczenie obligatoryjnie zawiera: </w:t>
            </w:r>
          </w:p>
          <w:p w:rsidR="0050068A" w:rsidRDefault="006F1777" w:rsidP="00A136E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50068A" w:rsidRDefault="006F1777" w:rsidP="00A136E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50068A" w:rsidRDefault="006F1777" w:rsidP="00A136E7">
            <w:pPr>
              <w:pStyle w:val="Akapitzlist"/>
              <w:numPr>
                <w:ilvl w:val="0"/>
                <w:numId w:val="199"/>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687922" w:rsidRPr="00C52BEB" w:rsidRDefault="00687922" w:rsidP="00A136E7">
      <w:pPr>
        <w:numPr>
          <w:ilvl w:val="0"/>
          <w:numId w:val="279"/>
        </w:numPr>
        <w:autoSpaceDE w:val="0"/>
        <w:autoSpaceDN w:val="0"/>
        <w:adjustRightInd w:val="0"/>
        <w:spacing w:after="0" w:line="240" w:lineRule="auto"/>
        <w:ind w:hanging="720"/>
        <w:jc w:val="both"/>
        <w:rPr>
          <w:rFonts w:cs="Calibri"/>
          <w:color w:val="000000"/>
        </w:rPr>
      </w:pPr>
      <w:r w:rsidRPr="00C52BEB">
        <w:rPr>
          <w:rFonts w:cs="Calibri"/>
          <w:color w:val="000000"/>
        </w:rPr>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50068A" w:rsidRDefault="00687922" w:rsidP="00A136E7">
      <w:pPr>
        <w:numPr>
          <w:ilvl w:val="0"/>
          <w:numId w:val="279"/>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687922" w:rsidRPr="00C52BEB" w:rsidRDefault="00687922" w:rsidP="00A136E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687922" w:rsidRPr="00C52BEB" w:rsidRDefault="00687922" w:rsidP="00A136E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687922" w:rsidRPr="00C52BEB" w:rsidRDefault="00687922" w:rsidP="00A136E7">
      <w:pPr>
        <w:pStyle w:val="Akapitzlist"/>
        <w:numPr>
          <w:ilvl w:val="0"/>
          <w:numId w:val="278"/>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136E7">
      <w:pPr>
        <w:numPr>
          <w:ilvl w:val="0"/>
          <w:numId w:val="280"/>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(spełnienie jest niezbędne dla 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5"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5"/>
    </w:p>
    <w:p w:rsidR="002E0447" w:rsidRPr="00DD2B9D" w:rsidRDefault="00123D47" w:rsidP="008F382F">
      <w:pPr>
        <w:rPr>
          <w:rFonts w:eastAsia="Times New Roman" w:cs="Tahoma"/>
          <w:b/>
          <w:kern w:val="1"/>
          <w:u w:val="single"/>
        </w:rPr>
      </w:pPr>
      <w:bookmarkStart w:id="6"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6"/>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Działanie 6.2 Inwestycje w infrastrukturę zdrowotna (Narzędzie 13 Policy Paper –ONKOLOGIA) </w:t>
      </w:r>
    </w:p>
    <w:p w:rsidR="00205260" w:rsidRPr="00205260" w:rsidRDefault="00205260" w:rsidP="00205260">
      <w:pPr>
        <w:spacing w:line="360" w:lineRule="auto"/>
        <w:rPr>
          <w:rFonts w:eastAsia="Times New Roman" w:cs="Arial"/>
          <w:b/>
          <w:bCs/>
          <w:iCs/>
          <w:u w:val="single"/>
        </w:rPr>
      </w:pPr>
      <w:r w:rsidRPr="00205260">
        <w:rPr>
          <w:rFonts w:eastAsia="Times New Roman" w:cs="Arial"/>
          <w:b/>
          <w:bCs/>
          <w:iCs/>
          <w:u w:val="single"/>
        </w:rPr>
        <w:t>Typ 6.2.A</w:t>
      </w:r>
      <w:r w:rsidRPr="00205260">
        <w:rPr>
          <w:rFonts w:eastAsia="Times New Roman" w:cs="Arial"/>
          <w:b/>
          <w:bCs/>
          <w:iCs/>
        </w:rPr>
        <w:t xml:space="preserve"> przeprowadzeni</w:t>
      </w:r>
      <w:r w:rsidR="00A136E7">
        <w:rPr>
          <w:rFonts w:eastAsia="Times New Roman" w:cs="Arial"/>
          <w:b/>
          <w:bCs/>
          <w:iCs/>
        </w:rPr>
        <w:t>e</w:t>
      </w:r>
      <w:r w:rsidRPr="00205260">
        <w:rPr>
          <w:rFonts w:eastAsia="Times New Roman" w:cs="Arial"/>
          <w:b/>
          <w:bCs/>
          <w:iCs/>
        </w:rPr>
        <w:t xml:space="preserve"> niezbędnych, z punktu widzenia udzielania świadczeń zdrowotnych, prac remontowo-budowlanych, w tym w zakresie dostosowania infrastruktury do potrzeb osób starszych i niepełnosprawnych,</w:t>
      </w:r>
    </w:p>
    <w:p w:rsidR="00205260" w:rsidRPr="00205260" w:rsidRDefault="00205260" w:rsidP="00205260">
      <w:pPr>
        <w:spacing w:line="360" w:lineRule="auto"/>
        <w:rPr>
          <w:rFonts w:eastAsia="Times New Roman" w:cs="Arial"/>
          <w:b/>
          <w:bCs/>
          <w:iCs/>
          <w:u w:val="single"/>
        </w:rPr>
      </w:pPr>
      <w:r w:rsidRPr="00205260">
        <w:rPr>
          <w:rFonts w:eastAsia="Times New Roman" w:cs="Arial"/>
          <w:b/>
          <w:bCs/>
          <w:iCs/>
          <w:u w:val="single"/>
        </w:rPr>
        <w:t xml:space="preserve">Typ 6.2.B </w:t>
      </w:r>
      <w:r w:rsidRPr="00205260">
        <w:rPr>
          <w:rFonts w:eastAsia="Times New Roman" w:cs="Arial"/>
          <w:b/>
          <w:bCs/>
          <w:iCs/>
        </w:rPr>
        <w:t>wyposażeni</w:t>
      </w:r>
      <w:r w:rsidR="00A136E7">
        <w:rPr>
          <w:rFonts w:eastAsia="Times New Roman" w:cs="Arial"/>
          <w:b/>
          <w:bCs/>
          <w:iCs/>
        </w:rPr>
        <w:t>e</w:t>
      </w:r>
      <w:bookmarkStart w:id="7" w:name="_GoBack"/>
      <w:bookmarkEnd w:id="7"/>
      <w:r w:rsidRPr="00205260">
        <w:rPr>
          <w:rFonts w:eastAsia="Times New Roman" w:cs="Arial"/>
          <w:b/>
          <w:bCs/>
          <w:iCs/>
        </w:rPr>
        <w:t xml:space="preserve"> w sprzęt medyczny.</w:t>
      </w:r>
    </w:p>
    <w:p w:rsidR="00205260" w:rsidRPr="00205260" w:rsidRDefault="00205260" w:rsidP="00205260">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4"/>
        <w:gridCol w:w="6378"/>
        <w:gridCol w:w="3972"/>
      </w:tblGrid>
      <w:tr w:rsidR="00205260" w:rsidRPr="00205260" w:rsidTr="005B068E">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Opis znaczenia kryterium</w:t>
            </w: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205260" w:rsidRPr="00205260" w:rsidRDefault="00205260" w:rsidP="00205260">
            <w:pPr>
              <w:spacing w:line="360" w:lineRule="auto"/>
              <w:rPr>
                <w:rFonts w:eastAsia="Times New Roman" w:cs="Arial"/>
                <w:b/>
                <w:bCs/>
                <w:iCs/>
              </w:rPr>
            </w:pPr>
            <w:r w:rsidRPr="00205260">
              <w:rPr>
                <w:rFonts w:eastAsia="Times New Roman" w:cs="Arial"/>
                <w:b/>
                <w:bCs/>
                <w:iCs/>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205260" w:rsidRPr="00205260" w:rsidRDefault="00205260" w:rsidP="00205260">
            <w:pPr>
              <w:spacing w:line="360" w:lineRule="auto"/>
              <w:rPr>
                <w:rFonts w:eastAsia="Times New Roman" w:cs="Arial"/>
                <w:b/>
                <w:bCs/>
                <w:iCs/>
              </w:rPr>
            </w:pPr>
            <w:r w:rsidRPr="00205260">
              <w:rPr>
                <w:rFonts w:eastAsia="Times New Roman" w:cs="Arial"/>
                <w:b/>
                <w:bCs/>
                <w:iCs/>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r w:rsidRPr="00205260">
              <w:rPr>
                <w:rFonts w:eastAsia="Times New Roman" w:cs="Arial"/>
                <w:b/>
                <w:bCs/>
                <w:iCs/>
              </w:rPr>
              <w:br/>
              <w:t>oznacza odrzucenie wniosku)</w:t>
            </w:r>
          </w:p>
          <w:p w:rsidR="00205260" w:rsidRPr="00205260" w:rsidRDefault="00205260" w:rsidP="00205260">
            <w:pPr>
              <w:spacing w:line="360" w:lineRule="auto"/>
              <w:rPr>
                <w:rFonts w:eastAsia="Times New Roman" w:cs="Arial"/>
                <w:b/>
                <w:bCs/>
                <w:iCs/>
              </w:rPr>
            </w:pP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W ramach kryterium wnioskodawca zobowiązany jest dołączyć do wniosku o dofinansowanie pozytywną opinie wojewody o celowości realizacji inwestycji, o której mowa w ustawie o świadczeniach opieki zdrowotnej finansowanych ze środków publicznych.</w:t>
            </w: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p>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p>
          <w:p w:rsidR="00205260" w:rsidRPr="00205260" w:rsidRDefault="00205260" w:rsidP="00205260">
            <w:pPr>
              <w:spacing w:line="360" w:lineRule="auto"/>
              <w:rPr>
                <w:rFonts w:eastAsia="Times New Roman" w:cs="Arial"/>
                <w:b/>
                <w:bCs/>
                <w:iCs/>
              </w:rPr>
            </w:pPr>
            <w:r w:rsidRPr="00205260">
              <w:rPr>
                <w:rFonts w:eastAsia="Times New Roman" w:cs="Arial"/>
                <w:b/>
                <w:bCs/>
                <w:iCs/>
              </w:rPr>
              <w:t>oznacza odrzucenie wniosku)</w:t>
            </w: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205260" w:rsidRPr="00205260" w:rsidRDefault="00205260" w:rsidP="00205260">
            <w:pPr>
              <w:spacing w:line="360" w:lineRule="auto"/>
              <w:rPr>
                <w:rFonts w:eastAsia="Times New Roman" w:cs="Arial"/>
                <w:b/>
                <w:bCs/>
                <w:iCs/>
              </w:rPr>
            </w:pPr>
            <w:r w:rsidRPr="00205260">
              <w:rPr>
                <w:rFonts w:eastAsia="Times New Roman" w:cs="Arial"/>
                <w:b/>
                <w:bCs/>
                <w:iCs/>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r w:rsidR="00C15449" w:rsidRPr="00C15449">
              <w:rPr>
                <w:rFonts w:eastAsia="Times New Roman" w:cs="Arial"/>
                <w:b/>
                <w:bCs/>
                <w:iCs/>
              </w:rPr>
              <w:t>/ Nie dotyczy</w:t>
            </w:r>
          </w:p>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p>
          <w:p w:rsidR="00205260" w:rsidRPr="00205260" w:rsidRDefault="00205260" w:rsidP="00205260">
            <w:pPr>
              <w:spacing w:line="360" w:lineRule="auto"/>
              <w:rPr>
                <w:rFonts w:eastAsia="Times New Roman" w:cs="Arial"/>
                <w:b/>
                <w:bCs/>
                <w:iCs/>
              </w:rPr>
            </w:pPr>
            <w:r w:rsidRPr="00205260">
              <w:rPr>
                <w:rFonts w:eastAsia="Times New Roman" w:cs="Arial"/>
                <w:b/>
                <w:bCs/>
                <w:iCs/>
              </w:rPr>
              <w:t>oznacza odrzucenie wniosku)</w:t>
            </w:r>
          </w:p>
        </w:tc>
      </w:tr>
      <w:tr w:rsidR="00205260" w:rsidRPr="00205260"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205260" w:rsidRPr="00205260" w:rsidRDefault="00205260" w:rsidP="00205260">
            <w:pPr>
              <w:spacing w:line="360" w:lineRule="auto"/>
              <w:rPr>
                <w:rFonts w:eastAsia="Times New Roman" w:cs="Arial"/>
                <w:b/>
                <w:bCs/>
                <w:iCs/>
              </w:rPr>
            </w:pPr>
            <w:r w:rsidRPr="00205260">
              <w:rPr>
                <w:rFonts w:eastAsia="Times New Roman" w:cs="Arial"/>
                <w:b/>
                <w:bCs/>
                <w:iCs/>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205260" w:rsidRDefault="00205260" w:rsidP="00205260">
            <w:pPr>
              <w:spacing w:line="360" w:lineRule="auto"/>
              <w:rPr>
                <w:rFonts w:eastAsia="Times New Roman" w:cs="Arial"/>
                <w:b/>
                <w:bCs/>
                <w:iCs/>
              </w:rPr>
            </w:pPr>
            <w:r w:rsidRPr="00205260">
              <w:rPr>
                <w:rFonts w:eastAsia="Times New Roman" w:cs="Arial"/>
                <w:b/>
                <w:bCs/>
                <w:iCs/>
              </w:rPr>
              <w:t>Tak/Nie</w:t>
            </w:r>
            <w:r w:rsidR="00C15449" w:rsidRPr="00C15449">
              <w:rPr>
                <w:rFonts w:eastAsia="Times New Roman" w:cs="Arial"/>
                <w:b/>
                <w:bCs/>
                <w:iCs/>
              </w:rPr>
              <w:t>/ Nie dotyczy</w:t>
            </w:r>
          </w:p>
          <w:p w:rsidR="00205260" w:rsidRPr="00205260" w:rsidRDefault="00205260" w:rsidP="00205260">
            <w:pPr>
              <w:spacing w:line="360" w:lineRule="auto"/>
              <w:rPr>
                <w:rFonts w:eastAsia="Times New Roman" w:cs="Arial"/>
                <w:b/>
                <w:bCs/>
                <w:iCs/>
              </w:rPr>
            </w:pPr>
          </w:p>
          <w:p w:rsidR="00205260" w:rsidRPr="00205260" w:rsidRDefault="00205260" w:rsidP="00205260">
            <w:pPr>
              <w:spacing w:line="360" w:lineRule="auto"/>
              <w:rPr>
                <w:rFonts w:eastAsia="Times New Roman" w:cs="Arial"/>
                <w:b/>
                <w:bCs/>
                <w:iCs/>
              </w:rPr>
            </w:pPr>
            <w:r w:rsidRPr="00205260">
              <w:rPr>
                <w:rFonts w:eastAsia="Times New Roman" w:cs="Arial"/>
                <w:b/>
                <w:bCs/>
                <w:iCs/>
              </w:rPr>
              <w:t xml:space="preserve">(niespełnienie kryterium </w:t>
            </w:r>
          </w:p>
          <w:p w:rsidR="00205260" w:rsidRPr="00205260" w:rsidRDefault="00205260" w:rsidP="00205260">
            <w:pPr>
              <w:spacing w:line="360" w:lineRule="auto"/>
              <w:rPr>
                <w:rFonts w:eastAsia="Times New Roman" w:cs="Arial"/>
                <w:b/>
                <w:bCs/>
                <w:iCs/>
              </w:rPr>
            </w:pPr>
            <w:r w:rsidRPr="00205260">
              <w:rPr>
                <w:rFonts w:eastAsia="Times New Roman" w:cs="Arial"/>
                <w:b/>
                <w:bCs/>
                <w:iCs/>
              </w:rPr>
              <w:t>oznacza odrzucenie wniosku)</w:t>
            </w:r>
          </w:p>
        </w:tc>
      </w:tr>
    </w:tbl>
    <w:p w:rsidR="00205260" w:rsidRPr="00205260" w:rsidRDefault="00205260" w:rsidP="00205260">
      <w:pPr>
        <w:spacing w:line="360" w:lineRule="auto"/>
        <w:rPr>
          <w:rFonts w:eastAsia="Times New Roman" w:cs="Arial"/>
          <w:b/>
          <w:bCs/>
          <w:iCs/>
        </w:rPr>
      </w:pPr>
    </w:p>
    <w:p w:rsidR="00205260" w:rsidRDefault="00205260"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dla którego 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50068A" w:rsidRDefault="0061430C" w:rsidP="00A136E7">
            <w:pPr>
              <w:numPr>
                <w:ilvl w:val="0"/>
                <w:numId w:val="163"/>
              </w:numPr>
            </w:pPr>
            <w:r>
              <w:t>Z przynajmniej trzema partnerami - 3 pkt;</w:t>
            </w:r>
          </w:p>
          <w:p w:rsidR="0050068A" w:rsidRDefault="0061430C" w:rsidP="00A136E7">
            <w:pPr>
              <w:numPr>
                <w:ilvl w:val="0"/>
                <w:numId w:val="163"/>
              </w:numPr>
            </w:pPr>
            <w:r>
              <w:t xml:space="preserve">Z dwoma partnerami – 2 pkt; </w:t>
            </w:r>
          </w:p>
          <w:p w:rsidR="0050068A" w:rsidRDefault="0061430C" w:rsidP="00A136E7">
            <w:pPr>
              <w:numPr>
                <w:ilvl w:val="0"/>
                <w:numId w:val="163"/>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50068A" w:rsidRDefault="0061430C" w:rsidP="00A136E7">
            <w:pPr>
              <w:pStyle w:val="Akapitzlist"/>
              <w:numPr>
                <w:ilvl w:val="0"/>
                <w:numId w:val="164"/>
              </w:numPr>
              <w:jc w:val="both"/>
            </w:pPr>
            <w:r>
              <w:t>Partnerzy pochodzą z dwóch sektorów- 1 pkt;</w:t>
            </w:r>
          </w:p>
          <w:p w:rsidR="0050068A" w:rsidRDefault="0061430C" w:rsidP="00A136E7">
            <w:pPr>
              <w:pStyle w:val="Akapitzlist"/>
              <w:numPr>
                <w:ilvl w:val="0"/>
                <w:numId w:val="164"/>
              </w:numPr>
              <w:jc w:val="both"/>
            </w:pPr>
            <w:r>
              <w:t>Partnerzy pochodzą z trzech sektorów – 2 pkt</w:t>
            </w:r>
          </w:p>
          <w:p w:rsidR="0061430C" w:rsidRDefault="0061430C" w:rsidP="0061430C"/>
          <w:p w:rsidR="0061430C" w:rsidRDefault="0061430C" w:rsidP="0061430C">
            <w:pPr>
              <w:rPr>
                <w:u w:val="single"/>
              </w:rPr>
            </w:pPr>
            <w:r>
              <w:rPr>
                <w:u w:val="single"/>
              </w:rPr>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Niespełnienie oznacza odrzucenia 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sprawdza, czy projekt dotyczy infrastruktury badawczej 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Poziom współfinansowania projektu przez 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CA4C42" w:rsidRPr="00CA4C42" w:rsidRDefault="00CA4C42" w:rsidP="00A136E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CA4C42" w:rsidRPr="00CA4C42" w:rsidRDefault="00CA4C42" w:rsidP="00A136E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CA4C42" w:rsidRPr="00CA4C42" w:rsidRDefault="00CA4C42" w:rsidP="00A136E7">
            <w:pPr>
              <w:numPr>
                <w:ilvl w:val="0"/>
                <w:numId w:val="282"/>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50068A" w:rsidRDefault="00E47A25" w:rsidP="00A136E7">
            <w:pPr>
              <w:widowControl w:val="0"/>
              <w:numPr>
                <w:ilvl w:val="0"/>
                <w:numId w:val="23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poniżej 5 punktów procentowych (0 pkt);</w:t>
            </w:r>
          </w:p>
          <w:p w:rsidR="0050068A" w:rsidRDefault="00E47A25" w:rsidP="00A136E7">
            <w:pPr>
              <w:widowControl w:val="0"/>
              <w:numPr>
                <w:ilvl w:val="0"/>
                <w:numId w:val="23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50068A" w:rsidRDefault="00E47A25" w:rsidP="00A136E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50068A" w:rsidRDefault="00E47A25" w:rsidP="00A136E7">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50068A" w:rsidRDefault="00E47A25" w:rsidP="00A136E7">
            <w:pPr>
              <w:widowControl w:val="0"/>
              <w:numPr>
                <w:ilvl w:val="0"/>
                <w:numId w:val="239"/>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50068A" w:rsidRDefault="00E47A25" w:rsidP="00A136E7">
            <w:pPr>
              <w:widowControl w:val="0"/>
              <w:numPr>
                <w:ilvl w:val="0"/>
                <w:numId w:val="240"/>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50068A" w:rsidRDefault="00E47A25" w:rsidP="00A136E7">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50068A" w:rsidRDefault="00E47A25" w:rsidP="00A136E7">
            <w:pPr>
              <w:widowControl w:val="0"/>
              <w:numPr>
                <w:ilvl w:val="0"/>
                <w:numId w:val="241"/>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50068A" w:rsidRDefault="00E47A25" w:rsidP="00A136E7">
            <w:pPr>
              <w:widowControl w:val="0"/>
              <w:numPr>
                <w:ilvl w:val="0"/>
                <w:numId w:val="242"/>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50068A" w:rsidRDefault="00E47A25" w:rsidP="00A136E7">
            <w:pPr>
              <w:widowControl w:val="0"/>
              <w:numPr>
                <w:ilvl w:val="0"/>
                <w:numId w:val="24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50068A" w:rsidRDefault="00E47A25" w:rsidP="00A136E7">
            <w:pPr>
              <w:widowControl w:val="0"/>
              <w:numPr>
                <w:ilvl w:val="0"/>
                <w:numId w:val="24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50068A" w:rsidRDefault="00E47A25" w:rsidP="00A136E7">
            <w:pPr>
              <w:widowControl w:val="0"/>
              <w:numPr>
                <w:ilvl w:val="0"/>
                <w:numId w:val="24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50068A" w:rsidRDefault="00E47A25" w:rsidP="00A136E7">
            <w:pPr>
              <w:widowControl w:val="0"/>
              <w:numPr>
                <w:ilvl w:val="0"/>
                <w:numId w:val="24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50068A" w:rsidRDefault="00E47A25" w:rsidP="00A136E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50068A" w:rsidRDefault="00E47A25" w:rsidP="00A136E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50068A" w:rsidRDefault="00E47A25" w:rsidP="00A136E7">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50068A" w:rsidRDefault="00E47A25" w:rsidP="00A136E7">
            <w:pPr>
              <w:widowControl w:val="0"/>
              <w:numPr>
                <w:ilvl w:val="0"/>
                <w:numId w:val="247"/>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50068A" w:rsidRDefault="00E47A25" w:rsidP="00A136E7">
            <w:pPr>
              <w:widowControl w:val="0"/>
              <w:numPr>
                <w:ilvl w:val="0"/>
                <w:numId w:val="248"/>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50068A" w:rsidRDefault="00E47A25" w:rsidP="00A136E7">
            <w:pPr>
              <w:widowControl w:val="0"/>
              <w:numPr>
                <w:ilvl w:val="0"/>
                <w:numId w:val="246"/>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50068A" w:rsidRDefault="00E47A25" w:rsidP="00A136E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50068A" w:rsidRDefault="00E47A25" w:rsidP="00A136E7">
            <w:pPr>
              <w:widowControl w:val="0"/>
              <w:numPr>
                <w:ilvl w:val="0"/>
                <w:numId w:val="24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50068A" w:rsidRDefault="00E47A25" w:rsidP="00A136E7">
            <w:pPr>
              <w:widowControl w:val="0"/>
              <w:numPr>
                <w:ilvl w:val="0"/>
                <w:numId w:val="247"/>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50068A" w:rsidRDefault="00E47A25" w:rsidP="00A136E7">
            <w:pPr>
              <w:widowControl w:val="0"/>
              <w:numPr>
                <w:ilvl w:val="0"/>
                <w:numId w:val="248"/>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50068A" w:rsidRDefault="00E47A25" w:rsidP="00A136E7">
            <w:pPr>
              <w:widowControl w:val="0"/>
              <w:numPr>
                <w:ilvl w:val="0"/>
                <w:numId w:val="243"/>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50068A" w:rsidRDefault="00E47A25" w:rsidP="00A136E7">
            <w:pPr>
              <w:widowControl w:val="0"/>
              <w:numPr>
                <w:ilvl w:val="0"/>
                <w:numId w:val="249"/>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50068A" w:rsidRDefault="00E47A25" w:rsidP="00A136E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50068A" w:rsidRDefault="00E47A25" w:rsidP="00A136E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50068A" w:rsidRDefault="00E47A25" w:rsidP="00A136E7">
            <w:pPr>
              <w:widowControl w:val="0"/>
              <w:numPr>
                <w:ilvl w:val="0"/>
                <w:numId w:val="24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4E0C7C" w:rsidRPr="009133C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4E0C7C" w:rsidRPr="009133C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4E0C7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4E0C7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nie – 0 pkt.;</w:t>
            </w:r>
          </w:p>
          <w:p w:rsidR="004E0C7C" w:rsidRDefault="004E0C7C" w:rsidP="00A136E7">
            <w:pPr>
              <w:pStyle w:val="Akapitzlist"/>
              <w:numPr>
                <w:ilvl w:val="0"/>
                <w:numId w:val="282"/>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4E0C7C" w:rsidRDefault="004E0C7C" w:rsidP="00A136E7">
            <w:pPr>
              <w:pStyle w:val="Akapitzlist"/>
              <w:numPr>
                <w:ilvl w:val="0"/>
                <w:numId w:val="284"/>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4E0C7C" w:rsidRPr="0089354D" w:rsidRDefault="004E0C7C" w:rsidP="00A136E7">
            <w:pPr>
              <w:pStyle w:val="Akapitzlist"/>
              <w:numPr>
                <w:ilvl w:val="0"/>
                <w:numId w:val="284"/>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4E0C7C"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Pr>
                <w:rFonts w:cs="Arial"/>
              </w:rPr>
              <w:t>46-60 wspartych przedsiębiorstw – 3 pkt.;</w:t>
            </w:r>
          </w:p>
          <w:p w:rsidR="004E0C7C" w:rsidRPr="00272E34" w:rsidRDefault="004E0C7C" w:rsidP="00A136E7">
            <w:pPr>
              <w:pStyle w:val="Akapitzlist"/>
              <w:numPr>
                <w:ilvl w:val="0"/>
                <w:numId w:val="283"/>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W przypadku projektów partnerskich,  liczba punktów będzie wyliczana na podstawie danych dla poszczególnych partnerów, 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 procesów biznesowych 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50068A" w:rsidRDefault="00B1036B" w:rsidP="00A136E7">
            <w:pPr>
              <w:numPr>
                <w:ilvl w:val="0"/>
                <w:numId w:val="165"/>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50068A" w:rsidRDefault="0050068A" w:rsidP="00A136E7">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50068A" w:rsidRDefault="00B1036B" w:rsidP="00A136E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50068A" w:rsidRDefault="00B1036B" w:rsidP="00A136E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50068A" w:rsidRDefault="00B1036B" w:rsidP="00A136E7">
            <w:pPr>
              <w:numPr>
                <w:ilvl w:val="0"/>
                <w:numId w:val="165"/>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50068A" w:rsidRDefault="00B1036B" w:rsidP="00A136E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50068A" w:rsidRDefault="00B1036B" w:rsidP="00A136E7">
            <w:pPr>
              <w:numPr>
                <w:ilvl w:val="0"/>
                <w:numId w:val="165"/>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50068A" w:rsidRDefault="00B1036B" w:rsidP="00A136E7">
            <w:pPr>
              <w:numPr>
                <w:ilvl w:val="0"/>
                <w:numId w:val="165"/>
              </w:numPr>
              <w:tabs>
                <w:tab w:val="right" w:pos="5532"/>
              </w:tabs>
              <w:spacing w:after="0" w:line="240" w:lineRule="auto"/>
            </w:pPr>
            <w:r w:rsidRPr="00B1036B">
              <w:t xml:space="preserve">do  1,4: </w:t>
            </w:r>
            <w:r w:rsidRPr="00B1036B">
              <w:tab/>
              <w:t xml:space="preserve"> 3 pkt </w:t>
            </w:r>
          </w:p>
          <w:p w:rsidR="0050068A" w:rsidRDefault="00B1036B" w:rsidP="00A136E7">
            <w:pPr>
              <w:numPr>
                <w:ilvl w:val="0"/>
                <w:numId w:val="165"/>
              </w:numPr>
              <w:tabs>
                <w:tab w:val="right" w:pos="5532"/>
              </w:tabs>
              <w:spacing w:after="0" w:line="240" w:lineRule="auto"/>
            </w:pPr>
            <w:r w:rsidRPr="00B1036B">
              <w:t xml:space="preserve">powyżej 1,4 do 2,0: </w:t>
            </w:r>
            <w:r w:rsidRPr="00B1036B">
              <w:tab/>
              <w:t xml:space="preserve"> 1 pkt </w:t>
            </w:r>
          </w:p>
          <w:p w:rsidR="0050068A" w:rsidRDefault="00B1036B" w:rsidP="00A136E7">
            <w:pPr>
              <w:numPr>
                <w:ilvl w:val="0"/>
                <w:numId w:val="165"/>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t xml:space="preserve">Działanie 3.1.D.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136E7">
            <w:pPr>
              <w:numPr>
                <w:ilvl w:val="0"/>
                <w:numId w:val="28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Możliwość realizacji mikroinstalacji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W ramach kryterium weryfikowane będzie czy w ramach projektu grantowego istnieje gotowość realizacji mikroinstalacji,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A8272F" w:rsidRPr="00A8272F" w:rsidRDefault="00A8272F" w:rsidP="00A136E7">
            <w:pPr>
              <w:numPr>
                <w:ilvl w:val="0"/>
                <w:numId w:val="287"/>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uzyskano warunki przyłączenia dla wszystkich mikroinstalacji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A8272F" w:rsidRPr="00A8272F" w:rsidRDefault="00A8272F" w:rsidP="00A136E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mikroinstalacji OZE (jeśli są wymagane)? </w:t>
            </w:r>
            <w:r w:rsidRPr="00A8272F">
              <w:rPr>
                <w:rFonts w:ascii="Calibri" w:eastAsia="SimSun" w:hAnsi="Calibri" w:cs="Arial"/>
                <w:kern w:val="3"/>
                <w:sz w:val="20"/>
                <w:lang w:eastAsia="en-US"/>
              </w:rPr>
              <w:tab/>
              <w:t>2 pkt</w:t>
            </w:r>
          </w:p>
          <w:p w:rsidR="00A8272F" w:rsidRPr="00A8272F" w:rsidRDefault="00A8272F" w:rsidP="00A136E7">
            <w:pPr>
              <w:numPr>
                <w:ilvl w:val="0"/>
                <w:numId w:val="287"/>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przeprowadzono diagnozę zapotrzebowania na OZE  dla wszystkich mikroinstalacji</w:t>
            </w:r>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grantowe, w ramach których nie uzyskano warunków przyłączenia do sieci elektroenergetycznej  dla mikroinstalacji OZE (jeśli dotyczy) oraz nie przeprowadzono diagnozy zapotrzebowania na OZE dla wszystkich mikroinstalacji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A8272F" w:rsidRPr="00A8272F" w:rsidRDefault="00A8272F" w:rsidP="00A136E7">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136E7">
            <w:pPr>
              <w:numPr>
                <w:ilvl w:val="0"/>
                <w:numId w:val="285"/>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810E1B"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A8272F" w:rsidRPr="00A8272F" w:rsidRDefault="00A8272F" w:rsidP="00A136E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A8272F" w:rsidRPr="00A8272F" w:rsidRDefault="00A8272F" w:rsidP="00A136E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A8272F" w:rsidRPr="00A8272F" w:rsidRDefault="00A8272F" w:rsidP="00A136E7">
            <w:pPr>
              <w:numPr>
                <w:ilvl w:val="0"/>
                <w:numId w:val="286"/>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wymiany źródła ciepła – poprawy efektywności 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w wyniku realizacji projektu w budynku  zostanie 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50068A" w:rsidRDefault="004F3331" w:rsidP="00A136E7">
            <w:pPr>
              <w:pStyle w:val="Akapitzlist"/>
              <w:numPr>
                <w:ilvl w:val="0"/>
                <w:numId w:val="267"/>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50068A" w:rsidRDefault="004F3331" w:rsidP="00A136E7">
            <w:pPr>
              <w:pStyle w:val="Akapitzlist"/>
              <w:numPr>
                <w:ilvl w:val="0"/>
                <w:numId w:val="256"/>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50068A" w:rsidRDefault="004F3331" w:rsidP="00A136E7">
            <w:pPr>
              <w:pStyle w:val="Akapitzlist"/>
              <w:numPr>
                <w:ilvl w:val="0"/>
                <w:numId w:val="258"/>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50068A" w:rsidRDefault="004F3331" w:rsidP="00A136E7">
            <w:pPr>
              <w:pStyle w:val="Akapitzlist"/>
              <w:numPr>
                <w:ilvl w:val="0"/>
                <w:numId w:val="256"/>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w powyższym zakresie podlega weryfikacji pod kątem poprawności 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50068A" w:rsidRDefault="004F3331" w:rsidP="00A136E7">
            <w:pPr>
              <w:pStyle w:val="Akapitzlist"/>
              <w:numPr>
                <w:ilvl w:val="0"/>
                <w:numId w:val="257"/>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50068A" w:rsidRDefault="004F3331" w:rsidP="00A136E7">
            <w:pPr>
              <w:pStyle w:val="Akapitzlist"/>
              <w:numPr>
                <w:ilvl w:val="0"/>
                <w:numId w:val="257"/>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50068A" w:rsidRDefault="004F3331" w:rsidP="00A136E7">
            <w:pPr>
              <w:pStyle w:val="Akapitzlist"/>
              <w:numPr>
                <w:ilvl w:val="0"/>
                <w:numId w:val="257"/>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pStyle w:val="Akapitzlist"/>
              <w:numPr>
                <w:ilvl w:val="0"/>
                <w:numId w:val="26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50068A" w:rsidRDefault="004F3331" w:rsidP="00A136E7">
            <w:pPr>
              <w:pStyle w:val="Akapitzlist"/>
              <w:numPr>
                <w:ilvl w:val="0"/>
                <w:numId w:val="263"/>
              </w:numPr>
              <w:snapToGrid w:val="0"/>
              <w:spacing w:after="0" w:line="240" w:lineRule="auto"/>
              <w:jc w:val="both"/>
              <w:rPr>
                <w:sz w:val="20"/>
                <w:szCs w:val="20"/>
              </w:rPr>
            </w:pPr>
            <w:r>
              <w:rPr>
                <w:sz w:val="20"/>
                <w:szCs w:val="20"/>
              </w:rPr>
              <w:t>projekt otrzymuje 1 punkt jeśli została sporządzona ekspertyza przyrodnicza;</w:t>
            </w:r>
          </w:p>
          <w:p w:rsidR="0050068A" w:rsidRDefault="004F3331" w:rsidP="00A136E7">
            <w:pPr>
              <w:pStyle w:val="Akapitzlist"/>
              <w:numPr>
                <w:ilvl w:val="0"/>
                <w:numId w:val="263"/>
              </w:numPr>
              <w:snapToGrid w:val="0"/>
              <w:spacing w:after="0" w:line="240" w:lineRule="auto"/>
              <w:jc w:val="both"/>
              <w:rPr>
                <w:sz w:val="20"/>
                <w:szCs w:val="20"/>
              </w:rPr>
            </w:pPr>
            <w:r>
              <w:rPr>
                <w:sz w:val="20"/>
                <w:szCs w:val="20"/>
              </w:rPr>
              <w:t>1 punkt przysługuje niezależnie od liczby sporządzonych ekspertyz;</w:t>
            </w:r>
          </w:p>
          <w:p w:rsidR="0050068A" w:rsidRDefault="004F3331" w:rsidP="00A136E7">
            <w:pPr>
              <w:pStyle w:val="Akapitzlist"/>
              <w:numPr>
                <w:ilvl w:val="0"/>
                <w:numId w:val="263"/>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2 punkty, jeśli w wyniku realizacji projektu w budynku  zostanie 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5 punktów, jeżeli realny udział energii z OZE wynosi powyżej 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50068A" w:rsidRDefault="004F3331" w:rsidP="00A136E7">
            <w:pPr>
              <w:pStyle w:val="Akapitzlist"/>
              <w:numPr>
                <w:ilvl w:val="0"/>
                <w:numId w:val="259"/>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4F3331" w:rsidP="00A136E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4F3331" w:rsidP="00A136E7">
            <w:pPr>
              <w:pStyle w:val="Akapitzlist"/>
              <w:numPr>
                <w:ilvl w:val="0"/>
                <w:numId w:val="261"/>
              </w:numPr>
              <w:snapToGrid w:val="0"/>
              <w:spacing w:after="0" w:line="240" w:lineRule="auto"/>
              <w:jc w:val="both"/>
              <w:rPr>
                <w:rFonts w:cs="Arial"/>
                <w:sz w:val="20"/>
                <w:szCs w:val="20"/>
              </w:rPr>
            </w:pPr>
            <w:r w:rsidRPr="00A52C15">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50068A" w:rsidRDefault="004F3331" w:rsidP="00A136E7">
            <w:pPr>
              <w:pStyle w:val="Akapitzlist"/>
              <w:widowControl w:val="0"/>
              <w:numPr>
                <w:ilvl w:val="0"/>
                <w:numId w:val="26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4F3331" w:rsidP="00A136E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budynki   zabytkowe  wpisane do rejestru prowadzonego przez Wojewódzkiego Konserwatora Zabytków we Wrocławiu – 4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50068A" w:rsidRDefault="004F3331" w:rsidP="00A136E7">
            <w:pPr>
              <w:pStyle w:val="Akapitzlist"/>
              <w:numPr>
                <w:ilvl w:val="0"/>
                <w:numId w:val="188"/>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50068A" w:rsidRDefault="004F3331" w:rsidP="00A136E7">
            <w:pPr>
              <w:pStyle w:val="Akapitzlist"/>
              <w:numPr>
                <w:ilvl w:val="0"/>
                <w:numId w:val="265"/>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50068A" w:rsidRDefault="004F3331" w:rsidP="00A136E7">
            <w:pPr>
              <w:pStyle w:val="Akapitzlist"/>
              <w:numPr>
                <w:ilvl w:val="0"/>
                <w:numId w:val="265"/>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50068A" w:rsidRDefault="004F3331" w:rsidP="00A136E7">
            <w:pPr>
              <w:pStyle w:val="Akapitzlist"/>
              <w:numPr>
                <w:ilvl w:val="0"/>
                <w:numId w:val="265"/>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t>użyteczności publicznej</w:t>
      </w:r>
      <w:r>
        <w:rPr>
          <w:b/>
          <w:i/>
          <w:sz w:val="20"/>
          <w:szCs w:val="20"/>
        </w:rPr>
        <w:t xml:space="preserve"> </w:t>
      </w:r>
    </w:p>
    <w:tbl>
      <w:tblPr>
        <w:tblStyle w:val="Tabela-Siatka1"/>
        <w:tblW w:w="14142" w:type="dxa"/>
        <w:tblInd w:w="283" w:type="dxa"/>
        <w:tblLook w:val="04A0"/>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50068A" w:rsidRDefault="00816A41" w:rsidP="00A136E7">
            <w:pPr>
              <w:pStyle w:val="Akapitzlist"/>
              <w:numPr>
                <w:ilvl w:val="0"/>
                <w:numId w:val="258"/>
              </w:numPr>
              <w:snapToGrid w:val="0"/>
              <w:spacing w:after="0" w:line="240" w:lineRule="auto"/>
              <w:jc w:val="both"/>
              <w:rPr>
                <w:rFonts w:cs="Arial"/>
                <w:sz w:val="20"/>
                <w:szCs w:val="20"/>
              </w:rPr>
            </w:pPr>
            <w:r w:rsidRPr="000D15A8">
              <w:rPr>
                <w:rFonts w:cs="Arial"/>
                <w:sz w:val="20"/>
                <w:szCs w:val="20"/>
              </w:rPr>
              <w:t>dotyczy inwestycji publicznej;</w:t>
            </w:r>
          </w:p>
          <w:p w:rsidR="0050068A" w:rsidRDefault="00816A41" w:rsidP="00A136E7">
            <w:pPr>
              <w:pStyle w:val="Akapitzlist"/>
              <w:numPr>
                <w:ilvl w:val="0"/>
                <w:numId w:val="258"/>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50068A" w:rsidRDefault="00816A41" w:rsidP="00A136E7">
            <w:pPr>
              <w:pStyle w:val="Akapitzlist"/>
              <w:numPr>
                <w:ilvl w:val="0"/>
                <w:numId w:val="256"/>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50068A" w:rsidRDefault="00816A41" w:rsidP="00A136E7">
            <w:pPr>
              <w:pStyle w:val="Akapitzlist"/>
              <w:numPr>
                <w:ilvl w:val="0"/>
                <w:numId w:val="256"/>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50068A" w:rsidRDefault="00816A41" w:rsidP="00A136E7">
            <w:pPr>
              <w:pStyle w:val="Akapitzlist"/>
              <w:numPr>
                <w:ilvl w:val="0"/>
                <w:numId w:val="257"/>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50068A" w:rsidRDefault="00816A41" w:rsidP="00A136E7">
            <w:pPr>
              <w:pStyle w:val="Akapitzlist"/>
              <w:numPr>
                <w:ilvl w:val="0"/>
                <w:numId w:val="257"/>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poprzez wymianę kotła następuje zwiększenie efektywności energetycznej źródła ciepła (wyrażona deklarowaną przez 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2 punkty, jeśli projekt zakłada zmniejszenie zapotrzebowania na energię pierwotną pow. 10% do 15%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50068A" w:rsidRDefault="00816A41" w:rsidP="00A136E7">
            <w:pPr>
              <w:pStyle w:val="Akapitzlist"/>
              <w:numPr>
                <w:ilvl w:val="0"/>
                <w:numId w:val="268"/>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Punkty z sekcji dot. redukcji emisji CO2 sumują się z punktami z sekcji dot. 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816A41" w:rsidP="00A136E7">
            <w:pPr>
              <w:pStyle w:val="Akapitzlist"/>
              <w:numPr>
                <w:ilvl w:val="0"/>
                <w:numId w:val="262"/>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816A41" w:rsidP="00A136E7">
            <w:pPr>
              <w:pStyle w:val="Akapitzlist"/>
              <w:numPr>
                <w:ilvl w:val="0"/>
                <w:numId w:val="262"/>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50068A" w:rsidRDefault="00816A41" w:rsidP="00A136E7">
            <w:pPr>
              <w:pStyle w:val="Akapitzlist"/>
              <w:numPr>
                <w:ilvl w:val="0"/>
                <w:numId w:val="267"/>
              </w:numPr>
              <w:snapToGrid w:val="0"/>
              <w:spacing w:after="0" w:line="240" w:lineRule="auto"/>
              <w:jc w:val="both"/>
              <w:rPr>
                <w:rFonts w:cs="Arial"/>
                <w:sz w:val="20"/>
                <w:szCs w:val="20"/>
              </w:rPr>
            </w:pPr>
            <w:r>
              <w:rPr>
                <w:rFonts w:cs="Arial"/>
                <w:sz w:val="20"/>
                <w:szCs w:val="20"/>
              </w:rPr>
              <w:t>zielone dachy – 2 pkt;</w:t>
            </w:r>
          </w:p>
          <w:p w:rsidR="0050068A" w:rsidRDefault="00816A41" w:rsidP="00A136E7">
            <w:pPr>
              <w:pStyle w:val="Akapitzlist"/>
              <w:numPr>
                <w:ilvl w:val="0"/>
                <w:numId w:val="267"/>
              </w:numPr>
              <w:snapToGrid w:val="0"/>
              <w:spacing w:after="0" w:line="240" w:lineRule="auto"/>
              <w:jc w:val="both"/>
              <w:rPr>
                <w:rFonts w:cs="Arial"/>
                <w:sz w:val="20"/>
                <w:szCs w:val="20"/>
              </w:rPr>
            </w:pPr>
            <w:r>
              <w:rPr>
                <w:rFonts w:cs="Arial"/>
                <w:sz w:val="20"/>
                <w:szCs w:val="20"/>
              </w:rPr>
              <w:t>zielone ściany – 1 pkt;</w:t>
            </w:r>
          </w:p>
          <w:p w:rsidR="0050068A" w:rsidRDefault="00816A41" w:rsidP="00A136E7">
            <w:pPr>
              <w:pStyle w:val="Akapitzlist"/>
              <w:numPr>
                <w:ilvl w:val="0"/>
                <w:numId w:val="267"/>
              </w:numPr>
              <w:snapToGrid w:val="0"/>
              <w:spacing w:after="0" w:line="240" w:lineRule="auto"/>
              <w:jc w:val="both"/>
              <w:rPr>
                <w:rFonts w:cs="Arial"/>
                <w:sz w:val="20"/>
                <w:szCs w:val="20"/>
              </w:rPr>
            </w:pPr>
            <w:r>
              <w:rPr>
                <w:rFonts w:cs="Arial"/>
                <w:sz w:val="20"/>
                <w:szCs w:val="20"/>
              </w:rPr>
              <w:t>system pozyskiwania wody deszczowej lub odzyskiwania wody 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poniżej 5 punktów procentowych - 0 pkt;</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816A41" w:rsidP="00A136E7">
            <w:pPr>
              <w:pStyle w:val="Akapitzlist"/>
              <w:numPr>
                <w:ilvl w:val="0"/>
                <w:numId w:val="264"/>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6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73EE4" w:rsidP="00A136E7">
            <w:pPr>
              <w:pStyle w:val="Akapitzlist"/>
              <w:numPr>
                <w:ilvl w:val="0"/>
                <w:numId w:val="20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50068A" w:rsidRDefault="00473EE4" w:rsidP="00A136E7">
            <w:pPr>
              <w:pStyle w:val="Akapitzlist"/>
              <w:numPr>
                <w:ilvl w:val="0"/>
                <w:numId w:val="196"/>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473EE4" w:rsidP="00A136E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473EE4" w:rsidP="00A136E7">
            <w:pPr>
              <w:pStyle w:val="Akapitzlist"/>
              <w:numPr>
                <w:ilvl w:val="0"/>
                <w:numId w:val="196"/>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473EE4" w:rsidP="00A136E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473EE4" w:rsidP="00A136E7">
            <w:pPr>
              <w:pStyle w:val="Akapitzlist"/>
              <w:numPr>
                <w:ilvl w:val="0"/>
                <w:numId w:val="197"/>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473EE4" w:rsidP="00A136E7">
            <w:pPr>
              <w:pStyle w:val="Akapitzlist"/>
              <w:numPr>
                <w:ilvl w:val="0"/>
                <w:numId w:val="197"/>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73EE4" w:rsidP="00A136E7">
            <w:pPr>
              <w:pStyle w:val="Akapitzlist"/>
              <w:numPr>
                <w:ilvl w:val="0"/>
                <w:numId w:val="205"/>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73EE4" w:rsidP="00A136E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50068A" w:rsidRDefault="00473EE4" w:rsidP="00A136E7">
            <w:pPr>
              <w:pStyle w:val="Akapitzlist"/>
              <w:numPr>
                <w:ilvl w:val="0"/>
                <w:numId w:val="205"/>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73EE4" w:rsidP="00A136E7">
            <w:pPr>
              <w:pStyle w:val="Akapitzlist"/>
              <w:numPr>
                <w:ilvl w:val="0"/>
                <w:numId w:val="20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73EE4" w:rsidP="00A136E7">
            <w:pPr>
              <w:pStyle w:val="Akapitzlist"/>
              <w:numPr>
                <w:ilvl w:val="0"/>
                <w:numId w:val="204"/>
              </w:numPr>
              <w:snapToGrid w:val="0"/>
              <w:jc w:val="both"/>
              <w:rPr>
                <w:rFonts w:eastAsiaTheme="minorEastAsia"/>
                <w:lang w:eastAsia="pl-PL"/>
              </w:rPr>
            </w:pPr>
            <w:r>
              <w:rPr>
                <w:rFonts w:cs="Arial"/>
                <w:sz w:val="20"/>
                <w:szCs w:val="20"/>
              </w:rPr>
              <w:t>pyłów PM10;</w:t>
            </w:r>
          </w:p>
          <w:p w:rsidR="0050068A" w:rsidRDefault="00473EE4" w:rsidP="00A136E7">
            <w:pPr>
              <w:pStyle w:val="Akapitzlist"/>
              <w:numPr>
                <w:ilvl w:val="0"/>
                <w:numId w:val="20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473EE4" w:rsidP="00A136E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473EE4" w:rsidP="00A136E7">
            <w:pPr>
              <w:pStyle w:val="Akapitzlist"/>
              <w:numPr>
                <w:ilvl w:val="0"/>
                <w:numId w:val="198"/>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473EE4" w:rsidP="00A136E7">
            <w:pPr>
              <w:pStyle w:val="Akapitzlist"/>
              <w:numPr>
                <w:ilvl w:val="0"/>
                <w:numId w:val="198"/>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473EE4" w:rsidP="00A136E7">
            <w:pPr>
              <w:pStyle w:val="Akapitzlist"/>
              <w:numPr>
                <w:ilvl w:val="0"/>
                <w:numId w:val="198"/>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50068A" w:rsidRDefault="00473EE4" w:rsidP="00A136E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50068A" w:rsidRDefault="00473EE4" w:rsidP="00A136E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50068A" w:rsidRDefault="00473EE4" w:rsidP="00A136E7">
            <w:pPr>
              <w:pStyle w:val="Akapitzlist"/>
              <w:numPr>
                <w:ilvl w:val="0"/>
                <w:numId w:val="20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dla którego przeprowadzono z wynikiem pozytywnym weryfikację spełnienia wymogów dotyczących cech i 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50068A" w:rsidRDefault="00473EE4" w:rsidP="00A136E7">
            <w:pPr>
              <w:pStyle w:val="Akapitzlist"/>
              <w:numPr>
                <w:ilvl w:val="0"/>
                <w:numId w:val="194"/>
              </w:numPr>
              <w:snapToGrid w:val="0"/>
              <w:jc w:val="both"/>
              <w:rPr>
                <w:rFonts w:eastAsiaTheme="minorEastAsia" w:cs="Arial"/>
                <w:sz w:val="20"/>
                <w:szCs w:val="20"/>
                <w:lang w:eastAsia="pl-PL"/>
              </w:rPr>
            </w:pPr>
            <w:r>
              <w:rPr>
                <w:rFonts w:cs="Arial"/>
                <w:sz w:val="20"/>
                <w:szCs w:val="20"/>
              </w:rPr>
              <w:t>0 punktów, jeśli projekt nie został ujęty w LPR</w:t>
            </w:r>
          </w:p>
          <w:p w:rsidR="0050068A" w:rsidRDefault="00473EE4" w:rsidP="00A136E7">
            <w:pPr>
              <w:pStyle w:val="Akapitzlist"/>
              <w:numPr>
                <w:ilvl w:val="0"/>
                <w:numId w:val="194"/>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50068A" w:rsidRDefault="00473EE4" w:rsidP="00A136E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50068A" w:rsidRDefault="00473EE4" w:rsidP="00A136E7">
            <w:pPr>
              <w:pStyle w:val="Akapitzlist"/>
              <w:numPr>
                <w:ilvl w:val="0"/>
                <w:numId w:val="206"/>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zakupu taboru na potrzeby  publicznego transportu zbiorowego, (typ 3.4.A.a);</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inwestycji związanych z systemami zarządzania ruchem i energią (typ 3.4.A.c);</w:t>
            </w:r>
          </w:p>
          <w:p w:rsidR="0050068A" w:rsidRDefault="00473EE4" w:rsidP="00A136E7">
            <w:pPr>
              <w:pStyle w:val="Akapitzlist"/>
              <w:numPr>
                <w:ilvl w:val="0"/>
                <w:numId w:val="200"/>
              </w:numPr>
              <w:snapToGrid w:val="0"/>
              <w:jc w:val="both"/>
              <w:rPr>
                <w:rFonts w:eastAsiaTheme="minorEastAsia"/>
                <w:lang w:eastAsia="pl-PL"/>
              </w:rPr>
            </w:pPr>
            <w:r>
              <w:rPr>
                <w:rFonts w:cs="Arial"/>
                <w:sz w:val="20"/>
                <w:szCs w:val="20"/>
              </w:rPr>
              <w:t>inwestycji związanych z drogami dla rowerów (typ 3.4.A.d);</w:t>
            </w:r>
          </w:p>
          <w:p w:rsidR="0050068A" w:rsidRDefault="00473EE4" w:rsidP="00A136E7">
            <w:pPr>
              <w:pStyle w:val="Akapitzlist"/>
              <w:numPr>
                <w:ilvl w:val="0"/>
                <w:numId w:val="200"/>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50068A" w:rsidRDefault="00473EE4" w:rsidP="00A136E7">
            <w:pPr>
              <w:pStyle w:val="Akapitzlist"/>
              <w:numPr>
                <w:ilvl w:val="0"/>
                <w:numId w:val="194"/>
              </w:numPr>
              <w:snapToGrid w:val="0"/>
              <w:jc w:val="both"/>
              <w:rPr>
                <w:rFonts w:eastAsiaTheme="minorEastAsia"/>
                <w:lang w:eastAsia="pl-PL"/>
              </w:rPr>
            </w:pPr>
            <w:r>
              <w:rPr>
                <w:rFonts w:cs="Arial"/>
                <w:sz w:val="20"/>
                <w:szCs w:val="20"/>
              </w:rPr>
              <w:t>0 punktów – jeśli projekt nie poprawia dostępności do ww. obszarów;</w:t>
            </w:r>
          </w:p>
          <w:p w:rsidR="0050068A" w:rsidRDefault="00473EE4" w:rsidP="00A136E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50068A" w:rsidRDefault="00473EE4" w:rsidP="00A136E7">
            <w:pPr>
              <w:pStyle w:val="Akapitzlist"/>
              <w:numPr>
                <w:ilvl w:val="0"/>
                <w:numId w:val="194"/>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50068A" w:rsidRDefault="00473EE4" w:rsidP="00A136E7">
            <w:pPr>
              <w:numPr>
                <w:ilvl w:val="0"/>
                <w:numId w:val="210"/>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50068A" w:rsidRDefault="00473EE4" w:rsidP="00A136E7">
            <w:pPr>
              <w:numPr>
                <w:ilvl w:val="0"/>
                <w:numId w:val="210"/>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50068A" w:rsidRDefault="00473EE4" w:rsidP="00A136E7">
            <w:pPr>
              <w:pStyle w:val="Akapitzlist"/>
              <w:numPr>
                <w:ilvl w:val="0"/>
                <w:numId w:val="20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A136E7">
            <w:pPr>
              <w:numPr>
                <w:ilvl w:val="0"/>
                <w:numId w:val="19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50068A" w:rsidRDefault="00473EE4" w:rsidP="00A136E7">
            <w:pPr>
              <w:pStyle w:val="Akapitzlist"/>
              <w:numPr>
                <w:ilvl w:val="0"/>
                <w:numId w:val="199"/>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50068A" w:rsidRDefault="00473EE4" w:rsidP="00A136E7">
            <w:pPr>
              <w:pStyle w:val="Akapitzlist"/>
              <w:numPr>
                <w:ilvl w:val="0"/>
                <w:numId w:val="199"/>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1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AB1454" w:rsidP="00A136E7">
            <w:pPr>
              <w:pStyle w:val="Akapitzlist"/>
              <w:numPr>
                <w:ilvl w:val="0"/>
                <w:numId w:val="213"/>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50068A" w:rsidRDefault="00AB1454" w:rsidP="00A136E7">
            <w:pPr>
              <w:pStyle w:val="Akapitzlist"/>
              <w:numPr>
                <w:ilvl w:val="0"/>
                <w:numId w:val="207"/>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AB1454" w:rsidP="00A136E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AB1454" w:rsidP="00A136E7">
            <w:pPr>
              <w:pStyle w:val="Akapitzlist"/>
              <w:numPr>
                <w:ilvl w:val="0"/>
                <w:numId w:val="207"/>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12"/>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AB1454" w:rsidP="00A136E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AB1454" w:rsidP="00A136E7">
            <w:pPr>
              <w:pStyle w:val="Akapitzlist"/>
              <w:numPr>
                <w:ilvl w:val="0"/>
                <w:numId w:val="208"/>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AB1454" w:rsidP="00A136E7">
            <w:pPr>
              <w:pStyle w:val="Akapitzlist"/>
              <w:numPr>
                <w:ilvl w:val="0"/>
                <w:numId w:val="208"/>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AB1454" w:rsidP="00A136E7">
            <w:pPr>
              <w:pStyle w:val="Akapitzlist"/>
              <w:numPr>
                <w:ilvl w:val="0"/>
                <w:numId w:val="21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AB1454" w:rsidP="00A136E7">
            <w:pPr>
              <w:pStyle w:val="Akapitzlist"/>
              <w:numPr>
                <w:ilvl w:val="0"/>
                <w:numId w:val="214"/>
              </w:numPr>
              <w:snapToGrid w:val="0"/>
              <w:spacing w:after="200" w:line="276" w:lineRule="auto"/>
              <w:jc w:val="both"/>
              <w:rPr>
                <w:rFonts w:eastAsiaTheme="minorEastAsia"/>
                <w:lang w:eastAsia="pl-PL"/>
              </w:rPr>
            </w:pPr>
            <w:r>
              <w:rPr>
                <w:rFonts w:cs="Arial"/>
                <w:sz w:val="20"/>
                <w:szCs w:val="20"/>
              </w:rPr>
              <w:t>pyłów PM10;</w:t>
            </w:r>
          </w:p>
          <w:p w:rsidR="0050068A" w:rsidRDefault="00AB1454" w:rsidP="00A136E7">
            <w:pPr>
              <w:pStyle w:val="Akapitzlist"/>
              <w:numPr>
                <w:ilvl w:val="0"/>
                <w:numId w:val="214"/>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AB1454" w:rsidP="00A136E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AB1454" w:rsidP="00A136E7">
            <w:pPr>
              <w:pStyle w:val="Akapitzlist"/>
              <w:numPr>
                <w:ilvl w:val="0"/>
                <w:numId w:val="209"/>
              </w:numPr>
              <w:snapToGrid w:val="0"/>
              <w:jc w:val="both"/>
              <w:rPr>
                <w:rFonts w:eastAsiaTheme="minorEastAsia" w:cs="Arial"/>
                <w:sz w:val="20"/>
                <w:szCs w:val="20"/>
                <w:lang w:eastAsia="pl-PL"/>
              </w:rPr>
            </w:pPr>
            <w:r>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50068A" w:rsidRDefault="00AB1454" w:rsidP="00A136E7">
            <w:pPr>
              <w:pStyle w:val="Akapitzlist"/>
              <w:numPr>
                <w:ilvl w:val="0"/>
                <w:numId w:val="209"/>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AB1454" w:rsidP="00A136E7">
            <w:pPr>
              <w:pStyle w:val="Akapitzlist"/>
              <w:numPr>
                <w:ilvl w:val="0"/>
                <w:numId w:val="209"/>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50068A" w:rsidRDefault="00AB1454" w:rsidP="00A136E7">
            <w:pPr>
              <w:pStyle w:val="Akapitzlist"/>
              <w:numPr>
                <w:ilvl w:val="0"/>
                <w:numId w:val="211"/>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50068A" w:rsidRDefault="00AB1454" w:rsidP="00A136E7">
            <w:pPr>
              <w:pStyle w:val="Akapitzlist"/>
              <w:numPr>
                <w:ilvl w:val="0"/>
                <w:numId w:val="211"/>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50068A" w:rsidRDefault="00AB1454" w:rsidP="00A136E7">
            <w:pPr>
              <w:pStyle w:val="Akapitzlist"/>
              <w:numPr>
                <w:ilvl w:val="0"/>
                <w:numId w:val="210"/>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50068A" w:rsidRDefault="00AB1454" w:rsidP="00A136E7">
            <w:pPr>
              <w:pStyle w:val="Akapitzlist"/>
              <w:numPr>
                <w:ilvl w:val="0"/>
                <w:numId w:val="210"/>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A136E7">
            <w:pPr>
              <w:numPr>
                <w:ilvl w:val="0"/>
                <w:numId w:val="205"/>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17D3D" w:rsidP="00A136E7">
            <w:pPr>
              <w:pStyle w:val="Akapitzlist"/>
              <w:numPr>
                <w:ilvl w:val="0"/>
                <w:numId w:val="216"/>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17D3D" w:rsidP="00A136E7">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17D3D" w:rsidP="00A136E7">
            <w:pPr>
              <w:pStyle w:val="Akapitzlist"/>
              <w:numPr>
                <w:ilvl w:val="0"/>
                <w:numId w:val="217"/>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50068A" w:rsidRDefault="00417D3D" w:rsidP="00A136E7">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17D3D" w:rsidP="00A136E7">
            <w:pPr>
              <w:pStyle w:val="Akapitzlist"/>
              <w:numPr>
                <w:ilvl w:val="0"/>
                <w:numId w:val="218"/>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17D3D" w:rsidP="00A136E7">
            <w:pPr>
              <w:pStyle w:val="Akapitzlist"/>
              <w:numPr>
                <w:ilvl w:val="0"/>
                <w:numId w:val="218"/>
              </w:numPr>
              <w:snapToGrid w:val="0"/>
              <w:spacing w:after="200" w:line="276" w:lineRule="auto"/>
              <w:jc w:val="both"/>
              <w:rPr>
                <w:rFonts w:eastAsiaTheme="minorEastAsia"/>
                <w:lang w:eastAsia="pl-PL"/>
              </w:rPr>
            </w:pPr>
            <w:r>
              <w:rPr>
                <w:rFonts w:cs="Arial"/>
                <w:sz w:val="20"/>
                <w:szCs w:val="20"/>
              </w:rPr>
              <w:t>pyłów PM10;</w:t>
            </w:r>
          </w:p>
          <w:p w:rsidR="0050068A" w:rsidRDefault="00417D3D" w:rsidP="00A136E7">
            <w:pPr>
              <w:pStyle w:val="Akapitzlist"/>
              <w:numPr>
                <w:ilvl w:val="0"/>
                <w:numId w:val="218"/>
              </w:numPr>
              <w:snapToGrid w:val="0"/>
              <w:spacing w:after="200" w:line="276" w:lineRule="auto"/>
              <w:jc w:val="both"/>
              <w:rPr>
                <w:rFonts w:eastAsiaTheme="minorEastAsia"/>
                <w:lang w:eastAsia="pl-PL"/>
              </w:rPr>
            </w:pPr>
            <w:r>
              <w:rPr>
                <w:rFonts w:cs="Arial"/>
                <w:sz w:val="20"/>
                <w:szCs w:val="20"/>
              </w:rPr>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50068A" w:rsidRDefault="00417D3D" w:rsidP="00A136E7">
            <w:pPr>
              <w:pStyle w:val="Akapitzlist"/>
              <w:numPr>
                <w:ilvl w:val="0"/>
                <w:numId w:val="219"/>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50068A" w:rsidRDefault="00417D3D" w:rsidP="00A136E7">
            <w:pPr>
              <w:pStyle w:val="Akapitzlist"/>
              <w:numPr>
                <w:ilvl w:val="0"/>
                <w:numId w:val="219"/>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50068A" w:rsidRDefault="00417D3D" w:rsidP="00A136E7">
            <w:pPr>
              <w:pStyle w:val="Akapitzlist"/>
              <w:numPr>
                <w:ilvl w:val="0"/>
                <w:numId w:val="220"/>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A136E7">
            <w:pPr>
              <w:numPr>
                <w:ilvl w:val="0"/>
                <w:numId w:val="215"/>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A136E7">
            <w:pPr>
              <w:pStyle w:val="Akapitzlist"/>
              <w:numPr>
                <w:ilvl w:val="0"/>
                <w:numId w:val="251"/>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A136E7">
            <w:pPr>
              <w:pStyle w:val="Akapitzlist"/>
              <w:numPr>
                <w:ilvl w:val="0"/>
                <w:numId w:val="252"/>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A136E7">
            <w:pPr>
              <w:pStyle w:val="Akapitzlist"/>
              <w:numPr>
                <w:ilvl w:val="0"/>
                <w:numId w:val="252"/>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A136E7">
            <w:pPr>
              <w:pStyle w:val="Akapitzlist"/>
              <w:numPr>
                <w:ilvl w:val="0"/>
                <w:numId w:val="252"/>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A136E7">
            <w:pPr>
              <w:widowControl w:val="0"/>
              <w:numPr>
                <w:ilvl w:val="0"/>
                <w:numId w:val="168"/>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A136E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A136E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A136E7">
            <w:pPr>
              <w:pStyle w:val="Akapitzlist"/>
              <w:numPr>
                <w:ilvl w:val="0"/>
                <w:numId w:val="255"/>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A136E7">
            <w:pPr>
              <w:pStyle w:val="Akapitzlist"/>
              <w:numPr>
                <w:ilvl w:val="0"/>
                <w:numId w:val="255"/>
              </w:numPr>
              <w:spacing w:after="0" w:line="240" w:lineRule="auto"/>
            </w:pPr>
            <w:r>
              <w:t>Nie zakłada zastosowania lub zwiększenia</w:t>
            </w:r>
            <w:r w:rsidRPr="002E1D82">
              <w:t xml:space="preserve"> efektywności instalacji umożliwiającej wykorzystanie odnawialnych źródeł 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A136E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A136E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A136E7">
            <w:pPr>
              <w:pStyle w:val="Default"/>
              <w:numPr>
                <w:ilvl w:val="0"/>
                <w:numId w:val="253"/>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A136E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A136E7">
            <w:pPr>
              <w:pStyle w:val="Akapitzlist"/>
              <w:numPr>
                <w:ilvl w:val="0"/>
                <w:numId w:val="147"/>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A136E7">
            <w:pPr>
              <w:pStyle w:val="Akapitzlist"/>
              <w:numPr>
                <w:ilvl w:val="0"/>
                <w:numId w:val="147"/>
              </w:numPr>
              <w:autoSpaceDE w:val="0"/>
              <w:autoSpaceDN w:val="0"/>
              <w:adjustRightInd w:val="0"/>
              <w:spacing w:after="0" w:line="240" w:lineRule="auto"/>
              <w:jc w:val="both"/>
              <w:rPr>
                <w:rFonts w:cs="Arial"/>
              </w:rPr>
            </w:pPr>
            <w:r>
              <w:rPr>
                <w:rFonts w:eastAsia="Calibri" w:cs="Calibri"/>
                <w:lang w:eastAsia="en-US"/>
              </w:rPr>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A136E7">
            <w:pPr>
              <w:pStyle w:val="Akapitzlist"/>
              <w:numPr>
                <w:ilvl w:val="0"/>
                <w:numId w:val="147"/>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A136E7">
            <w:pPr>
              <w:numPr>
                <w:ilvl w:val="0"/>
                <w:numId w:val="149"/>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A136E7">
            <w:pPr>
              <w:numPr>
                <w:ilvl w:val="0"/>
                <w:numId w:val="149"/>
              </w:numPr>
              <w:spacing w:after="0" w:line="240" w:lineRule="auto"/>
              <w:jc w:val="both"/>
              <w:rPr>
                <w:rFonts w:cs="Arial"/>
              </w:rPr>
            </w:pPr>
            <w:r w:rsidRPr="006560F7">
              <w:rPr>
                <w:rFonts w:cs="Arial"/>
              </w:rPr>
              <w:t>gatunku objętego ochroną gatunkową częściową  – 2 pkt</w:t>
            </w:r>
          </w:p>
          <w:p w:rsidR="00712D44" w:rsidRPr="006560F7" w:rsidRDefault="00712D44" w:rsidP="00A136E7">
            <w:pPr>
              <w:numPr>
                <w:ilvl w:val="0"/>
                <w:numId w:val="149"/>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A136E7">
            <w:pPr>
              <w:numPr>
                <w:ilvl w:val="0"/>
                <w:numId w:val="149"/>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jednego typu projektu możliwego do realizacji w naborze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A136E7">
            <w:pPr>
              <w:pStyle w:val="Akapitzlist"/>
              <w:numPr>
                <w:ilvl w:val="0"/>
                <w:numId w:val="152"/>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A136E7">
            <w:pPr>
              <w:pStyle w:val="Akapitzlist"/>
              <w:numPr>
                <w:ilvl w:val="0"/>
                <w:numId w:val="15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A136E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A136E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A136E7">
            <w:pPr>
              <w:pStyle w:val="Akapitzlist"/>
              <w:numPr>
                <w:ilvl w:val="0"/>
                <w:numId w:val="153"/>
              </w:numPr>
              <w:autoSpaceDE w:val="0"/>
              <w:autoSpaceDN w:val="0"/>
              <w:adjustRightInd w:val="0"/>
              <w:spacing w:after="0" w:line="240" w:lineRule="auto"/>
              <w:jc w:val="both"/>
              <w:rPr>
                <w:rFonts w:cs="Arial"/>
              </w:rPr>
            </w:pPr>
            <w:r w:rsidRPr="00850CA1">
              <w:rPr>
                <w:rFonts w:cs="Arial"/>
              </w:rPr>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50068A" w:rsidRDefault="00712D44" w:rsidP="00A136E7">
            <w:pPr>
              <w:numPr>
                <w:ilvl w:val="0"/>
                <w:numId w:val="148"/>
              </w:numPr>
              <w:spacing w:after="0" w:line="240" w:lineRule="auto"/>
              <w:jc w:val="both"/>
              <w:rPr>
                <w:rFonts w:cs="Arial"/>
              </w:rPr>
            </w:pPr>
            <w:r w:rsidRPr="00220A16">
              <w:rPr>
                <w:rFonts w:cs="Arial"/>
              </w:rPr>
              <w:t>Parki krajobrazowe – 3 pkt;</w:t>
            </w:r>
          </w:p>
          <w:p w:rsidR="0050068A" w:rsidRDefault="00712D44" w:rsidP="00A136E7">
            <w:pPr>
              <w:numPr>
                <w:ilvl w:val="0"/>
                <w:numId w:val="148"/>
              </w:numPr>
              <w:spacing w:after="0" w:line="240" w:lineRule="auto"/>
              <w:jc w:val="both"/>
              <w:rPr>
                <w:rFonts w:cs="Arial"/>
              </w:rPr>
            </w:pPr>
            <w:r w:rsidRPr="00220A16">
              <w:rPr>
                <w:rFonts w:cs="Arial"/>
              </w:rPr>
              <w:t>Rezerwaty przyrody – 3 pkt;</w:t>
            </w:r>
          </w:p>
          <w:p w:rsidR="0050068A" w:rsidRDefault="00712D44" w:rsidP="00A136E7">
            <w:pPr>
              <w:numPr>
                <w:ilvl w:val="0"/>
                <w:numId w:val="148"/>
              </w:numPr>
              <w:spacing w:after="0" w:line="240" w:lineRule="auto"/>
              <w:jc w:val="both"/>
              <w:rPr>
                <w:rFonts w:cs="Arial"/>
              </w:rPr>
            </w:pPr>
            <w:r w:rsidRPr="00220A16">
              <w:rPr>
                <w:rFonts w:cs="Arial"/>
              </w:rPr>
              <w:t>Natura 2000 – 3 pkt;</w:t>
            </w:r>
          </w:p>
          <w:p w:rsidR="0050068A" w:rsidRDefault="00712D44" w:rsidP="00A136E7">
            <w:pPr>
              <w:numPr>
                <w:ilvl w:val="0"/>
                <w:numId w:val="148"/>
              </w:numPr>
              <w:spacing w:after="0" w:line="240" w:lineRule="auto"/>
              <w:jc w:val="both"/>
              <w:rPr>
                <w:rFonts w:cs="Arial"/>
              </w:rPr>
            </w:pPr>
            <w:r w:rsidRPr="00220A16">
              <w:rPr>
                <w:rFonts w:cs="Arial"/>
              </w:rPr>
              <w:t>Inne formy ochrony przyrody – 1 pkt;  </w:t>
            </w:r>
          </w:p>
          <w:p w:rsidR="0050068A" w:rsidRDefault="00712D44" w:rsidP="00A136E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A136E7">
            <w:pPr>
              <w:numPr>
                <w:ilvl w:val="0"/>
                <w:numId w:val="149"/>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A136E7">
            <w:pPr>
              <w:numPr>
                <w:ilvl w:val="0"/>
                <w:numId w:val="149"/>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A136E7">
            <w:pPr>
              <w:numPr>
                <w:ilvl w:val="0"/>
                <w:numId w:val="149"/>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A136E7">
            <w:pPr>
              <w:numPr>
                <w:ilvl w:val="0"/>
                <w:numId w:val="149"/>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A136E7">
            <w:pPr>
              <w:pStyle w:val="Akapitzlist"/>
              <w:numPr>
                <w:ilvl w:val="0"/>
                <w:numId w:val="162"/>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A136E7">
            <w:pPr>
              <w:pStyle w:val="Akapitzlist"/>
              <w:numPr>
                <w:ilvl w:val="0"/>
                <w:numId w:val="162"/>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Projekt obejmujący 1 z ww. form edukacyjnych – 1 pkt.</w:t>
            </w:r>
          </w:p>
          <w:p w:rsidR="00712D44" w:rsidRPr="00850CA1" w:rsidRDefault="00712D44" w:rsidP="00A136E7">
            <w:pPr>
              <w:pStyle w:val="Akapitzlist"/>
              <w:numPr>
                <w:ilvl w:val="0"/>
                <w:numId w:val="158"/>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A136E7">
            <w:pPr>
              <w:pStyle w:val="Akapitzlist"/>
              <w:numPr>
                <w:ilvl w:val="0"/>
                <w:numId w:val="151"/>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A136E7">
            <w:pPr>
              <w:pStyle w:val="Akapitzlist"/>
              <w:numPr>
                <w:ilvl w:val="0"/>
                <w:numId w:val="156"/>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A136E7">
            <w:pPr>
              <w:pStyle w:val="Akapitzlist"/>
              <w:numPr>
                <w:ilvl w:val="0"/>
                <w:numId w:val="156"/>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A136E7">
            <w:pPr>
              <w:pStyle w:val="Akapitzlist"/>
              <w:numPr>
                <w:ilvl w:val="0"/>
                <w:numId w:val="156"/>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A136E7">
            <w:pPr>
              <w:numPr>
                <w:ilvl w:val="0"/>
                <w:numId w:val="148"/>
              </w:numPr>
              <w:spacing w:after="0" w:line="240" w:lineRule="auto"/>
              <w:jc w:val="both"/>
              <w:rPr>
                <w:rFonts w:cs="Arial"/>
              </w:rPr>
            </w:pPr>
            <w:r w:rsidRPr="00220A16">
              <w:rPr>
                <w:rFonts w:cs="Arial"/>
              </w:rPr>
              <w:t>Parki krajobrazowe – 3 pkt;</w:t>
            </w:r>
          </w:p>
          <w:p w:rsidR="00712D44" w:rsidRPr="00220A16" w:rsidRDefault="00712D44" w:rsidP="00A136E7">
            <w:pPr>
              <w:numPr>
                <w:ilvl w:val="0"/>
                <w:numId w:val="148"/>
              </w:numPr>
              <w:spacing w:after="0" w:line="240" w:lineRule="auto"/>
              <w:jc w:val="both"/>
              <w:rPr>
                <w:rFonts w:cs="Arial"/>
              </w:rPr>
            </w:pPr>
            <w:r w:rsidRPr="00220A16">
              <w:rPr>
                <w:rFonts w:cs="Arial"/>
              </w:rPr>
              <w:t>Rezerwaty przyrody – 3 pkt;</w:t>
            </w:r>
          </w:p>
          <w:p w:rsidR="00712D44" w:rsidRPr="00220A16" w:rsidRDefault="00712D44" w:rsidP="00A136E7">
            <w:pPr>
              <w:numPr>
                <w:ilvl w:val="0"/>
                <w:numId w:val="148"/>
              </w:numPr>
              <w:spacing w:after="0" w:line="240" w:lineRule="auto"/>
              <w:jc w:val="both"/>
              <w:rPr>
                <w:rFonts w:cs="Arial"/>
              </w:rPr>
            </w:pPr>
            <w:r w:rsidRPr="00220A16">
              <w:rPr>
                <w:rFonts w:cs="Arial"/>
              </w:rPr>
              <w:t>Natura 2000 – 3 pkt;</w:t>
            </w:r>
          </w:p>
          <w:p w:rsidR="00712D44" w:rsidRPr="00220A16" w:rsidRDefault="00712D44" w:rsidP="00A136E7">
            <w:pPr>
              <w:numPr>
                <w:ilvl w:val="0"/>
                <w:numId w:val="148"/>
              </w:numPr>
              <w:spacing w:after="0" w:line="240" w:lineRule="auto"/>
              <w:jc w:val="both"/>
              <w:rPr>
                <w:rFonts w:cs="Arial"/>
              </w:rPr>
            </w:pPr>
            <w:r w:rsidRPr="00220A16">
              <w:rPr>
                <w:rFonts w:cs="Arial"/>
              </w:rPr>
              <w:t>Inne formy ochrony przyrody – 1 pkt;  </w:t>
            </w:r>
          </w:p>
          <w:p w:rsidR="00712D44" w:rsidRPr="00220A16" w:rsidRDefault="00712D44" w:rsidP="00A136E7">
            <w:pPr>
              <w:numPr>
                <w:ilvl w:val="0"/>
                <w:numId w:val="148"/>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A136E7">
            <w:pPr>
              <w:numPr>
                <w:ilvl w:val="0"/>
                <w:numId w:val="150"/>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A136E7">
            <w:pPr>
              <w:numPr>
                <w:ilvl w:val="0"/>
                <w:numId w:val="150"/>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A136E7">
            <w:pPr>
              <w:numPr>
                <w:ilvl w:val="0"/>
                <w:numId w:val="150"/>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A136E7">
            <w:pPr>
              <w:pStyle w:val="Akapitzlist"/>
              <w:numPr>
                <w:ilvl w:val="0"/>
                <w:numId w:val="154"/>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A136E7">
            <w:pPr>
              <w:pStyle w:val="Akapitzlist"/>
              <w:numPr>
                <w:ilvl w:val="0"/>
                <w:numId w:val="154"/>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A136E7">
            <w:pPr>
              <w:pStyle w:val="Akapitzlist"/>
              <w:numPr>
                <w:ilvl w:val="0"/>
                <w:numId w:val="155"/>
              </w:numPr>
              <w:spacing w:after="0" w:line="240" w:lineRule="auto"/>
              <w:jc w:val="both"/>
              <w:rPr>
                <w:rFonts w:cs="Arial"/>
              </w:rPr>
            </w:pPr>
            <w:r w:rsidRPr="00850CA1">
              <w:rPr>
                <w:rFonts w:cs="Arial"/>
              </w:rPr>
              <w:t>konferencje,  konkursy, szkolenia, prelekcje itd.;</w:t>
            </w:r>
          </w:p>
          <w:p w:rsidR="00712D44" w:rsidRPr="00850CA1" w:rsidRDefault="00712D44" w:rsidP="00A136E7">
            <w:pPr>
              <w:pStyle w:val="Akapitzlist"/>
              <w:numPr>
                <w:ilvl w:val="0"/>
                <w:numId w:val="155"/>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A136E7">
            <w:pPr>
              <w:pStyle w:val="Akapitzlist"/>
              <w:numPr>
                <w:ilvl w:val="0"/>
                <w:numId w:val="155"/>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A136E7">
            <w:pPr>
              <w:pStyle w:val="Akapitzlist"/>
              <w:numPr>
                <w:ilvl w:val="0"/>
                <w:numId w:val="159"/>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A136E7">
            <w:pPr>
              <w:pStyle w:val="Akapitzlist"/>
              <w:numPr>
                <w:ilvl w:val="0"/>
                <w:numId w:val="159"/>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A136E7">
            <w:pPr>
              <w:pStyle w:val="Akapitzlist"/>
              <w:numPr>
                <w:ilvl w:val="0"/>
                <w:numId w:val="157"/>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A136E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A136E7">
            <w:pPr>
              <w:pStyle w:val="Akapitzlist"/>
              <w:numPr>
                <w:ilvl w:val="0"/>
                <w:numId w:val="157"/>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A136E7">
            <w:pPr>
              <w:pStyle w:val="Akapitzlist"/>
              <w:numPr>
                <w:ilvl w:val="0"/>
                <w:numId w:val="160"/>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A136E7">
            <w:pPr>
              <w:pStyle w:val="Akapitzlist"/>
              <w:numPr>
                <w:ilvl w:val="0"/>
                <w:numId w:val="160"/>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A136E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A136E7">
            <w:pPr>
              <w:pStyle w:val="Akapitzlist"/>
              <w:numPr>
                <w:ilvl w:val="0"/>
                <w:numId w:val="161"/>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A136E7">
            <w:pPr>
              <w:pStyle w:val="Akapitzlist"/>
              <w:numPr>
                <w:ilvl w:val="0"/>
                <w:numId w:val="161"/>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164E3" w:rsidRPr="00A75BC6" w:rsidRDefault="009164E3" w:rsidP="00A136E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9164E3" w:rsidRPr="00A75BC6" w:rsidRDefault="009164E3" w:rsidP="00A136E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A136E7">
            <w:pPr>
              <w:numPr>
                <w:ilvl w:val="0"/>
                <w:numId w:val="171"/>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A136E7">
            <w:pPr>
              <w:numPr>
                <w:ilvl w:val="0"/>
                <w:numId w:val="171"/>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A136E7">
            <w:pPr>
              <w:numPr>
                <w:ilvl w:val="0"/>
                <w:numId w:val="172"/>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A136E7">
            <w:pPr>
              <w:numPr>
                <w:ilvl w:val="0"/>
                <w:numId w:val="172"/>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A136E7">
            <w:pPr>
              <w:pStyle w:val="Default"/>
              <w:numPr>
                <w:ilvl w:val="0"/>
                <w:numId w:val="173"/>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A136E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A136E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A136E7">
            <w:pPr>
              <w:pStyle w:val="Default"/>
              <w:numPr>
                <w:ilvl w:val="0"/>
                <w:numId w:val="174"/>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 posiadających szkolenie z zakresu ratownictwa 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A136E7">
            <w:pPr>
              <w:pStyle w:val="Akapitzlist"/>
              <w:numPr>
                <w:ilvl w:val="0"/>
                <w:numId w:val="175"/>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A136E7">
            <w:pPr>
              <w:pStyle w:val="Akapitzlist"/>
              <w:numPr>
                <w:ilvl w:val="0"/>
                <w:numId w:val="175"/>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A136E7">
            <w:pPr>
              <w:pStyle w:val="Standard"/>
              <w:widowControl/>
              <w:numPr>
                <w:ilvl w:val="0"/>
                <w:numId w:val="176"/>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50068A" w:rsidRDefault="00AF25B5" w:rsidP="00A136E7">
            <w:pPr>
              <w:pStyle w:val="Akapitzlist"/>
              <w:numPr>
                <w:ilvl w:val="0"/>
                <w:numId w:val="141"/>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50068A" w:rsidRDefault="00AF25B5" w:rsidP="00A136E7">
            <w:pPr>
              <w:pStyle w:val="Akapitzlist"/>
              <w:numPr>
                <w:ilvl w:val="0"/>
                <w:numId w:val="141"/>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50068A" w:rsidRDefault="00AF25B5" w:rsidP="00A136E7">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50068A" w:rsidRDefault="00AF25B5" w:rsidP="00A136E7">
            <w:pPr>
              <w:pStyle w:val="Akapitzlist"/>
              <w:numPr>
                <w:ilvl w:val="0"/>
                <w:numId w:val="142"/>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50068A" w:rsidRDefault="00AF25B5" w:rsidP="00A136E7">
            <w:pPr>
              <w:pStyle w:val="Akapitzlist"/>
              <w:numPr>
                <w:ilvl w:val="0"/>
                <w:numId w:val="142"/>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50068A" w:rsidRDefault="00AF25B5" w:rsidP="00A136E7">
            <w:pPr>
              <w:pStyle w:val="Akapitzlist"/>
              <w:numPr>
                <w:ilvl w:val="0"/>
                <w:numId w:val="142"/>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50068A" w:rsidRDefault="00AF25B5" w:rsidP="00A136E7">
            <w:pPr>
              <w:pStyle w:val="Akapitzlist"/>
              <w:numPr>
                <w:ilvl w:val="0"/>
                <w:numId w:val="142"/>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50068A" w:rsidRDefault="00AF25B5" w:rsidP="00A136E7">
            <w:pPr>
              <w:pStyle w:val="Akapitzlist"/>
              <w:numPr>
                <w:ilvl w:val="0"/>
                <w:numId w:val="142"/>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50068A" w:rsidRDefault="00AF25B5" w:rsidP="00A136E7">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50068A" w:rsidRDefault="00AF25B5" w:rsidP="00A136E7">
            <w:pPr>
              <w:pStyle w:val="Akapitzlist"/>
              <w:numPr>
                <w:ilvl w:val="0"/>
                <w:numId w:val="143"/>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50068A" w:rsidRDefault="00AF25B5" w:rsidP="00A136E7">
            <w:pPr>
              <w:pStyle w:val="Akapitzlist"/>
              <w:numPr>
                <w:ilvl w:val="0"/>
                <w:numId w:val="143"/>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50068A" w:rsidRDefault="00AF25B5" w:rsidP="00A136E7">
            <w:pPr>
              <w:numPr>
                <w:ilvl w:val="0"/>
                <w:numId w:val="141"/>
              </w:numPr>
              <w:spacing w:after="0" w:line="240" w:lineRule="auto"/>
              <w:jc w:val="both"/>
            </w:pPr>
            <w:r w:rsidRPr="00E969AF">
              <w:t>urządzenia odwadniające oraz odprowadzające wodę (np. rowy odwadniające, urządzenia ś</w:t>
            </w:r>
            <w:r>
              <w:t>ciekowe, kanalizacja deszczowa);</w:t>
            </w:r>
          </w:p>
          <w:p w:rsidR="0050068A" w:rsidRDefault="00AF25B5" w:rsidP="00A136E7">
            <w:pPr>
              <w:numPr>
                <w:ilvl w:val="0"/>
                <w:numId w:val="141"/>
              </w:numPr>
              <w:spacing w:after="0" w:line="240" w:lineRule="auto"/>
              <w:jc w:val="both"/>
            </w:pPr>
            <w:r w:rsidRPr="00E969AF">
              <w:t>urządzenia oświetleniowe</w:t>
            </w:r>
            <w:r>
              <w:t>;</w:t>
            </w:r>
          </w:p>
          <w:p w:rsidR="0050068A" w:rsidRDefault="00AF25B5" w:rsidP="00A136E7">
            <w:pPr>
              <w:numPr>
                <w:ilvl w:val="0"/>
                <w:numId w:val="141"/>
              </w:numPr>
              <w:spacing w:after="0" w:line="240" w:lineRule="auto"/>
              <w:jc w:val="both"/>
            </w:pPr>
            <w:r w:rsidRPr="00E969AF">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50068A" w:rsidRDefault="00AF25B5" w:rsidP="00A136E7">
            <w:pPr>
              <w:pStyle w:val="Akapitzlist"/>
              <w:numPr>
                <w:ilvl w:val="0"/>
                <w:numId w:val="141"/>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A136E7">
            <w:pPr>
              <w:numPr>
                <w:ilvl w:val="0"/>
                <w:numId w:val="291"/>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Ww. usługi muszą spełniać warunek świadczenia ich w sposób:</w:t>
            </w:r>
          </w:p>
          <w:p w:rsidR="0050068A" w:rsidRDefault="002669A2" w:rsidP="00A136E7">
            <w:pPr>
              <w:widowControl w:val="0"/>
              <w:numPr>
                <w:ilvl w:val="0"/>
                <w:numId w:val="170"/>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50068A" w:rsidRDefault="002669A2" w:rsidP="00A136E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50068A" w:rsidRDefault="002669A2" w:rsidP="00A136E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50068A" w:rsidRDefault="002669A2" w:rsidP="00A136E7">
            <w:pPr>
              <w:widowControl w:val="0"/>
              <w:numPr>
                <w:ilvl w:val="0"/>
                <w:numId w:val="169"/>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A136E7">
            <w:pPr>
              <w:widowControl w:val="0"/>
              <w:numPr>
                <w:ilvl w:val="0"/>
                <w:numId w:val="171"/>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50068A" w:rsidRDefault="002669A2" w:rsidP="00A136E7">
            <w:pPr>
              <w:widowControl w:val="0"/>
              <w:numPr>
                <w:ilvl w:val="0"/>
                <w:numId w:val="171"/>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50068A" w:rsidRDefault="002669A2" w:rsidP="00A136E7">
            <w:pPr>
              <w:widowControl w:val="0"/>
              <w:numPr>
                <w:ilvl w:val="0"/>
                <w:numId w:val="171"/>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i znajduje się w prowadzonym przez IZ RPO WD wykazie</w:t>
            </w:r>
            <w:r w:rsidRPr="002669A2">
              <w:rPr>
                <w:rFonts w:ascii="Calibri" w:eastAsia="Calibri" w:hAnsi="Calibri" w:cs="Times New Roman"/>
                <w:kern w:val="3"/>
              </w:rPr>
              <w:t xml:space="preserve"> programów rewitalizacji – 2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50068A" w:rsidRDefault="002669A2" w:rsidP="00A136E7">
            <w:pPr>
              <w:widowControl w:val="0"/>
              <w:numPr>
                <w:ilvl w:val="0"/>
                <w:numId w:val="166"/>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0 punktów za osiągnięcie mniej niż 2% wartości docelowej wskaźnika, przy czym minimalny akceptowalny poziom 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05260" w:rsidRDefault="00205260" w:rsidP="0049410C">
      <w:pPr>
        <w:rPr>
          <w:rFonts w:cs="Arial"/>
          <w:b/>
        </w:rPr>
      </w:pPr>
    </w:p>
    <w:p w:rsidR="00205260" w:rsidRPr="00DD2B9D" w:rsidRDefault="00205260" w:rsidP="00205260">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05260" w:rsidRDefault="00205260" w:rsidP="00205260">
      <w:pPr>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347"/>
        <w:gridCol w:w="337"/>
        <w:gridCol w:w="6378"/>
        <w:gridCol w:w="3972"/>
      </w:tblGrid>
      <w:tr w:rsidR="00205260" w:rsidRPr="003A7109" w:rsidTr="005B068E">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center"/>
              <w:rPr>
                <w:rFonts w:ascii="Calibri" w:eastAsia="Times New Roman" w:hAnsi="Calibri" w:cs="Times New Roman"/>
                <w:b/>
              </w:rPr>
            </w:pPr>
            <w:r w:rsidRPr="003A7109">
              <w:rPr>
                <w:rFonts w:ascii="Calibri" w:eastAsia="Times New Roman" w:hAnsi="Calibri" w:cs="Times New Roman"/>
                <w:b/>
              </w:rPr>
              <w:t>Lp.</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Times New Roman"/>
                <w:b/>
              </w:rPr>
            </w:pPr>
            <w:r w:rsidRPr="003A7109">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Times New Roman"/>
              </w:rPr>
            </w:pPr>
            <w:r w:rsidRPr="003A7109">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Times New Roman"/>
              </w:rPr>
            </w:pPr>
            <w:r w:rsidRPr="003A7109">
              <w:rPr>
                <w:rFonts w:ascii="Calibri" w:eastAsia="Times New Roman" w:hAnsi="Calibri" w:cs="Times New Roman"/>
                <w:b/>
              </w:rPr>
              <w:t>Opis znaczenia kryterium</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rPr>
                <w:rFonts w:ascii="Calibri" w:eastAsia="Times New Roman" w:hAnsi="Calibri" w:cs="Arial"/>
                <w:b/>
              </w:rPr>
            </w:pPr>
            <w:r w:rsidRPr="003A7109">
              <w:rPr>
                <w:rFonts w:ascii="Calibri" w:eastAsia="Times New Roman" w:hAnsi="Calibri" w:cs="Arial"/>
                <w:b/>
              </w:rPr>
              <w:t>Analiza potrzeb, deficytów oraz podaży usług zdrowotnych</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 xml:space="preserve">2.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Zasadność zaplanowanych w ramach projektu działań w kontekście rzeczywistego zapotrzebowania na dany produkt</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 xml:space="preserve">3.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Liczba radykalnych zabiegów chirurgicznych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r w:rsidR="00C15449">
              <w:rPr>
                <w:rFonts w:ascii="Calibri" w:eastAsia="Times New Roman" w:hAnsi="Calibri" w:cs="Arial"/>
              </w:rPr>
              <w:t>/</w:t>
            </w:r>
            <w:r w:rsidR="00C15449" w:rsidRPr="00C15449">
              <w:rPr>
                <w:rFonts w:ascii="Calibri" w:eastAsia="Times New Roman" w:hAnsi="Calibri" w:cs="Arial"/>
              </w:rPr>
              <w:t xml:space="preserve"> Nie dotyczy</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4.</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Del="00FE2767" w:rsidRDefault="00205260" w:rsidP="005B068E">
            <w:pPr>
              <w:rPr>
                <w:rFonts w:ascii="Calibri" w:eastAsia="Times New Roman" w:hAnsi="Calibri" w:cs="Arial"/>
                <w:b/>
              </w:rPr>
            </w:pPr>
            <w:r w:rsidRPr="003A7109">
              <w:rPr>
                <w:rFonts w:eastAsia="Times New Roman" w:cs="Arial"/>
                <w:b/>
              </w:rPr>
              <w:t xml:space="preserve">Efektywność finansowa beneficjenta </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eastAsia="Times New Roman" w:cstheme="minorHAnsi"/>
              </w:rPr>
            </w:pPr>
            <w:r w:rsidRPr="003A7109">
              <w:rPr>
                <w:rFonts w:eastAsia="Times New Roman" w:cstheme="minorHAnsi"/>
              </w:rPr>
              <w:t>W ramach kryterium będzie sprawdzane czy przedstawione wskaźniki dają gwarancję realizacji inwestycji przez podmiot, który wykazuje wysoką efektywność finansową.</w:t>
            </w:r>
          </w:p>
          <w:p w:rsidR="00205260" w:rsidRPr="003A7109" w:rsidRDefault="00205260" w:rsidP="005B068E">
            <w:pPr>
              <w:jc w:val="both"/>
              <w:rPr>
                <w:rFonts w:eastAsia="Times New Roman" w:cstheme="minorHAnsi"/>
              </w:rPr>
            </w:pPr>
            <w:r w:rsidRPr="003A7109">
              <w:rPr>
                <w:rFonts w:eastAsia="Times New Roman" w:cstheme="minorHAnsi"/>
              </w:rPr>
              <w:t>Weryfikacji podlegać będą 3 wskaźniki:</w:t>
            </w:r>
          </w:p>
          <w:p w:rsidR="00205260" w:rsidRPr="003A7109" w:rsidRDefault="00205260" w:rsidP="005B068E">
            <w:pPr>
              <w:autoSpaceDE w:val="0"/>
              <w:autoSpaceDN w:val="0"/>
              <w:adjustRightInd w:val="0"/>
              <w:spacing w:after="0" w:line="240" w:lineRule="auto"/>
              <w:rPr>
                <w:rFonts w:eastAsia="Times New Roman" w:cstheme="minorHAnsi"/>
              </w:rPr>
            </w:pPr>
          </w:p>
          <w:p w:rsidR="00205260" w:rsidRDefault="00205260" w:rsidP="00A136E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bieżącej płynności finansowej = aktywa bieżące/ zobowiązania bieżące</w:t>
            </w:r>
          </w:p>
          <w:p w:rsidR="00205260" w:rsidRDefault="00205260" w:rsidP="00A136E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Wskaźnik udziału kapitałów własnych w finansowaniu majątku = kapitały własne / aktywa ogółem</w:t>
            </w:r>
          </w:p>
          <w:p w:rsidR="00205260" w:rsidRDefault="00205260" w:rsidP="00A136E7">
            <w:pPr>
              <w:pStyle w:val="Akapitzlist"/>
              <w:numPr>
                <w:ilvl w:val="0"/>
                <w:numId w:val="300"/>
              </w:numPr>
              <w:autoSpaceDE w:val="0"/>
              <w:autoSpaceDN w:val="0"/>
              <w:adjustRightInd w:val="0"/>
              <w:spacing w:after="0"/>
              <w:rPr>
                <w:rFonts w:eastAsia="Times New Roman" w:cstheme="minorHAnsi"/>
              </w:rPr>
            </w:pPr>
            <w:r w:rsidRPr="003A7109">
              <w:rPr>
                <w:rFonts w:eastAsia="Times New Roman" w:cstheme="minorHAnsi"/>
              </w:rPr>
              <w:t xml:space="preserve"> Wskaźnik rentowności działalności operacyjnej (EBITDA) = Wynik z działalności operacyjnej + amortyzacja /  przychody ze sprzedaży + pozostałe przychody operacyjne *100%</w:t>
            </w:r>
          </w:p>
          <w:p w:rsidR="00205260" w:rsidRPr="003A7109" w:rsidRDefault="00205260" w:rsidP="005B068E">
            <w:pPr>
              <w:autoSpaceDE w:val="0"/>
              <w:autoSpaceDN w:val="0"/>
              <w:adjustRightInd w:val="0"/>
              <w:spacing w:after="0"/>
              <w:rPr>
                <w:rFonts w:eastAsia="Times New Roman" w:cstheme="minorHAnsi"/>
              </w:rPr>
            </w:pPr>
          </w:p>
          <w:p w:rsidR="00205260" w:rsidRPr="003A7109" w:rsidRDefault="00205260" w:rsidP="005B068E">
            <w:pPr>
              <w:spacing w:before="120" w:after="120"/>
              <w:jc w:val="both"/>
              <w:rPr>
                <w:rFonts w:cstheme="minorHAnsi"/>
              </w:rPr>
            </w:pPr>
            <w:r w:rsidRPr="003A7109">
              <w:rPr>
                <w:rFonts w:cstheme="minorHAnsi"/>
                <w:b/>
                <w:bCs/>
                <w:u w:val="single"/>
              </w:rPr>
              <w:t>Ocena cząstkowa poszczególnych wskaźników w ramach kryterium efektywności finansowej beneficjenta:</w:t>
            </w:r>
          </w:p>
          <w:p w:rsidR="00205260" w:rsidRPr="003A7109" w:rsidRDefault="00205260" w:rsidP="005B068E">
            <w:pPr>
              <w:spacing w:before="120" w:after="120"/>
              <w:jc w:val="both"/>
              <w:rPr>
                <w:rFonts w:cstheme="minorHAnsi"/>
                <w:bCs/>
              </w:rPr>
            </w:pPr>
            <w:r w:rsidRPr="003A7109">
              <w:rPr>
                <w:rFonts w:cstheme="minorHAnsi"/>
                <w:bCs/>
              </w:rPr>
              <w:t xml:space="preserve">Ad. 1 </w:t>
            </w:r>
          </w:p>
          <w:p w:rsidR="00205260" w:rsidRPr="003A7109" w:rsidRDefault="00205260" w:rsidP="005B068E">
            <w:pPr>
              <w:spacing w:before="120" w:after="120"/>
              <w:jc w:val="both"/>
              <w:rPr>
                <w:rFonts w:cstheme="minorHAnsi"/>
              </w:rPr>
            </w:pPr>
            <w:r w:rsidRPr="003A7109">
              <w:rPr>
                <w:rFonts w:cstheme="minorHAnsi"/>
                <w:bCs/>
              </w:rPr>
              <w:t>Wskaźnik bieżącej płynności finansowej</w:t>
            </w:r>
            <w:r w:rsidRPr="003A7109">
              <w:rPr>
                <w:rFonts w:cstheme="minorHAnsi"/>
              </w:rPr>
              <w:t> = aktywa bieżące / zobowiązania bieżące</w:t>
            </w:r>
          </w:p>
          <w:p w:rsidR="00205260" w:rsidRPr="003A7109" w:rsidRDefault="00205260" w:rsidP="005B068E">
            <w:pPr>
              <w:spacing w:before="120" w:after="120"/>
              <w:jc w:val="both"/>
              <w:rPr>
                <w:rFonts w:cstheme="minorHAnsi"/>
              </w:rPr>
            </w:pPr>
            <w:r w:rsidRPr="003A7109">
              <w:rPr>
                <w:rFonts w:cstheme="minorHAnsi"/>
              </w:rPr>
              <w:t>Zasady oceny kryterium:</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3 pkt – jeżeli wartość wskaźnika jest większa niż 1,10</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2 pkt – jeżeli wartość wskaźnika jest większa od 0,80 ale mniejsza lub równa 1,10</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1 pkt – jeżeli wartość wskaźnika jest większa od 0,50 ale mniejsza lub równa 0,80</w:t>
            </w:r>
          </w:p>
          <w:p w:rsidR="00205260" w:rsidRDefault="00205260" w:rsidP="00A136E7">
            <w:pPr>
              <w:pStyle w:val="Akapitzlist"/>
              <w:numPr>
                <w:ilvl w:val="0"/>
                <w:numId w:val="297"/>
              </w:numPr>
              <w:suppressAutoHyphens/>
              <w:autoSpaceDN w:val="0"/>
              <w:spacing w:before="120" w:after="120"/>
              <w:jc w:val="both"/>
              <w:textAlignment w:val="baseline"/>
              <w:rPr>
                <w:rFonts w:cstheme="minorHAnsi"/>
              </w:rPr>
            </w:pPr>
            <w:r w:rsidRPr="003A7109">
              <w:rPr>
                <w:rFonts w:cstheme="minorHAnsi"/>
              </w:rPr>
              <w:t>0 pkt – jeżeli wartość wskaźnika jest mniejsza lub równa 0,50</w:t>
            </w:r>
          </w:p>
          <w:p w:rsidR="00205260" w:rsidRPr="003A7109" w:rsidRDefault="00205260" w:rsidP="005B068E">
            <w:pPr>
              <w:spacing w:before="120" w:after="120"/>
              <w:jc w:val="both"/>
              <w:rPr>
                <w:rFonts w:cstheme="minorHAnsi"/>
              </w:rPr>
            </w:pPr>
            <w:r w:rsidRPr="003A7109">
              <w:rPr>
                <w:rFonts w:cstheme="minorHAnsi"/>
              </w:rPr>
              <w:t>max. punktacja:3 pkt</w:t>
            </w:r>
          </w:p>
          <w:p w:rsidR="00205260" w:rsidRPr="003A7109" w:rsidRDefault="00205260" w:rsidP="005B068E">
            <w:pPr>
              <w:spacing w:before="120" w:after="120"/>
              <w:jc w:val="both"/>
              <w:rPr>
                <w:rFonts w:cstheme="minorHAnsi"/>
              </w:rPr>
            </w:pPr>
            <w:r w:rsidRPr="003A7109">
              <w:rPr>
                <w:rFonts w:cstheme="minorHAnsi"/>
              </w:rPr>
              <w:t> </w:t>
            </w:r>
          </w:p>
          <w:p w:rsidR="00205260" w:rsidRPr="003A7109" w:rsidRDefault="00205260" w:rsidP="005B068E">
            <w:pPr>
              <w:spacing w:before="120" w:after="120"/>
              <w:jc w:val="both"/>
              <w:rPr>
                <w:rFonts w:cstheme="minorHAnsi"/>
              </w:rPr>
            </w:pPr>
            <w:r w:rsidRPr="003A7109">
              <w:rPr>
                <w:rFonts w:cstheme="minorHAnsi"/>
              </w:rPr>
              <w:t>Ad. 2</w:t>
            </w:r>
          </w:p>
          <w:p w:rsidR="00205260" w:rsidRPr="003A7109" w:rsidRDefault="00205260" w:rsidP="005B068E">
            <w:pPr>
              <w:spacing w:before="120" w:after="120"/>
              <w:jc w:val="both"/>
              <w:rPr>
                <w:rFonts w:cstheme="minorHAnsi"/>
              </w:rPr>
            </w:pPr>
            <w:r w:rsidRPr="003A7109">
              <w:rPr>
                <w:rFonts w:cstheme="minorHAnsi"/>
              </w:rPr>
              <w:t>Wskaźnik udziału kapitałów własnych w finansowaniu majątku = kapitały własne / aktywa ogółem Zasady oceny kryterium:</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3 pkt – jeżeli wartość wskaźnika jest większa lub równa 0,50</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2 pkt – jeżeli wartość wskaźnika jest większa lub równa 0,40 ale mniejsza niż 0,50</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1 pkt – jeżeli wartość wskaźnika jest większa lub równa 0,35 ale mniejsza niż 0,40</w:t>
            </w:r>
          </w:p>
          <w:p w:rsidR="00205260" w:rsidRDefault="00205260" w:rsidP="00A136E7">
            <w:pPr>
              <w:pStyle w:val="Akapitzlist"/>
              <w:numPr>
                <w:ilvl w:val="0"/>
                <w:numId w:val="298"/>
              </w:numPr>
              <w:suppressAutoHyphens/>
              <w:autoSpaceDN w:val="0"/>
              <w:spacing w:before="120" w:after="120"/>
              <w:jc w:val="both"/>
              <w:textAlignment w:val="baseline"/>
              <w:rPr>
                <w:rFonts w:cstheme="minorHAnsi"/>
              </w:rPr>
            </w:pPr>
            <w:r w:rsidRPr="003A7109">
              <w:rPr>
                <w:rFonts w:cstheme="minorHAnsi"/>
              </w:rPr>
              <w:t>0 pkt – jeżeli wartość wskaźnika jest mniejsza niż 0,35</w:t>
            </w:r>
          </w:p>
          <w:p w:rsidR="00205260" w:rsidRPr="003A7109" w:rsidRDefault="00205260" w:rsidP="005B068E">
            <w:pPr>
              <w:spacing w:before="120" w:after="120"/>
              <w:jc w:val="both"/>
              <w:rPr>
                <w:rFonts w:cstheme="minorHAnsi"/>
              </w:rPr>
            </w:pPr>
            <w:r w:rsidRPr="003A7109">
              <w:rPr>
                <w:rFonts w:cstheme="minorHAnsi"/>
              </w:rPr>
              <w:t>max. punktacja: 3 pkt</w:t>
            </w:r>
          </w:p>
          <w:p w:rsidR="00205260" w:rsidRPr="003A7109" w:rsidRDefault="00205260" w:rsidP="005B068E">
            <w:pPr>
              <w:spacing w:before="120" w:after="120"/>
              <w:jc w:val="both"/>
              <w:rPr>
                <w:rFonts w:cstheme="minorHAnsi"/>
              </w:rPr>
            </w:pPr>
            <w:r w:rsidRPr="003A7109">
              <w:rPr>
                <w:rFonts w:cstheme="minorHAnsi"/>
              </w:rPr>
              <w:t> </w:t>
            </w:r>
          </w:p>
          <w:p w:rsidR="00205260" w:rsidRPr="003A7109" w:rsidRDefault="00205260" w:rsidP="005B068E">
            <w:pPr>
              <w:spacing w:before="120" w:after="120"/>
              <w:jc w:val="both"/>
              <w:rPr>
                <w:rFonts w:cstheme="minorHAnsi"/>
              </w:rPr>
            </w:pPr>
            <w:r w:rsidRPr="003A7109">
              <w:rPr>
                <w:rFonts w:cstheme="minorHAnsi"/>
              </w:rPr>
              <w:t xml:space="preserve">Ad. 3 </w:t>
            </w:r>
          </w:p>
          <w:p w:rsidR="00205260" w:rsidRPr="003A7109" w:rsidRDefault="00205260" w:rsidP="005B068E">
            <w:pPr>
              <w:spacing w:before="120" w:after="120"/>
              <w:jc w:val="both"/>
              <w:rPr>
                <w:rFonts w:cstheme="minorHAnsi"/>
              </w:rPr>
            </w:pPr>
            <w:r w:rsidRPr="003A7109">
              <w:rPr>
                <w:rFonts w:cstheme="minorHAnsi"/>
              </w:rPr>
              <w:t>Wskaźnik rentowności działalności operacyjnej (EBITDA) = Wynik z działalności operacyjnej + amortyzacja /  przychody ze sprzedaży + pozostałe przychody operacyjne *100%</w:t>
            </w:r>
          </w:p>
          <w:p w:rsidR="00205260" w:rsidRPr="003A7109" w:rsidRDefault="00205260" w:rsidP="005B068E">
            <w:pPr>
              <w:spacing w:before="120" w:after="120"/>
              <w:jc w:val="both"/>
              <w:rPr>
                <w:rFonts w:cstheme="minorHAnsi"/>
              </w:rPr>
            </w:pPr>
            <w:r w:rsidRPr="003A7109">
              <w:rPr>
                <w:rFonts w:cstheme="minorHAnsi"/>
              </w:rPr>
              <w:t>Zasady oceny kryterium:</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3 pkt – jeżeli wartość wskaźnika jest większa od 3,00%</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2 pkt – jeżeli wartość wskaźnika jest mniejsza od 3,00% ale większa lub równa 1,00%</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1pkt – jeżeli wartość wskaźnika jest mniejsza od 1% ale większa lub równa 0%</w:t>
            </w:r>
          </w:p>
          <w:p w:rsidR="00205260" w:rsidRDefault="00205260" w:rsidP="00A136E7">
            <w:pPr>
              <w:pStyle w:val="Akapitzlist"/>
              <w:numPr>
                <w:ilvl w:val="0"/>
                <w:numId w:val="299"/>
              </w:numPr>
              <w:suppressAutoHyphens/>
              <w:autoSpaceDN w:val="0"/>
              <w:spacing w:before="120" w:after="120"/>
              <w:jc w:val="both"/>
              <w:textAlignment w:val="baseline"/>
              <w:rPr>
                <w:rFonts w:cstheme="minorHAnsi"/>
              </w:rPr>
            </w:pPr>
            <w:r w:rsidRPr="003A7109">
              <w:rPr>
                <w:rFonts w:cstheme="minorHAnsi"/>
              </w:rPr>
              <w:t>0 pkt – jeżeli wartość wskaźnika jest mniejsza od 0%</w:t>
            </w:r>
          </w:p>
          <w:p w:rsidR="00205260" w:rsidRPr="003A7109" w:rsidRDefault="00205260" w:rsidP="005B068E">
            <w:pPr>
              <w:spacing w:before="120" w:after="120"/>
              <w:jc w:val="both"/>
              <w:rPr>
                <w:rFonts w:cstheme="minorHAnsi"/>
              </w:rPr>
            </w:pPr>
            <w:r w:rsidRPr="003A7109">
              <w:rPr>
                <w:rFonts w:cstheme="minorHAnsi"/>
              </w:rPr>
              <w:t>max. punktacja: 3 pkt</w:t>
            </w:r>
          </w:p>
          <w:p w:rsidR="00205260" w:rsidRPr="003A7109" w:rsidRDefault="00205260" w:rsidP="005B068E">
            <w:pPr>
              <w:spacing w:before="120" w:after="120"/>
              <w:jc w:val="both"/>
              <w:rPr>
                <w:rFonts w:cstheme="minorHAnsi"/>
              </w:rPr>
            </w:pPr>
            <w:r w:rsidRPr="003A7109">
              <w:rPr>
                <w:rFonts w:cstheme="minorHAnsi"/>
              </w:rPr>
              <w:t> </w:t>
            </w:r>
          </w:p>
          <w:p w:rsidR="00205260" w:rsidRPr="003A7109" w:rsidDel="00FE2767" w:rsidRDefault="00205260" w:rsidP="005B068E">
            <w:pPr>
              <w:spacing w:before="120" w:after="120"/>
              <w:jc w:val="both"/>
              <w:rPr>
                <w:sz w:val="24"/>
                <w:szCs w:val="24"/>
              </w:rPr>
            </w:pPr>
            <w:r w:rsidRPr="003A7109">
              <w:rPr>
                <w:rFonts w:cstheme="minorHAnsi"/>
              </w:rPr>
              <w:t xml:space="preserve">W tak przedstawionej metodologii ekspert będzie mógł przyznać w ramach kryterium „efektywności finansowej beneficjenta” </w:t>
            </w:r>
            <w:r w:rsidRPr="003A7109">
              <w:rPr>
                <w:rFonts w:cstheme="minorHAnsi"/>
                <w:bCs/>
              </w:rPr>
              <w:t>maksymalnie 9 pkt</w:t>
            </w:r>
            <w:r w:rsidRPr="003A7109">
              <w:rPr>
                <w:rFonts w:cstheme="minorHAnsi"/>
              </w:rPr>
              <w:t xml:space="preserve">. Przyjmuje się, </w:t>
            </w:r>
            <w:r w:rsidRPr="003A7109">
              <w:rPr>
                <w:rFonts w:cstheme="minorHAnsi"/>
                <w:b/>
              </w:rPr>
              <w:t>że przyznanie</w:t>
            </w:r>
            <w:r w:rsidRPr="003A7109">
              <w:rPr>
                <w:rFonts w:cstheme="minorHAnsi"/>
              </w:rPr>
              <w:t xml:space="preserve"> </w:t>
            </w:r>
            <w:r w:rsidRPr="003A7109">
              <w:rPr>
                <w:rFonts w:cstheme="minorHAnsi"/>
                <w:b/>
              </w:rPr>
              <w:t>5 punktów lub więcej</w:t>
            </w:r>
            <w:r w:rsidRPr="003A7109">
              <w:rPr>
                <w:rFonts w:cstheme="minorHAnsi"/>
              </w:rPr>
              <w:t xml:space="preserve"> będzie świadczyło o tym, że przedstawione szczegółowe wskaźniki dają gwarancję realizacji inwestycji przez podmiot, który będzie wykazywał wysoką efektywność finansową, co</w:t>
            </w:r>
            <w:r w:rsidRPr="003A7109">
              <w:rPr>
                <w:rFonts w:cstheme="minorHAnsi"/>
                <w:b/>
              </w:rPr>
              <w:t xml:space="preserve"> oznacza spełnienie kryterium „efektywności finansowej beneficjenta”.</w:t>
            </w:r>
            <w:r w:rsidRPr="003A7109">
              <w:rPr>
                <w:sz w:val="24"/>
                <w:szCs w:val="24"/>
              </w:rPr>
              <w:t xml:space="preserve">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Tak/Nie</w:t>
            </w:r>
          </w:p>
          <w:p w:rsidR="00205260" w:rsidRPr="003A7109" w:rsidDel="00FE2767" w:rsidRDefault="00205260" w:rsidP="005B068E">
            <w:pPr>
              <w:snapToGrid w:val="0"/>
              <w:jc w:val="center"/>
              <w:rPr>
                <w:rFonts w:ascii="Calibri" w:eastAsia="Times New Roman" w:hAnsi="Calibri" w:cs="Arial"/>
              </w:rPr>
            </w:pPr>
            <w:r w:rsidRPr="003A7109">
              <w:rPr>
                <w:rFonts w:ascii="Calibri" w:eastAsia="Times New Roman" w:hAnsi="Calibri" w:cs="Arial"/>
              </w:rPr>
              <w:t xml:space="preserve">(niespełnienie kryterium </w:t>
            </w:r>
            <w:r w:rsidRPr="003A7109">
              <w:rPr>
                <w:rFonts w:ascii="Calibri" w:eastAsia="Times New Roman" w:hAnsi="Calibri" w:cs="Arial"/>
              </w:rPr>
              <w:br/>
              <w:t>oznacza odrzucenie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5.</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Przeniesienie akcentów z usług wymagających hospitalizacji na rzecz POZ/AOS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205260" w:rsidRDefault="00205260" w:rsidP="00A136E7">
            <w:pPr>
              <w:pStyle w:val="Akapitzlist"/>
              <w:numPr>
                <w:ilvl w:val="0"/>
                <w:numId w:val="294"/>
              </w:numPr>
              <w:jc w:val="both"/>
              <w:rPr>
                <w:rFonts w:ascii="Calibri" w:eastAsia="Times New Roman" w:hAnsi="Calibri" w:cs="Arial"/>
              </w:rPr>
            </w:pPr>
            <w:r w:rsidRPr="003A7109">
              <w:rPr>
                <w:rFonts w:ascii="Calibri" w:eastAsia="Times New Roman" w:hAnsi="Calibri" w:cs="Arial"/>
              </w:rPr>
              <w:t>wprowadzenie lub rozwój opieki koordynowanej , lub</w:t>
            </w:r>
          </w:p>
          <w:p w:rsidR="00205260" w:rsidRDefault="00205260" w:rsidP="00A136E7">
            <w:pPr>
              <w:pStyle w:val="Akapitzlist"/>
              <w:numPr>
                <w:ilvl w:val="0"/>
                <w:numId w:val="294"/>
              </w:numPr>
              <w:jc w:val="both"/>
              <w:rPr>
                <w:rFonts w:ascii="Calibri" w:eastAsia="Times New Roman" w:hAnsi="Calibri" w:cs="Arial"/>
              </w:rPr>
            </w:pPr>
            <w:r w:rsidRPr="003A7109">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205260" w:rsidRPr="003A7109" w:rsidRDefault="00205260" w:rsidP="005B068E">
            <w:pPr>
              <w:pStyle w:val="Akapitzlist"/>
              <w:jc w:val="both"/>
              <w:rPr>
                <w:rFonts w:ascii="Calibri" w:eastAsia="Times New Roman" w:hAnsi="Calibri" w:cs="Arial"/>
              </w:rPr>
            </w:pP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NIE - 0 pkt (niespełnienie kryterium lub brak informacji)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6.</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Konsolidacja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205260" w:rsidRDefault="00205260" w:rsidP="00A136E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zrealizowane, realizowane lub planowane do realizacji działania konsolidacyjne – 2 pkt, </w:t>
            </w:r>
          </w:p>
          <w:p w:rsidR="00205260" w:rsidRDefault="00205260" w:rsidP="00A136E7">
            <w:pPr>
              <w:pStyle w:val="Akapitzlist"/>
              <w:numPr>
                <w:ilvl w:val="0"/>
                <w:numId w:val="295"/>
              </w:numPr>
              <w:jc w:val="both"/>
              <w:rPr>
                <w:rFonts w:ascii="Calibri" w:eastAsia="Times New Roman" w:hAnsi="Calibri" w:cs="Arial"/>
              </w:rPr>
            </w:pPr>
            <w:r w:rsidRPr="003A7109">
              <w:rPr>
                <w:rFonts w:ascii="Calibri" w:eastAsia="Times New Roman" w:hAnsi="Calibri" w:cs="Arial"/>
              </w:rPr>
              <w:t xml:space="preserve">inne formy współpracy- 1 pkt, </w:t>
            </w:r>
          </w:p>
          <w:p w:rsidR="00205260" w:rsidRDefault="00205260" w:rsidP="00A136E7">
            <w:pPr>
              <w:pStyle w:val="Akapitzlist"/>
              <w:numPr>
                <w:ilvl w:val="0"/>
                <w:numId w:val="295"/>
              </w:numPr>
              <w:jc w:val="both"/>
              <w:rPr>
                <w:rFonts w:ascii="Calibri" w:eastAsia="Times New Roman" w:hAnsi="Calibri" w:cs="Arial"/>
              </w:rPr>
            </w:pPr>
            <w:r w:rsidRPr="003A7109">
              <w:rPr>
                <w:rFonts w:ascii="Calibri" w:eastAsia="Times New Roman" w:hAnsi="Calibri" w:cs="Arial"/>
              </w:rPr>
              <w:t>niespełnienie kryterium lub  brak informacji - 0 pkt</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7.</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Restrukturyzacja</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8.</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Poziom wykorzystania łóżek</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205260" w:rsidRDefault="00205260" w:rsidP="00A136E7">
            <w:pPr>
              <w:pStyle w:val="Akapitzlist"/>
              <w:numPr>
                <w:ilvl w:val="0"/>
                <w:numId w:val="296"/>
              </w:numPr>
              <w:jc w:val="both"/>
              <w:rPr>
                <w:rFonts w:ascii="Calibri" w:eastAsia="Times New Roman" w:hAnsi="Calibri" w:cs="Arial"/>
              </w:rPr>
            </w:pPr>
            <w:r w:rsidRPr="003A7109">
              <w:rPr>
                <w:rFonts w:ascii="Calibri" w:eastAsia="Times New Roman" w:hAnsi="Calibri" w:cs="Arial"/>
              </w:rPr>
              <w:t>≥75% - 1 pkt</w:t>
            </w:r>
          </w:p>
          <w:p w:rsidR="00205260" w:rsidRDefault="00205260" w:rsidP="00A136E7">
            <w:pPr>
              <w:pStyle w:val="Akapitzlist"/>
              <w:numPr>
                <w:ilvl w:val="0"/>
                <w:numId w:val="296"/>
              </w:numPr>
              <w:jc w:val="both"/>
              <w:rPr>
                <w:rFonts w:ascii="Calibri" w:eastAsia="Times New Roman" w:hAnsi="Calibri" w:cs="Arial"/>
              </w:rPr>
            </w:pPr>
            <w:r w:rsidRPr="003A7109">
              <w:rPr>
                <w:rFonts w:ascii="Calibri" w:eastAsia="Times New Roman" w:hAnsi="Calibri" w:cs="Arial"/>
              </w:rPr>
              <w:t xml:space="preserve">&lt;75% - 0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9.</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eastAsia="Times New Roman" w:cs="Arial"/>
                <w:b/>
              </w:rPr>
            </w:pPr>
            <w:r w:rsidRPr="003A7109">
              <w:rPr>
                <w:rFonts w:eastAsia="Times New Roman" w:cs="Arial"/>
                <w:b/>
              </w:rPr>
              <w:t>Zwiększenie wykrywalności nowotworów</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W ramach kryterium wnioskodawca zobowiązany jest wykazać czy zakładane w ramach projektu działania przyczyniają się do: </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zwiększenia wykrywalności tych nowotworów, dla których struktura stadiów jest najmniej korzystna w danym regionie zgodnie z danymi zawartymi w mapie onkologicznej, lub</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w zakresie chemioterapii – zwiększenia udziału świadczeń z ww. zakresu w trybie jednodniowym lub ambulatoryjnym, lub</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- 2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10.</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eastAsia="Times New Roman" w:cs="Arial"/>
                <w:b/>
              </w:rPr>
            </w:pPr>
            <w:r w:rsidRPr="003A7109">
              <w:rPr>
                <w:rFonts w:eastAsia="Times New Roman" w:cs="Arial"/>
                <w:b/>
              </w:rPr>
              <w:t>Poprawa jakości i dostępności do świadczeń opieki zdrowotnej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działania przyczyniające się do poprawy jakości i dostępu do świadczeń opieki zdrowotnej w tym poprzez:</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 skrócenie czasu oczekiwania na świadczenia zdrowotne, lub </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poprawę wskaźnika „przelotowości”, tj. liczby osób leczonych w ciągu roku na 1 łóżko szpitalne.</w:t>
            </w: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 xml:space="preserve">Za spełnienie każdego z ww. warunków wnioskodawca otrzyma  1 pkt. Maksymalna ilość pkt do zdobycia w ww. w kryterium - 3 pkt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0-3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11.</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eastAsia="Times New Roman" w:cs="Arial"/>
                <w:b/>
              </w:rPr>
            </w:pPr>
            <w:r w:rsidRPr="003A7109">
              <w:rPr>
                <w:rFonts w:eastAsia="Times New Roman" w:cs="Arial"/>
                <w:b/>
              </w:rPr>
              <w:t>Wykorzystanie wyrobów medycznych w zakresie AOS</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12.</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both"/>
              <w:rPr>
                <w:rFonts w:ascii="Calibri" w:eastAsia="Times New Roman" w:hAnsi="Calibri" w:cs="Arial"/>
                <w:b/>
              </w:rPr>
            </w:pPr>
            <w:r w:rsidRPr="003A7109">
              <w:rPr>
                <w:rFonts w:ascii="Calibri" w:eastAsia="Times New Roman" w:hAnsi="Calibri" w:cs="Arial"/>
                <w:b/>
              </w:rPr>
              <w:t>Doposażenie  lub modernizacja Bloku operacyjnego</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jc w:val="both"/>
              <w:rPr>
                <w:rFonts w:ascii="Calibri" w:eastAsia="Times New Roman" w:hAnsi="Calibri" w:cs="Arial"/>
              </w:rPr>
            </w:pPr>
          </w:p>
          <w:p w:rsidR="00205260" w:rsidRPr="003A7109" w:rsidRDefault="00205260" w:rsidP="005B068E">
            <w:pPr>
              <w:jc w:val="both"/>
              <w:rPr>
                <w:rFonts w:ascii="Calibri" w:eastAsia="Times New Roman" w:hAnsi="Calibri" w:cs="Arial"/>
              </w:rPr>
            </w:pPr>
            <w:r w:rsidRPr="003A7109">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 xml:space="preserve">TAK - 1 pkt, </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sidRPr="003A7109">
              <w:rPr>
                <w:rFonts w:ascii="Calibri" w:eastAsia="Times New Roman" w:hAnsi="Calibri" w:cs="Times New Roman"/>
              </w:rPr>
              <w:t>13.</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Kształcenie kadry medycznej</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spacing w:before="240"/>
              <w:jc w:val="both"/>
              <w:rPr>
                <w:rFonts w:ascii="Calibri" w:eastAsia="Times New Roman" w:hAnsi="Calibri" w:cs="Times New Roman"/>
              </w:rPr>
            </w:pPr>
            <w:r w:rsidRPr="003A7109">
              <w:rPr>
                <w:rFonts w:ascii="Calibri" w:eastAsia="Times New Roman" w:hAnsi="Calibri" w:cs="Times New Roman"/>
              </w:rPr>
              <w:t>W ramach kryterium wnioskodawca zobowiązany jest wykazać  czy kadra medyczna uczestniczy w kształceniu przeddyplomowym lub podyplomowym.</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TAK - 1 pkt,</w:t>
            </w:r>
          </w:p>
          <w:p w:rsidR="00205260" w:rsidRDefault="00205260" w:rsidP="00A136E7">
            <w:pPr>
              <w:pStyle w:val="Akapitzlist"/>
              <w:numPr>
                <w:ilvl w:val="0"/>
                <w:numId w:val="293"/>
              </w:numPr>
              <w:snapToGrid w:val="0"/>
              <w:jc w:val="both"/>
              <w:rPr>
                <w:rFonts w:ascii="Calibri" w:eastAsia="Times New Roman" w:hAnsi="Calibri" w:cs="Calibri"/>
              </w:rPr>
            </w:pPr>
            <w:r w:rsidRPr="003A7109">
              <w:rPr>
                <w:rFonts w:ascii="Calibri" w:eastAsia="Times New Roman" w:hAnsi="Calibri" w:cs="Calibri"/>
              </w:rPr>
              <w:t>NIE - 0 pkt (niespełnienie kryterium lub brak informacji)</w:t>
            </w:r>
          </w:p>
          <w:p w:rsidR="00205260" w:rsidRPr="003A7109" w:rsidRDefault="00205260" w:rsidP="005B068E">
            <w:pPr>
              <w:spacing w:before="240"/>
              <w:jc w:val="both"/>
              <w:rPr>
                <w:rFonts w:ascii="Calibri" w:eastAsia="Times New Roman" w:hAnsi="Calibri" w:cs="Times New Roman"/>
              </w:rPr>
            </w:pP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br/>
              <w:t>0-1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snapToGrid w:val="0"/>
              <w:jc w:val="center"/>
              <w:rPr>
                <w:rFonts w:ascii="Calibri" w:eastAsia="Times New Roman" w:hAnsi="Calibri" w:cs="Arial"/>
              </w:rPr>
            </w:pPr>
            <w:r w:rsidRPr="003A7109">
              <w:rPr>
                <w:rFonts w:ascii="Calibri" w:eastAsia="Times New Roman" w:hAnsi="Calibri" w:cs="Arial"/>
              </w:rPr>
              <w:t>nie oznacza odrzucenia wniosku)</w:t>
            </w:r>
          </w:p>
        </w:tc>
      </w:tr>
      <w:tr w:rsidR="00205260" w:rsidRPr="003A7109" w:rsidTr="005B068E">
        <w:tc>
          <w:tcPr>
            <w:tcW w:w="566"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jc w:val="center"/>
              <w:rPr>
                <w:rFonts w:ascii="Calibri" w:eastAsia="Times New Roman" w:hAnsi="Calibri" w:cs="Times New Roman"/>
              </w:rPr>
            </w:pPr>
            <w:r>
              <w:rPr>
                <w:rFonts w:ascii="Calibri" w:eastAsia="Times New Roman" w:hAnsi="Calibri" w:cs="Times New Roman"/>
              </w:rPr>
              <w:t>14</w:t>
            </w:r>
            <w:r w:rsidRPr="003A7109">
              <w:rPr>
                <w:rFonts w:ascii="Calibri" w:eastAsia="Times New Roman" w:hAnsi="Calibri" w:cs="Times New Roman"/>
              </w:rPr>
              <w:t xml:space="preserve">. </w:t>
            </w:r>
          </w:p>
        </w:tc>
        <w:tc>
          <w:tcPr>
            <w:tcW w:w="3684" w:type="dxa"/>
            <w:gridSpan w:val="2"/>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rPr>
                <w:rFonts w:ascii="Calibri" w:eastAsia="Times New Roman" w:hAnsi="Calibri" w:cs="Arial"/>
                <w:b/>
              </w:rPr>
            </w:pPr>
            <w:r w:rsidRPr="003A7109">
              <w:rPr>
                <w:rFonts w:ascii="Calibri" w:eastAsia="Times New Roman" w:hAnsi="Calibri" w:cs="Arial"/>
                <w:b/>
              </w:rPr>
              <w:t>Kompleksowa opieka onkologiczna</w:t>
            </w:r>
          </w:p>
        </w:tc>
        <w:tc>
          <w:tcPr>
            <w:tcW w:w="6378" w:type="dxa"/>
            <w:tcBorders>
              <w:top w:val="single" w:sz="4" w:space="0" w:color="000000"/>
              <w:left w:val="single" w:sz="4" w:space="0" w:color="000000"/>
              <w:bottom w:val="single" w:sz="4" w:space="0" w:color="000000"/>
              <w:right w:val="single" w:sz="4" w:space="0" w:color="000000"/>
            </w:tcBorders>
            <w:vAlign w:val="center"/>
          </w:tcPr>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xml:space="preserve">W ramach kryterium wnioskodawca zobowiązany jest zapewnić (najpóźniej w kolejnym okresie kontraktowania świadczeń opieki zdrowotnej po zakończeniu realizacji projektu) kompleksową opiekę onkologiczną, rozumianą jako: </w:t>
            </w:r>
          </w:p>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udzielanie świadczeń opieki zdrowotnej finansowanych ze środków publicznych, oprócz zakresów onkologicznych, tj. chirurgia onkologiczna, onkologia kliniczna, w  minimum 2 innych zakresach w ramach lecznictwa szpitalnego i AOS o tym samym profilu, oraz</w:t>
            </w:r>
          </w:p>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udokumentowaną koordynację, w tym dostęp do świadczeń chemioterapii i radioterapii onkologicznej i medycyny nuklearnej - w przypadku nowotworów leczonych z  wykorzystaniem medycyny nuklearnej</w:t>
            </w:r>
          </w:p>
          <w:p w:rsidR="00205260" w:rsidRPr="0034771F" w:rsidRDefault="00205260" w:rsidP="00A136E7">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 xml:space="preserve">TAK - 2 pkt, </w:t>
            </w:r>
          </w:p>
          <w:p w:rsidR="00205260" w:rsidRPr="0034771F" w:rsidRDefault="00205260" w:rsidP="00A136E7">
            <w:pPr>
              <w:pStyle w:val="Akapitzlist"/>
              <w:numPr>
                <w:ilvl w:val="0"/>
                <w:numId w:val="292"/>
              </w:numPr>
              <w:snapToGrid w:val="0"/>
              <w:jc w:val="both"/>
              <w:rPr>
                <w:rFonts w:ascii="Calibri" w:eastAsia="Times New Roman" w:hAnsi="Calibri" w:cs="Times New Roman"/>
              </w:rPr>
            </w:pPr>
            <w:r w:rsidRPr="0034771F">
              <w:rPr>
                <w:rFonts w:ascii="Calibri" w:eastAsia="Times New Roman" w:hAnsi="Calibri" w:cs="Times New Roman"/>
              </w:rPr>
              <w:t>NIE - 0 pkt</w:t>
            </w:r>
          </w:p>
          <w:p w:rsidR="00205260" w:rsidRPr="0034771F" w:rsidRDefault="00205260" w:rsidP="005B068E">
            <w:pPr>
              <w:spacing w:before="240"/>
              <w:jc w:val="both"/>
              <w:rPr>
                <w:rFonts w:ascii="Calibri" w:eastAsia="Times New Roman" w:hAnsi="Calibri" w:cs="Times New Roman"/>
              </w:rPr>
            </w:pPr>
            <w:r w:rsidRPr="0034771F">
              <w:rPr>
                <w:rFonts w:ascii="Calibri" w:eastAsia="Times New Roman" w:hAnsi="Calibri" w:cs="Times New Roman"/>
              </w:rPr>
              <w:t xml:space="preserve">kryterium weryfikowane w oparciu  o oświadczenie wnioskodawcy załączone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0-2 pkt.</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 xml:space="preserve">(0 punktów w kryterium </w:t>
            </w:r>
          </w:p>
          <w:p w:rsidR="00205260" w:rsidRPr="003A7109" w:rsidRDefault="00205260" w:rsidP="005B068E">
            <w:pPr>
              <w:autoSpaceDE w:val="0"/>
              <w:autoSpaceDN w:val="0"/>
              <w:adjustRightInd w:val="0"/>
              <w:spacing w:after="0" w:line="240" w:lineRule="auto"/>
              <w:jc w:val="center"/>
              <w:rPr>
                <w:rFonts w:ascii="Calibri" w:eastAsia="Times New Roman" w:hAnsi="Calibri" w:cs="Arial"/>
              </w:rPr>
            </w:pPr>
            <w:r w:rsidRPr="003A7109">
              <w:rPr>
                <w:rFonts w:ascii="Calibri" w:eastAsia="Times New Roman" w:hAnsi="Calibri" w:cs="Arial"/>
              </w:rPr>
              <w:t>nie oznacza odrzucenia wniosku)</w:t>
            </w:r>
          </w:p>
        </w:tc>
      </w:tr>
      <w:tr w:rsidR="00205260" w:rsidRPr="00DB4FBC" w:rsidTr="005B068E">
        <w:tblPrEx>
          <w:tblLook w:val="0000"/>
        </w:tblPrEx>
        <w:trPr>
          <w:trHeight w:val="644"/>
        </w:trPr>
        <w:tc>
          <w:tcPr>
            <w:tcW w:w="3913" w:type="dxa"/>
            <w:gridSpan w:val="2"/>
            <w:vAlign w:val="center"/>
          </w:tcPr>
          <w:p w:rsidR="00205260" w:rsidRPr="00DB4FBC" w:rsidRDefault="00205260" w:rsidP="005B068E">
            <w:pPr>
              <w:suppressAutoHyphens/>
              <w:spacing w:after="0" w:line="240" w:lineRule="auto"/>
              <w:jc w:val="right"/>
              <w:rPr>
                <w:rFonts w:cs="Arial"/>
                <w:b/>
              </w:rPr>
            </w:pPr>
            <w:r w:rsidRPr="00DB4FBC">
              <w:rPr>
                <w:rFonts w:cs="Arial"/>
                <w:b/>
              </w:rPr>
              <w:t>SUMA</w:t>
            </w:r>
          </w:p>
        </w:tc>
        <w:tc>
          <w:tcPr>
            <w:tcW w:w="10687" w:type="dxa"/>
            <w:gridSpan w:val="3"/>
            <w:vAlign w:val="center"/>
          </w:tcPr>
          <w:p w:rsidR="00205260" w:rsidRPr="00DB4FBC" w:rsidRDefault="00205260" w:rsidP="005B068E">
            <w:pPr>
              <w:autoSpaceDE w:val="0"/>
              <w:autoSpaceDN w:val="0"/>
              <w:adjustRightInd w:val="0"/>
              <w:spacing w:after="0" w:line="240" w:lineRule="auto"/>
              <w:jc w:val="right"/>
              <w:rPr>
                <w:rFonts w:cs="Arial"/>
              </w:rPr>
            </w:pPr>
            <w:r>
              <w:rPr>
                <w:rFonts w:cs="Arial"/>
              </w:rPr>
              <w:t xml:space="preserve">15 </w:t>
            </w:r>
            <w:r w:rsidRPr="00DB4FBC">
              <w:rPr>
                <w:rFonts w:cs="Arial"/>
              </w:rPr>
              <w:t xml:space="preserve"> pkt.</w:t>
            </w:r>
          </w:p>
        </w:tc>
      </w:tr>
    </w:tbl>
    <w:p w:rsidR="00205260" w:rsidRPr="003A7109" w:rsidRDefault="00205260" w:rsidP="00205260">
      <w:pPr>
        <w:keepNext/>
        <w:keepLines/>
        <w:spacing w:before="200" w:after="0"/>
        <w:outlineLvl w:val="2"/>
        <w:rPr>
          <w:rFonts w:eastAsia="Times New Roman" w:cstheme="majorBidi"/>
          <w:b/>
          <w:bCs/>
          <w:color w:val="000000" w:themeColor="text1"/>
          <w:spacing w:val="15"/>
          <w:sz w:val="28"/>
          <w:u w:val="single"/>
        </w:rPr>
      </w:pPr>
    </w:p>
    <w:p w:rsidR="00205260" w:rsidRDefault="00205260"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189"/>
              </w:numPr>
              <w:spacing w:after="0" w:line="240" w:lineRule="auto"/>
              <w:contextualSpacing/>
              <w:jc w:val="both"/>
              <w:rPr>
                <w:rFonts w:eastAsia="Times New Roman" w:cs="Tahoma"/>
              </w:rPr>
            </w:pPr>
            <w:r w:rsidRPr="001545D6">
              <w:rPr>
                <w:rFonts w:eastAsia="Times New Roman" w:cs="Tahoma"/>
              </w:rPr>
              <w:t>Wymiana źródła ciepła w  budynkach/obiektach:</w:t>
            </w:r>
          </w:p>
          <w:p w:rsidR="0050068A" w:rsidRDefault="001545D6" w:rsidP="00A136E7">
            <w:pPr>
              <w:numPr>
                <w:ilvl w:val="0"/>
                <w:numId w:val="191"/>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50068A" w:rsidRDefault="001545D6" w:rsidP="00A136E7">
            <w:pPr>
              <w:numPr>
                <w:ilvl w:val="0"/>
                <w:numId w:val="191"/>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50068A" w:rsidRDefault="001545D6" w:rsidP="00A136E7">
            <w:pPr>
              <w:numPr>
                <w:ilvl w:val="0"/>
                <w:numId w:val="191"/>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Poprzez wymianę kotła następuje zwiększenie efektywności energetycznej źródła ciepła (wyrażona deklarowaną przez 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50068A" w:rsidRDefault="001545D6" w:rsidP="00A136E7">
            <w:pPr>
              <w:numPr>
                <w:ilvl w:val="0"/>
                <w:numId w:val="189"/>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50068A" w:rsidRDefault="001545D6" w:rsidP="00A136E7">
            <w:pPr>
              <w:numPr>
                <w:ilvl w:val="0"/>
                <w:numId w:val="250"/>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50068A" w:rsidRDefault="001545D6" w:rsidP="00A136E7">
            <w:pPr>
              <w:numPr>
                <w:ilvl w:val="0"/>
                <w:numId w:val="250"/>
              </w:numPr>
              <w:spacing w:after="0" w:line="240" w:lineRule="auto"/>
              <w:contextualSpacing/>
              <w:jc w:val="both"/>
              <w:rPr>
                <w:rFonts w:eastAsia="Times New Roman"/>
              </w:rPr>
            </w:pPr>
            <w:r w:rsidRPr="001545D6">
              <w:rPr>
                <w:rFonts w:eastAsia="Times New Roman"/>
              </w:rPr>
              <w:t xml:space="preserve">ocieplenie ścian w budynkach/obiektach – 1 pkt, </w:t>
            </w:r>
          </w:p>
          <w:p w:rsidR="0050068A" w:rsidRDefault="001545D6" w:rsidP="00A136E7">
            <w:pPr>
              <w:numPr>
                <w:ilvl w:val="0"/>
                <w:numId w:val="250"/>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50068A" w:rsidRDefault="001545D6" w:rsidP="00A136E7">
            <w:pPr>
              <w:numPr>
                <w:ilvl w:val="0"/>
                <w:numId w:val="189"/>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automatyka pogodowa;</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temperatury;</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czujniki ruchu;</w:t>
            </w:r>
          </w:p>
          <w:p w:rsidR="0050068A" w:rsidRDefault="001545D6" w:rsidP="00A136E7">
            <w:pPr>
              <w:numPr>
                <w:ilvl w:val="0"/>
                <w:numId w:val="192"/>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50068A" w:rsidRDefault="001545D6" w:rsidP="00A136E7">
            <w:pPr>
              <w:numPr>
                <w:ilvl w:val="0"/>
                <w:numId w:val="190"/>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50068A" w:rsidRDefault="001545D6" w:rsidP="00A136E7">
            <w:pPr>
              <w:numPr>
                <w:ilvl w:val="0"/>
                <w:numId w:val="190"/>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nie powstaną nowe miejsca pracy – 0 pkt;</w:t>
            </w: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powstanie 1 nowe miejsce pracy – 1 pkt;</w:t>
            </w: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powstaną 2 nowe miejsca pracy – 2 pkt;</w:t>
            </w:r>
          </w:p>
          <w:p w:rsidR="0050068A" w:rsidRDefault="001545D6" w:rsidP="00A136E7">
            <w:pPr>
              <w:numPr>
                <w:ilvl w:val="0"/>
                <w:numId w:val="272"/>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50068A" w:rsidRDefault="001545D6" w:rsidP="00A136E7">
            <w:pPr>
              <w:numPr>
                <w:ilvl w:val="0"/>
                <w:numId w:val="275"/>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50068A" w:rsidRDefault="001545D6" w:rsidP="00A136E7">
            <w:pPr>
              <w:numPr>
                <w:ilvl w:val="0"/>
                <w:numId w:val="270"/>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50068A" w:rsidRDefault="001545D6" w:rsidP="00A136E7">
            <w:pPr>
              <w:numPr>
                <w:ilvl w:val="0"/>
                <w:numId w:val="270"/>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50068A" w:rsidRDefault="001545D6" w:rsidP="00A136E7">
            <w:pPr>
              <w:numPr>
                <w:ilvl w:val="0"/>
                <w:numId w:val="275"/>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50068A" w:rsidRDefault="001545D6" w:rsidP="00A136E7">
            <w:pPr>
              <w:numPr>
                <w:ilvl w:val="0"/>
                <w:numId w:val="270"/>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50068A" w:rsidRDefault="001545D6" w:rsidP="00A136E7">
            <w:pPr>
              <w:numPr>
                <w:ilvl w:val="0"/>
                <w:numId w:val="270"/>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50068A" w:rsidRDefault="001545D6" w:rsidP="00A136E7">
            <w:pPr>
              <w:numPr>
                <w:ilvl w:val="0"/>
                <w:numId w:val="270"/>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50068A" w:rsidRDefault="001545D6" w:rsidP="00A136E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50068A" w:rsidRDefault="001545D6" w:rsidP="00A136E7">
            <w:pPr>
              <w:numPr>
                <w:ilvl w:val="0"/>
                <w:numId w:val="27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50068A" w:rsidRDefault="001545D6" w:rsidP="00A136E7">
            <w:pPr>
              <w:numPr>
                <w:ilvl w:val="0"/>
                <w:numId w:val="271"/>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50068A" w:rsidRDefault="001545D6" w:rsidP="00A136E7">
            <w:pPr>
              <w:numPr>
                <w:ilvl w:val="0"/>
                <w:numId w:val="187"/>
              </w:numPr>
              <w:snapToGrid w:val="0"/>
              <w:spacing w:line="240" w:lineRule="auto"/>
              <w:contextualSpacing/>
              <w:jc w:val="both"/>
              <w:rPr>
                <w:rFonts w:cs="Arial"/>
              </w:rPr>
            </w:pPr>
            <w:r w:rsidRPr="001545D6">
              <w:rPr>
                <w:rFonts w:cs="Arial"/>
              </w:rPr>
              <w:t>I grupa – projekt zostanie zlokalizowany w gminie z grupy do 70% średniej wartości wskaźnika G – 4 pkt;</w:t>
            </w:r>
          </w:p>
          <w:p w:rsidR="0050068A" w:rsidRDefault="001545D6" w:rsidP="00A136E7">
            <w:pPr>
              <w:numPr>
                <w:ilvl w:val="0"/>
                <w:numId w:val="187"/>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50068A" w:rsidRDefault="001545D6" w:rsidP="00A136E7">
            <w:pPr>
              <w:numPr>
                <w:ilvl w:val="0"/>
                <w:numId w:val="187"/>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50068A" w:rsidRDefault="001545D6" w:rsidP="00A136E7">
            <w:pPr>
              <w:numPr>
                <w:ilvl w:val="0"/>
                <w:numId w:val="187"/>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50068A" w:rsidRDefault="001545D6" w:rsidP="00A136E7">
            <w:pPr>
              <w:numPr>
                <w:ilvl w:val="0"/>
                <w:numId w:val="187"/>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50068A" w:rsidRDefault="001545D6" w:rsidP="00A136E7">
            <w:pPr>
              <w:numPr>
                <w:ilvl w:val="0"/>
                <w:numId w:val="176"/>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wnioskodawca nie 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50068A" w:rsidRDefault="001545D6" w:rsidP="00A136E7">
            <w:pPr>
              <w:numPr>
                <w:ilvl w:val="0"/>
                <w:numId w:val="274"/>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50068A" w:rsidRDefault="001545D6" w:rsidP="00A136E7">
            <w:pPr>
              <w:numPr>
                <w:ilvl w:val="0"/>
                <w:numId w:val="274"/>
              </w:numPr>
              <w:spacing w:line="240" w:lineRule="auto"/>
              <w:contextualSpacing/>
              <w:jc w:val="both"/>
              <w:rPr>
                <w:rFonts w:eastAsia="Times New Roman" w:cs="Tahoma"/>
              </w:rPr>
            </w:pPr>
            <w:r w:rsidRPr="001545D6">
              <w:rPr>
                <w:rFonts w:eastAsia="Times New Roman" w:cs="Tahoma"/>
              </w:rPr>
              <w:t>urządzania oświetleniowe;</w:t>
            </w:r>
          </w:p>
          <w:p w:rsidR="0050068A" w:rsidRDefault="001545D6" w:rsidP="00A136E7">
            <w:pPr>
              <w:numPr>
                <w:ilvl w:val="0"/>
                <w:numId w:val="274"/>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50068A" w:rsidRDefault="001545D6" w:rsidP="00A136E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50068A" w:rsidRDefault="001545D6" w:rsidP="00A136E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50068A" w:rsidRDefault="001545D6" w:rsidP="00A136E7">
            <w:pPr>
              <w:numPr>
                <w:ilvl w:val="0"/>
                <w:numId w:val="193"/>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5 punktów – za przekroczenie 10%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50068A" w:rsidRDefault="001545D6" w:rsidP="00A136E7">
            <w:pPr>
              <w:numPr>
                <w:ilvl w:val="0"/>
                <w:numId w:val="276"/>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A136E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50068A" w:rsidRDefault="001545D6" w:rsidP="00A136E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50068A" w:rsidRDefault="001545D6" w:rsidP="00A136E7">
            <w:pPr>
              <w:numPr>
                <w:ilvl w:val="0"/>
                <w:numId w:val="277"/>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50068A" w:rsidRDefault="00270739" w:rsidP="00A136E7">
            <w:pPr>
              <w:pStyle w:val="Akapitzlist"/>
              <w:numPr>
                <w:ilvl w:val="0"/>
                <w:numId w:val="191"/>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50068A" w:rsidRDefault="00270739" w:rsidP="00A136E7">
            <w:pPr>
              <w:pStyle w:val="Akapitzlist"/>
              <w:numPr>
                <w:ilvl w:val="0"/>
                <w:numId w:val="191"/>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50068A" w:rsidRDefault="00270739" w:rsidP="00A136E7">
            <w:pPr>
              <w:pStyle w:val="Akapitzlist"/>
              <w:numPr>
                <w:ilvl w:val="0"/>
                <w:numId w:val="191"/>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50068A" w:rsidRDefault="00270739" w:rsidP="00A136E7">
            <w:pPr>
              <w:pStyle w:val="Akapitzlist"/>
              <w:numPr>
                <w:ilvl w:val="0"/>
                <w:numId w:val="250"/>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50068A" w:rsidRDefault="00270739" w:rsidP="00A136E7">
            <w:pPr>
              <w:pStyle w:val="Akapitzlist"/>
              <w:numPr>
                <w:ilvl w:val="0"/>
                <w:numId w:val="250"/>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50068A" w:rsidRDefault="00270739" w:rsidP="00A136E7">
            <w:pPr>
              <w:pStyle w:val="Akapitzlist"/>
              <w:numPr>
                <w:ilvl w:val="0"/>
                <w:numId w:val="250"/>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automatyka pogodowa;</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temperatury;</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czujniki ruchu;</w:t>
            </w:r>
          </w:p>
          <w:p w:rsidR="0050068A" w:rsidRDefault="00270739" w:rsidP="00A136E7">
            <w:pPr>
              <w:pStyle w:val="Akapitzlist"/>
              <w:numPr>
                <w:ilvl w:val="0"/>
                <w:numId w:val="192"/>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50068A" w:rsidRDefault="00070575" w:rsidP="00A136E7">
            <w:pPr>
              <w:pStyle w:val="Akapitzlist"/>
              <w:numPr>
                <w:ilvl w:val="0"/>
                <w:numId w:val="190"/>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50068A" w:rsidRDefault="009A78A8" w:rsidP="00A136E7">
            <w:pPr>
              <w:pStyle w:val="Akapitzlist"/>
              <w:numPr>
                <w:ilvl w:val="0"/>
                <w:numId w:val="190"/>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50068A" w:rsidRDefault="00270739" w:rsidP="00A136E7">
            <w:pPr>
              <w:pStyle w:val="Akapitzlist"/>
              <w:numPr>
                <w:ilvl w:val="0"/>
                <w:numId w:val="188"/>
              </w:numPr>
              <w:spacing w:after="0" w:line="240" w:lineRule="auto"/>
              <w:jc w:val="both"/>
              <w:rPr>
                <w:rFonts w:eastAsia="Times New Roman" w:cs="Tahoma"/>
              </w:rPr>
            </w:pPr>
            <w:r w:rsidRPr="00270025">
              <w:rPr>
                <w:rFonts w:eastAsia="Times New Roman" w:cs="Tahoma"/>
              </w:rPr>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50068A" w:rsidRDefault="00270739" w:rsidP="00A136E7">
            <w:pPr>
              <w:pStyle w:val="Akapitzlist"/>
              <w:numPr>
                <w:ilvl w:val="0"/>
                <w:numId w:val="188"/>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50068A" w:rsidRDefault="00270739" w:rsidP="00A136E7">
            <w:pPr>
              <w:pStyle w:val="Akapitzlist"/>
              <w:numPr>
                <w:ilvl w:val="0"/>
                <w:numId w:val="188"/>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50068A" w:rsidRDefault="00270739" w:rsidP="00A136E7">
            <w:pPr>
              <w:pStyle w:val="Akapitzlist"/>
              <w:numPr>
                <w:ilvl w:val="0"/>
                <w:numId w:val="188"/>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50068A" w:rsidRDefault="00270739" w:rsidP="00A136E7">
            <w:pPr>
              <w:pStyle w:val="Akapitzlist"/>
              <w:numPr>
                <w:ilvl w:val="0"/>
                <w:numId w:val="188"/>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od 60% do 69% - 3 pkt;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od 50% do 59% - 2 pkt;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od 40% do 49% - 1 pkt;</w:t>
            </w:r>
          </w:p>
          <w:p w:rsidR="0050068A" w:rsidRDefault="00270739" w:rsidP="00A136E7">
            <w:pPr>
              <w:pStyle w:val="Akapitzlist"/>
              <w:numPr>
                <w:ilvl w:val="0"/>
                <w:numId w:val="193"/>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uzależnienia 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ą 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50068A" w:rsidRDefault="00270739" w:rsidP="00A136E7">
            <w:pPr>
              <w:pStyle w:val="Akapitzlist"/>
              <w:numPr>
                <w:ilvl w:val="0"/>
                <w:numId w:val="187"/>
              </w:numPr>
              <w:snapToGrid w:val="0"/>
              <w:spacing w:line="240" w:lineRule="auto"/>
              <w:jc w:val="both"/>
              <w:rPr>
                <w:rFonts w:cs="Arial"/>
              </w:rPr>
            </w:pPr>
            <w:r>
              <w:rPr>
                <w:rFonts w:cs="Arial"/>
              </w:rPr>
              <w:t>I grupa – projekt zostanie zlokalizowany w gminie z grupy do 70% średniej wartości wskaźnika G – 4 pkt;</w:t>
            </w:r>
          </w:p>
          <w:p w:rsidR="0050068A" w:rsidRDefault="00270739" w:rsidP="00A136E7">
            <w:pPr>
              <w:pStyle w:val="Akapitzlist"/>
              <w:numPr>
                <w:ilvl w:val="0"/>
                <w:numId w:val="187"/>
              </w:numPr>
              <w:snapToGrid w:val="0"/>
              <w:spacing w:line="240" w:lineRule="auto"/>
              <w:jc w:val="both"/>
              <w:rPr>
                <w:rFonts w:cs="Arial"/>
              </w:rPr>
            </w:pPr>
            <w:r>
              <w:rPr>
                <w:rFonts w:cs="Arial"/>
              </w:rPr>
              <w:t>II grupa – projekt zostanie zlokalizowany w gminie z grupy powyżej 70% do 80% średniej wartości wskaźnika G – 3 pkt;</w:t>
            </w:r>
          </w:p>
          <w:p w:rsidR="0050068A" w:rsidRDefault="00270739" w:rsidP="00A136E7">
            <w:pPr>
              <w:pStyle w:val="Akapitzlist"/>
              <w:numPr>
                <w:ilvl w:val="0"/>
                <w:numId w:val="187"/>
              </w:numPr>
              <w:snapToGrid w:val="0"/>
              <w:spacing w:line="240" w:lineRule="auto"/>
              <w:jc w:val="both"/>
              <w:rPr>
                <w:rFonts w:cs="Arial"/>
              </w:rPr>
            </w:pPr>
            <w:r>
              <w:rPr>
                <w:rFonts w:cs="Arial"/>
              </w:rPr>
              <w:t>III grupa – projekt zostanie zlokalizowany w gminie  z grupy powyżej 80% do 90% średniej wartości wskaźnika G – 2 pkt;</w:t>
            </w:r>
          </w:p>
          <w:p w:rsidR="0050068A" w:rsidRDefault="00270739" w:rsidP="00A136E7">
            <w:pPr>
              <w:pStyle w:val="Akapitzlist"/>
              <w:numPr>
                <w:ilvl w:val="0"/>
                <w:numId w:val="187"/>
              </w:numPr>
              <w:snapToGrid w:val="0"/>
              <w:spacing w:line="240" w:lineRule="auto"/>
              <w:jc w:val="both"/>
              <w:rPr>
                <w:rFonts w:cs="Arial"/>
              </w:rPr>
            </w:pPr>
            <w:r>
              <w:rPr>
                <w:rFonts w:cs="Arial"/>
              </w:rPr>
              <w:t>IV grupa – projekt zostanie zlokalizowany w gminie z grupy powyżej 90% do 100% średniej wartości wskaźnika G -1 pkt;</w:t>
            </w:r>
          </w:p>
          <w:p w:rsidR="0050068A" w:rsidRDefault="00270739" w:rsidP="00A136E7">
            <w:pPr>
              <w:pStyle w:val="Akapitzlist"/>
              <w:numPr>
                <w:ilvl w:val="0"/>
                <w:numId w:val="187"/>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50068A" w:rsidRDefault="00270739" w:rsidP="00A136E7">
            <w:pPr>
              <w:pStyle w:val="Standard"/>
              <w:widowControl/>
              <w:numPr>
                <w:ilvl w:val="0"/>
                <w:numId w:val="176"/>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dostosowania 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(spełnienie jest niezbędne dla możliwości otrzymania 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dostosowanie szkoły do pracy z uczniem o specjalnych potrzebach edukacyjnych – (np. wyposażenia w sprzęt specjalistyczny i pomoce dydaktyczne do wspomagania rozwoju 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50068A" w:rsidRDefault="008E29F8" w:rsidP="00A136E7">
            <w:pPr>
              <w:pStyle w:val="Akapitzlist"/>
              <w:numPr>
                <w:ilvl w:val="0"/>
                <w:numId w:val="222"/>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50068A" w:rsidRDefault="008E29F8" w:rsidP="00A136E7">
            <w:pPr>
              <w:pStyle w:val="Akapitzlist"/>
              <w:numPr>
                <w:ilvl w:val="0"/>
                <w:numId w:val="222"/>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A136E7">
            <w:pPr>
              <w:pStyle w:val="Akapitzlist"/>
              <w:numPr>
                <w:ilvl w:val="0"/>
                <w:numId w:val="223"/>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pkt. 1; lub</w:t>
            </w:r>
          </w:p>
          <w:p w:rsidR="0050068A" w:rsidRDefault="008E29F8" w:rsidP="00A136E7">
            <w:pPr>
              <w:pStyle w:val="Akapitzlist"/>
              <w:numPr>
                <w:ilvl w:val="0"/>
                <w:numId w:val="223"/>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50068A" w:rsidRDefault="008E29F8" w:rsidP="00A136E7">
            <w:pPr>
              <w:pStyle w:val="Akapitzlist"/>
              <w:numPr>
                <w:ilvl w:val="0"/>
                <w:numId w:val="223"/>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50068A" w:rsidRDefault="008E29F8" w:rsidP="00A136E7">
            <w:pPr>
              <w:pStyle w:val="Akapitzlist"/>
              <w:numPr>
                <w:ilvl w:val="0"/>
                <w:numId w:val="223"/>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50068A" w:rsidRDefault="008E29F8" w:rsidP="00A136E7">
            <w:pPr>
              <w:pStyle w:val="Akapitzlist"/>
              <w:numPr>
                <w:ilvl w:val="0"/>
                <w:numId w:val="225"/>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50068A" w:rsidRDefault="008E29F8" w:rsidP="00A136E7">
            <w:pPr>
              <w:pStyle w:val="Akapitzlist"/>
              <w:numPr>
                <w:ilvl w:val="0"/>
                <w:numId w:val="225"/>
              </w:numPr>
              <w:snapToGrid w:val="0"/>
              <w:spacing w:after="0" w:line="240" w:lineRule="auto"/>
              <w:ind w:left="459"/>
              <w:jc w:val="both"/>
              <w:rPr>
                <w:sz w:val="20"/>
                <w:szCs w:val="20"/>
              </w:rPr>
            </w:pPr>
            <w:r w:rsidRPr="005B720A">
              <w:rPr>
                <w:sz w:val="20"/>
                <w:szCs w:val="20"/>
              </w:rPr>
              <w:t>jest komplementarna względem projektu dot. dróg dla rowerów zlokalizowanego bezpośrednio w pobliżu i przewidzianego do 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50068A" w:rsidRDefault="008E29F8" w:rsidP="00A136E7">
            <w:pPr>
              <w:pStyle w:val="Akapitzlist"/>
              <w:numPr>
                <w:ilvl w:val="0"/>
                <w:numId w:val="225"/>
              </w:numPr>
              <w:snapToGrid w:val="0"/>
              <w:spacing w:after="0" w:line="240" w:lineRule="auto"/>
              <w:ind w:left="459"/>
              <w:jc w:val="both"/>
              <w:rPr>
                <w:sz w:val="20"/>
                <w:szCs w:val="20"/>
              </w:rPr>
            </w:pPr>
            <w:r>
              <w:rPr>
                <w:rFonts w:cs="Arial"/>
                <w:sz w:val="20"/>
                <w:szCs w:val="20"/>
              </w:rPr>
              <w:t>składa się z co najmniej 2 typów projektów dotyczących:</w:t>
            </w:r>
          </w:p>
          <w:p w:rsidR="0050068A" w:rsidRDefault="008E29F8" w:rsidP="00A136E7">
            <w:pPr>
              <w:pStyle w:val="Akapitzlist"/>
              <w:numPr>
                <w:ilvl w:val="0"/>
                <w:numId w:val="210"/>
              </w:numPr>
              <w:snapToGrid w:val="0"/>
              <w:spacing w:after="0" w:line="240" w:lineRule="auto"/>
              <w:jc w:val="both"/>
              <w:rPr>
                <w:sz w:val="20"/>
                <w:szCs w:val="20"/>
              </w:rPr>
            </w:pPr>
            <w:r>
              <w:rPr>
                <w:rFonts w:cs="Arial"/>
                <w:sz w:val="20"/>
                <w:szCs w:val="20"/>
              </w:rPr>
              <w:t>zakupu taboru na potrzeby  publicznego transportu zbiorowego, (typ 3.4.A.a);</w:t>
            </w:r>
          </w:p>
          <w:p w:rsidR="0050068A" w:rsidRDefault="008E29F8" w:rsidP="00A136E7">
            <w:pPr>
              <w:pStyle w:val="Akapitzlist"/>
              <w:numPr>
                <w:ilvl w:val="0"/>
                <w:numId w:val="210"/>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50068A" w:rsidRDefault="008E29F8" w:rsidP="00A136E7">
            <w:pPr>
              <w:pStyle w:val="Akapitzlist"/>
              <w:numPr>
                <w:ilvl w:val="0"/>
                <w:numId w:val="210"/>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A136E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A136E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A136E7">
            <w:pPr>
              <w:pStyle w:val="Akapitzlist"/>
              <w:numPr>
                <w:ilvl w:val="0"/>
                <w:numId w:val="224"/>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50068A" w:rsidRDefault="008E29F8" w:rsidP="00A136E7">
            <w:pPr>
              <w:pStyle w:val="Akapitzlist"/>
              <w:numPr>
                <w:ilvl w:val="0"/>
                <w:numId w:val="216"/>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A136E7">
            <w:pPr>
              <w:pStyle w:val="Akapitzlist"/>
              <w:numPr>
                <w:ilvl w:val="0"/>
                <w:numId w:val="214"/>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A136E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A136E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A136E7">
            <w:pPr>
              <w:pStyle w:val="Akapitzlist"/>
              <w:numPr>
                <w:ilvl w:val="0"/>
                <w:numId w:val="217"/>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50068A" w:rsidRDefault="007420CC" w:rsidP="00A136E7">
            <w:pPr>
              <w:pStyle w:val="Akapitzlist"/>
              <w:numPr>
                <w:ilvl w:val="0"/>
                <w:numId w:val="227"/>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30 % punktów za kryterium za osiągnięcie od 15% do 20%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50068A" w:rsidRDefault="007420CC" w:rsidP="00A136E7">
            <w:pPr>
              <w:pStyle w:val="Akapitzlist"/>
              <w:numPr>
                <w:ilvl w:val="0"/>
                <w:numId w:val="221"/>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50068A" w:rsidRDefault="007420CC" w:rsidP="00A136E7">
            <w:pPr>
              <w:pStyle w:val="Akapitzlist"/>
              <w:numPr>
                <w:ilvl w:val="0"/>
                <w:numId w:val="229"/>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50068A" w:rsidRDefault="007420CC" w:rsidP="00A136E7">
            <w:pPr>
              <w:pStyle w:val="Akapitzlist"/>
              <w:numPr>
                <w:ilvl w:val="0"/>
                <w:numId w:val="229"/>
              </w:numPr>
              <w:snapToGrid w:val="0"/>
              <w:spacing w:after="0" w:line="240" w:lineRule="auto"/>
              <w:jc w:val="both"/>
              <w:rPr>
                <w:rFonts w:cs="Arial"/>
                <w:sz w:val="20"/>
                <w:szCs w:val="20"/>
              </w:rPr>
            </w:pPr>
            <w:r>
              <w:rPr>
                <w:rFonts w:cs="Arial"/>
                <w:sz w:val="20"/>
                <w:szCs w:val="20"/>
              </w:rPr>
              <w:t>długość przebudowanych ścieżek rowerowych;</w:t>
            </w:r>
          </w:p>
          <w:p w:rsidR="0050068A" w:rsidRDefault="007420CC" w:rsidP="00A136E7">
            <w:pPr>
              <w:pStyle w:val="Akapitzlist"/>
              <w:numPr>
                <w:ilvl w:val="0"/>
                <w:numId w:val="229"/>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50068A" w:rsidRDefault="007420CC" w:rsidP="00A136E7">
            <w:pPr>
              <w:pStyle w:val="Akapitzlist"/>
              <w:numPr>
                <w:ilvl w:val="0"/>
                <w:numId w:val="230"/>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A136E7">
            <w:pPr>
              <w:pStyle w:val="Akapitzlist"/>
              <w:numPr>
                <w:ilvl w:val="0"/>
                <w:numId w:val="224"/>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A136E7">
            <w:pPr>
              <w:pStyle w:val="Akapitzlist"/>
              <w:numPr>
                <w:ilvl w:val="0"/>
                <w:numId w:val="224"/>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A136E7">
            <w:pPr>
              <w:numPr>
                <w:ilvl w:val="0"/>
                <w:numId w:val="225"/>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A136E7">
            <w:pPr>
              <w:numPr>
                <w:ilvl w:val="0"/>
                <w:numId w:val="225"/>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A136E7">
            <w:pPr>
              <w:pStyle w:val="Akapitzlist"/>
              <w:numPr>
                <w:ilvl w:val="0"/>
                <w:numId w:val="226"/>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A136E7">
            <w:pPr>
              <w:pStyle w:val="Akapitzlist"/>
              <w:numPr>
                <w:ilvl w:val="0"/>
                <w:numId w:val="254"/>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A136E7">
            <w:pPr>
              <w:numPr>
                <w:ilvl w:val="0"/>
                <w:numId w:val="171"/>
              </w:numPr>
              <w:spacing w:before="120" w:after="120" w:line="240" w:lineRule="auto"/>
              <w:ind w:right="141"/>
              <w:rPr>
                <w:rFonts w:eastAsia="Times New Roman" w:cs="Arial"/>
              </w:rPr>
            </w:pPr>
            <w:r w:rsidRPr="00A75BC6">
              <w:rPr>
                <w:rFonts w:eastAsia="Times New Roman" w:cs="Arial"/>
              </w:rPr>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A136E7">
            <w:pPr>
              <w:numPr>
                <w:ilvl w:val="0"/>
                <w:numId w:val="171"/>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t>20% całej oceny wpływu na realizację 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A136E7">
            <w:pPr>
              <w:numPr>
                <w:ilvl w:val="0"/>
                <w:numId w:val="149"/>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A136E7">
            <w:pPr>
              <w:numPr>
                <w:ilvl w:val="0"/>
                <w:numId w:val="149"/>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A136E7">
            <w:pPr>
              <w:numPr>
                <w:ilvl w:val="0"/>
                <w:numId w:val="149"/>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A136E7">
            <w:pPr>
              <w:numPr>
                <w:ilvl w:val="0"/>
                <w:numId w:val="149"/>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A136E7">
            <w:pPr>
              <w:numPr>
                <w:ilvl w:val="0"/>
                <w:numId w:val="148"/>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A136E7">
            <w:pPr>
              <w:numPr>
                <w:ilvl w:val="0"/>
                <w:numId w:val="148"/>
              </w:numPr>
              <w:spacing w:after="0" w:line="240" w:lineRule="auto"/>
              <w:jc w:val="both"/>
              <w:rPr>
                <w:rFonts w:cs="Arial"/>
              </w:rPr>
            </w:pPr>
            <w:r w:rsidRPr="0059367C">
              <w:rPr>
                <w:rFonts w:cs="Arial"/>
              </w:rPr>
              <w:t>Rezerwaty przyrody – 30 %;</w:t>
            </w:r>
          </w:p>
          <w:p w:rsidR="00712D44" w:rsidRPr="0059367C" w:rsidRDefault="00712D44" w:rsidP="00A136E7">
            <w:pPr>
              <w:numPr>
                <w:ilvl w:val="0"/>
                <w:numId w:val="148"/>
              </w:numPr>
              <w:spacing w:after="0" w:line="240" w:lineRule="auto"/>
              <w:jc w:val="both"/>
              <w:rPr>
                <w:rFonts w:cs="Arial"/>
              </w:rPr>
            </w:pPr>
            <w:r w:rsidRPr="0059367C">
              <w:rPr>
                <w:rFonts w:cs="Arial"/>
              </w:rPr>
              <w:t>Natura 2000 – 30%;</w:t>
            </w:r>
          </w:p>
          <w:p w:rsidR="00712D44" w:rsidRPr="0059367C" w:rsidRDefault="00712D44" w:rsidP="00A136E7">
            <w:pPr>
              <w:numPr>
                <w:ilvl w:val="0"/>
                <w:numId w:val="148"/>
              </w:numPr>
              <w:spacing w:after="0" w:line="240" w:lineRule="auto"/>
              <w:jc w:val="both"/>
              <w:rPr>
                <w:rFonts w:cs="Arial"/>
              </w:rPr>
            </w:pPr>
            <w:r w:rsidRPr="0059367C">
              <w:rPr>
                <w:rFonts w:cs="Arial"/>
              </w:rPr>
              <w:t>Inne formy ochrony przyrody – 10%;  </w:t>
            </w:r>
          </w:p>
          <w:p w:rsidR="00712D44" w:rsidRPr="00850CA1" w:rsidRDefault="00712D44" w:rsidP="00A136E7">
            <w:pPr>
              <w:numPr>
                <w:ilvl w:val="0"/>
                <w:numId w:val="148"/>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A136E7">
            <w:pPr>
              <w:numPr>
                <w:ilvl w:val="0"/>
                <w:numId w:val="149"/>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A136E7">
            <w:pPr>
              <w:numPr>
                <w:ilvl w:val="0"/>
                <w:numId w:val="149"/>
              </w:numPr>
              <w:jc w:val="both"/>
              <w:rPr>
                <w:rFonts w:cs="Arial"/>
              </w:rPr>
            </w:pPr>
            <w:r w:rsidRPr="004E33D2">
              <w:rPr>
                <w:rFonts w:cs="Arial"/>
              </w:rPr>
              <w:t>gatunku objętego ochroną gatunkową częściową/siedliska o znaczeniu innym niż priorytetowe – 60%;</w:t>
            </w:r>
          </w:p>
          <w:p w:rsidR="00712D44" w:rsidRPr="004E33D2" w:rsidRDefault="00712D44" w:rsidP="00A136E7">
            <w:pPr>
              <w:numPr>
                <w:ilvl w:val="0"/>
                <w:numId w:val="149"/>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A136E7">
            <w:pPr>
              <w:numPr>
                <w:ilvl w:val="0"/>
                <w:numId w:val="149"/>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A136E7">
            <w:pPr>
              <w:numPr>
                <w:ilvl w:val="0"/>
                <w:numId w:val="148"/>
              </w:numPr>
              <w:jc w:val="both"/>
              <w:rPr>
                <w:rFonts w:cs="Arial"/>
              </w:rPr>
            </w:pPr>
            <w:r w:rsidRPr="00850CA1">
              <w:rPr>
                <w:rFonts w:cs="Arial"/>
              </w:rPr>
              <w:t xml:space="preserve">Parki </w:t>
            </w:r>
            <w:r w:rsidRPr="004E33D2">
              <w:rPr>
                <w:rFonts w:cs="Arial"/>
              </w:rPr>
              <w:t>krajobrazowe – 30%;</w:t>
            </w:r>
          </w:p>
          <w:p w:rsidR="00712D44" w:rsidRPr="004E33D2" w:rsidRDefault="00712D44" w:rsidP="00A136E7">
            <w:pPr>
              <w:numPr>
                <w:ilvl w:val="0"/>
                <w:numId w:val="148"/>
              </w:numPr>
              <w:jc w:val="both"/>
              <w:rPr>
                <w:rFonts w:cs="Arial"/>
              </w:rPr>
            </w:pPr>
            <w:r w:rsidRPr="004E33D2">
              <w:rPr>
                <w:rFonts w:cs="Arial"/>
              </w:rPr>
              <w:t>Rezerwaty przyrody – 30%;</w:t>
            </w:r>
          </w:p>
          <w:p w:rsidR="00712D44" w:rsidRPr="004E33D2" w:rsidRDefault="00712D44" w:rsidP="00A136E7">
            <w:pPr>
              <w:numPr>
                <w:ilvl w:val="0"/>
                <w:numId w:val="148"/>
              </w:numPr>
              <w:jc w:val="both"/>
              <w:rPr>
                <w:rFonts w:cs="Arial"/>
              </w:rPr>
            </w:pPr>
            <w:r w:rsidRPr="004E33D2">
              <w:rPr>
                <w:rFonts w:cs="Arial"/>
              </w:rPr>
              <w:t>Natura 2000 – 30%;</w:t>
            </w:r>
          </w:p>
          <w:p w:rsidR="00712D44" w:rsidRPr="004E33D2" w:rsidRDefault="00712D44" w:rsidP="00A136E7">
            <w:pPr>
              <w:numPr>
                <w:ilvl w:val="0"/>
                <w:numId w:val="148"/>
              </w:numPr>
              <w:jc w:val="both"/>
              <w:rPr>
                <w:rFonts w:cs="Arial"/>
              </w:rPr>
            </w:pPr>
            <w:r w:rsidRPr="004E33D2">
              <w:rPr>
                <w:rFonts w:cs="Arial"/>
              </w:rPr>
              <w:t>Inne formy ochrony przyrody – 10%;  </w:t>
            </w:r>
          </w:p>
          <w:p w:rsidR="00712D44" w:rsidRPr="004E33D2" w:rsidRDefault="00712D44" w:rsidP="00A136E7">
            <w:pPr>
              <w:numPr>
                <w:ilvl w:val="0"/>
                <w:numId w:val="148"/>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który definiuje cztery regiony wymagające szczególnej ochrony przeciwpowodziowej:</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obszar Wrocławskiego Węzła Wodnego,</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Ziemia Kłodzka,</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Sudety Zachodnie,</w:t>
            </w:r>
          </w:p>
          <w:p w:rsidR="009164E3" w:rsidRPr="00C41DF2" w:rsidRDefault="009164E3" w:rsidP="00A136E7">
            <w:pPr>
              <w:pStyle w:val="Akapitzlist"/>
              <w:numPr>
                <w:ilvl w:val="0"/>
                <w:numId w:val="281"/>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136E7">
      <w:pPr>
        <w:numPr>
          <w:ilvl w:val="0"/>
          <w:numId w:val="177"/>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A136E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A136E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A136E7">
            <w:pPr>
              <w:pStyle w:val="Default"/>
              <w:numPr>
                <w:ilvl w:val="0"/>
                <w:numId w:val="178"/>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A136E7">
            <w:pPr>
              <w:pStyle w:val="Default"/>
              <w:numPr>
                <w:ilvl w:val="0"/>
                <w:numId w:val="178"/>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A136E7">
            <w:pPr>
              <w:pStyle w:val="Default"/>
              <w:numPr>
                <w:ilvl w:val="0"/>
                <w:numId w:val="174"/>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A136E7">
            <w:pPr>
              <w:pStyle w:val="Default"/>
              <w:numPr>
                <w:ilvl w:val="0"/>
                <w:numId w:val="174"/>
              </w:numPr>
              <w:adjustRightInd/>
              <w:jc w:val="both"/>
              <w:rPr>
                <w:rFonts w:asciiTheme="minorHAnsi" w:hAnsiTheme="minorHAnsi"/>
                <w:color w:val="auto"/>
                <w:sz w:val="22"/>
                <w:szCs w:val="22"/>
              </w:rPr>
            </w:pPr>
            <w:r w:rsidRPr="00D10C1B">
              <w:rPr>
                <w:color w:val="auto"/>
                <w:sz w:val="22"/>
                <w:szCs w:val="22"/>
              </w:rPr>
              <w:t>o średnim stopniu zagrożenia – 50% punktów z tego kryterium;</w:t>
            </w:r>
          </w:p>
          <w:p w:rsidR="00A75BC6" w:rsidRPr="00D10C1B" w:rsidRDefault="00A75BC6" w:rsidP="00A136E7">
            <w:pPr>
              <w:pStyle w:val="Default"/>
              <w:numPr>
                <w:ilvl w:val="0"/>
                <w:numId w:val="174"/>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A136E7">
            <w:pPr>
              <w:pStyle w:val="Default"/>
              <w:numPr>
                <w:ilvl w:val="0"/>
                <w:numId w:val="179"/>
              </w:numPr>
              <w:jc w:val="both"/>
              <w:rPr>
                <w:rFonts w:asciiTheme="minorHAnsi" w:eastAsia="Times New Roman" w:hAnsiTheme="minorHAnsi" w:cs="Arial"/>
                <w:color w:val="auto"/>
                <w:sz w:val="22"/>
                <w:szCs w:val="22"/>
              </w:rPr>
            </w:pPr>
            <w:r w:rsidRPr="0015730E">
              <w:rPr>
                <w:rFonts w:asciiTheme="minorHAnsi" w:hAnsiTheme="minorHAnsi"/>
                <w:sz w:val="22"/>
                <w:szCs w:val="22"/>
              </w:rPr>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A136E7">
            <w:pPr>
              <w:pStyle w:val="Default"/>
              <w:numPr>
                <w:ilvl w:val="0"/>
                <w:numId w:val="179"/>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A136E7">
            <w:pPr>
              <w:pStyle w:val="Default"/>
              <w:numPr>
                <w:ilvl w:val="0"/>
                <w:numId w:val="179"/>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A136E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A136E7">
            <w:pPr>
              <w:pStyle w:val="Default"/>
              <w:numPr>
                <w:ilvl w:val="0"/>
                <w:numId w:val="179"/>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50068A" w:rsidRDefault="0050068A" w:rsidP="00A136E7">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50068A" w:rsidRDefault="00310ACB" w:rsidP="00A136E7">
            <w:pPr>
              <w:pStyle w:val="Akapitzlist"/>
              <w:numPr>
                <w:ilvl w:val="0"/>
                <w:numId w:val="142"/>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50068A" w:rsidRDefault="00310ACB" w:rsidP="00A136E7">
            <w:pPr>
              <w:pStyle w:val="Akapitzlist"/>
              <w:numPr>
                <w:ilvl w:val="0"/>
                <w:numId w:val="142"/>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50068A" w:rsidRDefault="00310ACB" w:rsidP="00A136E7">
            <w:pPr>
              <w:pStyle w:val="Akapitzlist"/>
              <w:numPr>
                <w:ilvl w:val="0"/>
                <w:numId w:val="146"/>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A136E7">
            <w:pPr>
              <w:numPr>
                <w:ilvl w:val="0"/>
                <w:numId w:val="144"/>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50068A" w:rsidRDefault="00310ACB" w:rsidP="00A136E7">
            <w:pPr>
              <w:pStyle w:val="Akapitzlist"/>
              <w:numPr>
                <w:ilvl w:val="0"/>
                <w:numId w:val="145"/>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50068A" w:rsidRDefault="00310ACB" w:rsidP="00A136E7">
            <w:pPr>
              <w:pStyle w:val="Akapitzlist"/>
              <w:numPr>
                <w:ilvl w:val="0"/>
                <w:numId w:val="145"/>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50068A" w:rsidRDefault="00310ACB" w:rsidP="00A136E7">
            <w:pPr>
              <w:pStyle w:val="Akapitzlist"/>
              <w:numPr>
                <w:ilvl w:val="0"/>
                <w:numId w:val="145"/>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50068A" w:rsidRDefault="00310ACB" w:rsidP="00A136E7">
            <w:pPr>
              <w:pStyle w:val="Akapitzlist"/>
              <w:numPr>
                <w:ilvl w:val="0"/>
                <w:numId w:val="145"/>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50068A" w:rsidRDefault="00310ACB" w:rsidP="00A136E7">
            <w:pPr>
              <w:pStyle w:val="Akapitzlist"/>
              <w:numPr>
                <w:ilvl w:val="0"/>
                <w:numId w:val="145"/>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50068A" w:rsidRDefault="00310ACB" w:rsidP="00A136E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50068A" w:rsidRDefault="00310ACB" w:rsidP="00A136E7">
            <w:pPr>
              <w:pStyle w:val="Akapitzlist"/>
              <w:numPr>
                <w:ilvl w:val="0"/>
                <w:numId w:val="145"/>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Default="006A29B5" w:rsidP="006A29B5"/>
    <w:p w:rsidR="00205260" w:rsidRDefault="00205260" w:rsidP="00205260">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205260" w:rsidRPr="00DD2B9D" w:rsidRDefault="00205260" w:rsidP="00205260">
      <w:pPr>
        <w:rPr>
          <w:rFonts w:eastAsia="Times New Roman" w:cs="Arial"/>
          <w:b/>
          <w:bCs/>
          <w:iCs/>
        </w:rPr>
      </w:pPr>
      <w:r w:rsidRPr="00DD2B9D">
        <w:rPr>
          <w:rFonts w:eastAsia="Times New Roman" w:cs="Arial"/>
          <w:b/>
          <w:bCs/>
          <w:iCs/>
        </w:rPr>
        <w:t>Działanie 6.2 Inwestycje w infrastrukturę zdrowotna (</w:t>
      </w:r>
      <w:r>
        <w:rPr>
          <w:rFonts w:eastAsia="Times New Roman" w:cs="Arial"/>
          <w:b/>
          <w:bCs/>
          <w:iCs/>
        </w:rPr>
        <w:t>Narzędzie 13 Policy Paper –ONKOLOGIA</w:t>
      </w:r>
      <w:r w:rsidRPr="00DD2B9D">
        <w:rPr>
          <w:rFonts w:eastAsia="Times New Roman" w:cs="Arial"/>
          <w:b/>
          <w:bCs/>
          <w:iCs/>
        </w:rPr>
        <w:t xml:space="preserve">) </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6.2.A</w:t>
      </w:r>
      <w:r w:rsidRPr="002E0447">
        <w:rPr>
          <w:rFonts w:ascii="Calibri" w:hAnsi="Calibri" w:cs="Arial"/>
        </w:rPr>
        <w:t xml:space="preserve"> </w:t>
      </w:r>
      <w:r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Pr>
          <w:rFonts w:ascii="Calibri" w:hAnsi="Calibri" w:cs="Arial"/>
        </w:rPr>
        <w:t>,</w:t>
      </w:r>
    </w:p>
    <w:p w:rsidR="00205260" w:rsidRPr="00DD2B9D" w:rsidRDefault="00205260" w:rsidP="00205260">
      <w:pPr>
        <w:rPr>
          <w:rFonts w:eastAsia="Times New Roman" w:cs="Tahoma"/>
          <w:b/>
          <w:kern w:val="1"/>
          <w:u w:val="single"/>
        </w:rPr>
      </w:pPr>
      <w:r w:rsidRPr="00DD2B9D">
        <w:rPr>
          <w:rFonts w:eastAsia="Times New Roman" w:cs="Tahoma"/>
          <w:b/>
          <w:kern w:val="1"/>
          <w:u w:val="single"/>
        </w:rPr>
        <w:t>Typ 6.2.B</w:t>
      </w:r>
      <w:r>
        <w:rPr>
          <w:rFonts w:eastAsia="Times New Roman" w:cs="Tahoma"/>
          <w:b/>
          <w:kern w:val="1"/>
          <w:u w:val="single"/>
        </w:rPr>
        <w:t xml:space="preserve"> </w:t>
      </w:r>
      <w:r w:rsidRPr="00623271">
        <w:rPr>
          <w:rFonts w:ascii="Calibri" w:hAnsi="Calibri" w:cs="Arial"/>
        </w:rPr>
        <w:t>wyposażeniu w sprzęt medyczny.</w:t>
      </w:r>
    </w:p>
    <w:p w:rsidR="00205260" w:rsidRDefault="00205260" w:rsidP="00205260"/>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8"/>
        <w:gridCol w:w="3285"/>
        <w:gridCol w:w="7994"/>
        <w:gridCol w:w="2268"/>
      </w:tblGrid>
      <w:tr w:rsidR="00205260" w:rsidRPr="003A7109" w:rsidTr="005B068E">
        <w:trPr>
          <w:trHeight w:val="412"/>
        </w:trPr>
        <w:tc>
          <w:tcPr>
            <w:tcW w:w="0" w:type="auto"/>
            <w:vAlign w:val="center"/>
          </w:tcPr>
          <w:p w:rsidR="00205260" w:rsidRPr="003A7109" w:rsidRDefault="00205260" w:rsidP="005B068E">
            <w:pPr>
              <w:spacing w:line="240" w:lineRule="auto"/>
              <w:ind w:left="142"/>
              <w:rPr>
                <w:rFonts w:cs="Arial"/>
                <w:b/>
              </w:rPr>
            </w:pPr>
            <w:r w:rsidRPr="003A7109">
              <w:rPr>
                <w:rFonts w:cs="Arial"/>
                <w:b/>
              </w:rPr>
              <w:t>Lp.</w:t>
            </w:r>
          </w:p>
        </w:tc>
        <w:tc>
          <w:tcPr>
            <w:tcW w:w="0" w:type="auto"/>
            <w:vAlign w:val="center"/>
          </w:tcPr>
          <w:p w:rsidR="00205260" w:rsidRPr="003A7109" w:rsidRDefault="00205260" w:rsidP="005B068E">
            <w:pPr>
              <w:spacing w:line="240" w:lineRule="auto"/>
              <w:ind w:left="142"/>
              <w:rPr>
                <w:rFonts w:cs="Arial"/>
                <w:b/>
              </w:rPr>
            </w:pPr>
            <w:r w:rsidRPr="003A7109">
              <w:rPr>
                <w:rFonts w:cs="Arial"/>
                <w:b/>
              </w:rPr>
              <w:t>Nazwa kryterium</w:t>
            </w:r>
          </w:p>
        </w:tc>
        <w:tc>
          <w:tcPr>
            <w:tcW w:w="7994" w:type="dxa"/>
            <w:vAlign w:val="center"/>
          </w:tcPr>
          <w:p w:rsidR="00205260" w:rsidRPr="003A7109" w:rsidRDefault="00205260" w:rsidP="005B068E">
            <w:pPr>
              <w:spacing w:line="240" w:lineRule="auto"/>
              <w:ind w:left="142"/>
              <w:rPr>
                <w:rFonts w:cs="Arial"/>
              </w:rPr>
            </w:pPr>
            <w:r w:rsidRPr="003A7109">
              <w:rPr>
                <w:rFonts w:cs="Arial"/>
                <w:b/>
              </w:rPr>
              <w:t>Definicja kryterium</w:t>
            </w:r>
          </w:p>
        </w:tc>
        <w:tc>
          <w:tcPr>
            <w:tcW w:w="2268" w:type="dxa"/>
            <w:vAlign w:val="center"/>
          </w:tcPr>
          <w:p w:rsidR="00205260" w:rsidRPr="003A7109" w:rsidRDefault="00205260" w:rsidP="005B068E">
            <w:pPr>
              <w:spacing w:line="240" w:lineRule="auto"/>
              <w:ind w:left="142"/>
              <w:jc w:val="center"/>
              <w:rPr>
                <w:rFonts w:cs="Arial"/>
              </w:rPr>
            </w:pPr>
            <w:r w:rsidRPr="003A7109">
              <w:rPr>
                <w:rFonts w:cs="Arial"/>
                <w:b/>
              </w:rPr>
              <w:t>Opis znaczenia kryterium</w:t>
            </w:r>
          </w:p>
        </w:tc>
      </w:tr>
      <w:tr w:rsidR="00205260" w:rsidRPr="003A7109" w:rsidTr="005B068E">
        <w:trPr>
          <w:trHeight w:val="1417"/>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1</w:t>
            </w:r>
          </w:p>
        </w:tc>
        <w:tc>
          <w:tcPr>
            <w:tcW w:w="0" w:type="auto"/>
            <w:vAlign w:val="center"/>
          </w:tcPr>
          <w:p w:rsidR="00205260" w:rsidRPr="003A7109" w:rsidRDefault="00205260" w:rsidP="005B068E">
            <w:pPr>
              <w:spacing w:after="0" w:line="240" w:lineRule="auto"/>
              <w:rPr>
                <w:rFonts w:eastAsia="Times New Roman" w:cs="Arial"/>
                <w:b/>
                <w:kern w:val="1"/>
              </w:rPr>
            </w:pPr>
            <w:r w:rsidRPr="003A7109">
              <w:rPr>
                <w:rFonts w:eastAsia="Times New Roman" w:cs="Arial"/>
                <w:b/>
                <w:kern w:val="1"/>
              </w:rPr>
              <w:t xml:space="preserve">Wpływ realizacji projektu na realizację wartości docelowej wskaźnika programowego </w:t>
            </w:r>
          </w:p>
        </w:tc>
        <w:tc>
          <w:tcPr>
            <w:tcW w:w="7994" w:type="dxa"/>
            <w:vAlign w:val="center"/>
          </w:tcPr>
          <w:p w:rsidR="00205260" w:rsidRPr="003A7109" w:rsidRDefault="00205260" w:rsidP="005B068E">
            <w:pPr>
              <w:spacing w:after="0" w:line="240" w:lineRule="auto"/>
              <w:jc w:val="both"/>
              <w:rPr>
                <w:rFonts w:eastAsia="Times New Roman" w:cs="Arial"/>
                <w:color w:val="FF0000"/>
                <w:kern w:val="1"/>
              </w:rPr>
            </w:pPr>
          </w:p>
          <w:p w:rsidR="00205260" w:rsidRPr="003A7109" w:rsidRDefault="00205260" w:rsidP="005B068E">
            <w:pPr>
              <w:spacing w:after="120"/>
              <w:ind w:left="-43"/>
              <w:jc w:val="both"/>
              <w:rPr>
                <w:rFonts w:ascii="Calibri" w:eastAsia="Times New Roman" w:hAnsi="Calibri" w:cs="Arial"/>
              </w:rPr>
            </w:pPr>
            <w:r w:rsidRPr="003A7109">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205260" w:rsidRDefault="00205260" w:rsidP="00A136E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10 000 (wysoki wpływ)  – 100% maksymalnej oceny dla kryterium tj. 17,6 pkt </w:t>
            </w:r>
          </w:p>
          <w:p w:rsidR="00205260" w:rsidRDefault="00205260" w:rsidP="00A136E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od 8 000 do 10 000 (znaczący wpływ) – 75% maksymalnej oceny dla kryterium tj. 13,2 pkt </w:t>
            </w:r>
          </w:p>
          <w:p w:rsidR="00205260" w:rsidRDefault="00205260" w:rsidP="00A136E7">
            <w:pPr>
              <w:numPr>
                <w:ilvl w:val="0"/>
                <w:numId w:val="142"/>
              </w:numPr>
              <w:snapToGrid w:val="0"/>
              <w:spacing w:after="0" w:line="240" w:lineRule="auto"/>
              <w:contextualSpacing/>
              <w:jc w:val="both"/>
              <w:rPr>
                <w:rFonts w:eastAsia="Times New Roman" w:cs="Arial"/>
              </w:rPr>
            </w:pPr>
            <w:r w:rsidRPr="003A7109">
              <w:rPr>
                <w:rFonts w:eastAsia="Times New Roman" w:cs="Arial"/>
              </w:rPr>
              <w:t xml:space="preserve">projekt o wartości wskaźnika powyżej 3 000  do 8 000  (średni wpływ) – 50% maksymalnej oceny dla kryterium tj. 8,8 pkt </w:t>
            </w:r>
          </w:p>
          <w:p w:rsidR="00205260" w:rsidRPr="003A7109" w:rsidRDefault="00205260" w:rsidP="005B068E">
            <w:pPr>
              <w:numPr>
                <w:ilvl w:val="0"/>
                <w:numId w:val="113"/>
              </w:numPr>
              <w:snapToGrid w:val="0"/>
              <w:spacing w:after="0" w:line="240" w:lineRule="auto"/>
              <w:contextualSpacing/>
              <w:jc w:val="both"/>
              <w:rPr>
                <w:rFonts w:cs="Arial"/>
              </w:rPr>
            </w:pPr>
            <w:r w:rsidRPr="003A7109">
              <w:rPr>
                <w:rFonts w:eastAsia="Times New Roman" w:cs="Arial"/>
              </w:rPr>
              <w:t>projekt o wartości wskaźnika powyżej 1 000 do 3 000(niski wpływ)  – 25% maksymalnej oceny dla kryterium tj.  4,4 pkt</w:t>
            </w:r>
          </w:p>
          <w:p w:rsidR="00205260" w:rsidRPr="003A7109" w:rsidRDefault="00205260" w:rsidP="005B068E">
            <w:pPr>
              <w:numPr>
                <w:ilvl w:val="0"/>
                <w:numId w:val="113"/>
              </w:numPr>
              <w:snapToGrid w:val="0"/>
              <w:spacing w:after="0" w:line="240" w:lineRule="auto"/>
              <w:contextualSpacing/>
              <w:jc w:val="both"/>
              <w:rPr>
                <w:rFonts w:cs="Arial"/>
              </w:rPr>
            </w:pPr>
            <w:r w:rsidRPr="003A7109">
              <w:rPr>
                <w:rFonts w:eastAsia="Times New Roman" w:cs="Arial"/>
              </w:rPr>
              <w:t xml:space="preserve"> projekt o wartości wskaźnika poniżej 1 000 (brak wpływu lub wpływ nieznaczący ) - </w:t>
            </w:r>
            <w:r w:rsidRPr="003A7109">
              <w:rPr>
                <w:rFonts w:cs="Arial"/>
              </w:rPr>
              <w:t xml:space="preserve"> 0 pkt</w:t>
            </w:r>
          </w:p>
          <w:p w:rsidR="00205260" w:rsidRPr="003A7109" w:rsidRDefault="00205260" w:rsidP="005B068E">
            <w:pPr>
              <w:snapToGrid w:val="0"/>
              <w:spacing w:after="0" w:line="240" w:lineRule="auto"/>
              <w:ind w:left="774"/>
              <w:contextualSpacing/>
              <w:jc w:val="both"/>
              <w:rPr>
                <w:rFonts w:cs="Arial"/>
              </w:rPr>
            </w:pPr>
          </w:p>
          <w:p w:rsidR="00205260" w:rsidRPr="003A7109" w:rsidRDefault="00205260" w:rsidP="005B068E">
            <w:pPr>
              <w:snapToGrid w:val="0"/>
              <w:spacing w:after="0" w:line="240" w:lineRule="auto"/>
              <w:ind w:left="774"/>
              <w:contextualSpacing/>
              <w:jc w:val="both"/>
              <w:rPr>
                <w:rFonts w:cs="Arial"/>
                <w:u w:val="single"/>
              </w:rPr>
            </w:pPr>
            <w:r w:rsidRPr="003A7109">
              <w:rPr>
                <w:rFonts w:cs="Arial"/>
                <w:u w:val="single"/>
              </w:rPr>
              <w:t xml:space="preserve">minimalny akceptowalny poziom realizacji wskaźnika musi być większy od 0 wartości docelowej wskaźnika </w:t>
            </w: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40% całej oceny wpływu na realizację SRWD- max. 17,6 pkt.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w:t>
            </w:r>
          </w:p>
        </w:tc>
      </w:tr>
      <w:tr w:rsidR="00205260" w:rsidRPr="003A7109" w:rsidTr="005B068E">
        <w:trPr>
          <w:trHeight w:val="2103"/>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2.</w:t>
            </w:r>
          </w:p>
        </w:tc>
        <w:tc>
          <w:tcPr>
            <w:tcW w:w="0" w:type="auto"/>
            <w:vAlign w:val="center"/>
          </w:tcPr>
          <w:p w:rsidR="00205260" w:rsidRPr="003A7109" w:rsidRDefault="00205260" w:rsidP="005B068E">
            <w:pPr>
              <w:snapToGrid w:val="0"/>
              <w:spacing w:after="0" w:line="240" w:lineRule="auto"/>
              <w:rPr>
                <w:rFonts w:eastAsia="Times New Roman" w:cs="Arial"/>
                <w:b/>
                <w:bCs/>
              </w:rPr>
            </w:pPr>
            <w:r w:rsidRPr="003A7109">
              <w:rPr>
                <w:rFonts w:eastAsia="Times New Roman" w:cs="Arial"/>
                <w:b/>
                <w:bCs/>
              </w:rPr>
              <w:t xml:space="preserve">Priorytetowy charakter podmiotu leczniczego </w:t>
            </w:r>
          </w:p>
        </w:tc>
        <w:tc>
          <w:tcPr>
            <w:tcW w:w="7994" w:type="dxa"/>
            <w:vAlign w:val="center"/>
          </w:tcPr>
          <w:p w:rsidR="00205260" w:rsidRPr="003A7109" w:rsidRDefault="00205260" w:rsidP="005B068E">
            <w:pPr>
              <w:snapToGrid w:val="0"/>
              <w:spacing w:after="0" w:line="240" w:lineRule="auto"/>
              <w:jc w:val="both"/>
              <w:rPr>
                <w:rFonts w:cs="Arial"/>
              </w:rPr>
            </w:pPr>
            <w:r w:rsidRPr="003A7109">
              <w:rPr>
                <w:rFonts w:cs="Arial"/>
              </w:rPr>
              <w:t xml:space="preserve">W ramach kryterium weryfikowane będzie czy projekt dotyczy przedsięwzięć w priorytetowych podmiotach leczniczych (szpitalach) wskazanych w SRWD. </w:t>
            </w:r>
          </w:p>
          <w:p w:rsidR="00205260" w:rsidRPr="003A7109" w:rsidRDefault="00205260" w:rsidP="005B068E">
            <w:pPr>
              <w:snapToGrid w:val="0"/>
              <w:spacing w:after="0" w:line="240" w:lineRule="auto"/>
              <w:jc w:val="both"/>
              <w:rPr>
                <w:rFonts w:cs="Arial"/>
              </w:rPr>
            </w:pP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 xml:space="preserve">Tak  - 13,2 pkt </w:t>
            </w: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 xml:space="preserve">Nie – 0 pkt. </w:t>
            </w:r>
          </w:p>
          <w:p w:rsidR="00205260" w:rsidRPr="003A7109" w:rsidRDefault="00205260" w:rsidP="005B068E">
            <w:pPr>
              <w:snapToGrid w:val="0"/>
              <w:spacing w:after="0" w:line="240" w:lineRule="auto"/>
              <w:jc w:val="both"/>
              <w:rPr>
                <w:rFonts w:cs="Arial"/>
              </w:rPr>
            </w:pP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30% całej oceny wpływu na realizację SRWD – max. 13,2 pkt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05260" w:rsidRPr="003A7109" w:rsidRDefault="00205260" w:rsidP="005B068E">
            <w:pPr>
              <w:autoSpaceDE w:val="0"/>
              <w:autoSpaceDN w:val="0"/>
              <w:adjustRightInd w:val="0"/>
              <w:spacing w:after="0" w:line="240" w:lineRule="auto"/>
              <w:ind w:left="142"/>
              <w:jc w:val="center"/>
              <w:rPr>
                <w:rFonts w:cs="Arial"/>
              </w:rPr>
            </w:pPr>
          </w:p>
        </w:tc>
      </w:tr>
      <w:tr w:rsidR="00205260" w:rsidRPr="003A7109" w:rsidTr="005B068E">
        <w:trPr>
          <w:trHeight w:val="1984"/>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3</w:t>
            </w:r>
          </w:p>
        </w:tc>
        <w:tc>
          <w:tcPr>
            <w:tcW w:w="0" w:type="auto"/>
            <w:vAlign w:val="center"/>
          </w:tcPr>
          <w:p w:rsidR="00205260" w:rsidRPr="003A7109" w:rsidRDefault="00205260" w:rsidP="005B068E">
            <w:pPr>
              <w:snapToGrid w:val="0"/>
              <w:spacing w:after="0" w:line="240" w:lineRule="auto"/>
              <w:rPr>
                <w:rFonts w:eastAsia="Times New Roman" w:cs="Arial"/>
                <w:b/>
                <w:bCs/>
              </w:rPr>
            </w:pPr>
            <w:r w:rsidRPr="003A7109">
              <w:rPr>
                <w:rFonts w:eastAsia="Times New Roman" w:cs="Arial"/>
                <w:b/>
                <w:bCs/>
              </w:rPr>
              <w:t xml:space="preserve">Oddziaływanie projektu  </w:t>
            </w:r>
          </w:p>
        </w:tc>
        <w:tc>
          <w:tcPr>
            <w:tcW w:w="7994" w:type="dxa"/>
            <w:vAlign w:val="center"/>
          </w:tcPr>
          <w:p w:rsidR="00205260" w:rsidRPr="003A7109" w:rsidRDefault="00205260" w:rsidP="005B068E">
            <w:pPr>
              <w:snapToGrid w:val="0"/>
              <w:spacing w:after="0" w:line="240" w:lineRule="auto"/>
              <w:jc w:val="both"/>
              <w:rPr>
                <w:rFonts w:cs="Arial"/>
              </w:rPr>
            </w:pPr>
            <w:r w:rsidRPr="003A7109">
              <w:rPr>
                <w:rFonts w:cs="Arial"/>
              </w:rPr>
              <w:t>W ramach kryterium oceniane będzie oddziaływanie projektu  wg klucza:</w:t>
            </w:r>
          </w:p>
          <w:p w:rsidR="00205260" w:rsidRPr="003A7109" w:rsidRDefault="00205260" w:rsidP="005B068E">
            <w:pPr>
              <w:snapToGrid w:val="0"/>
              <w:spacing w:after="0" w:line="240" w:lineRule="auto"/>
              <w:jc w:val="both"/>
              <w:rPr>
                <w:rFonts w:cs="Arial"/>
              </w:rPr>
            </w:pPr>
          </w:p>
          <w:p w:rsidR="00205260" w:rsidRDefault="00205260" w:rsidP="00A136E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regionalny – oddziaływanie docelowego przedsięwzięcia na cały obszar województwa </w:t>
            </w:r>
            <w:r w:rsidRPr="003A7109">
              <w:rPr>
                <w:rFonts w:eastAsia="Times New Roman" w:cs="Arial"/>
              </w:rPr>
              <w:t xml:space="preserve">(oddziaływanie znaczące) </w:t>
            </w:r>
            <w:r w:rsidRPr="003A7109">
              <w:rPr>
                <w:rFonts w:cs="Arial"/>
              </w:rPr>
              <w:t xml:space="preserve">– </w:t>
            </w:r>
            <w:r w:rsidRPr="003A7109">
              <w:rPr>
                <w:rFonts w:eastAsia="Times New Roman" w:cs="Arial"/>
              </w:rPr>
              <w:t xml:space="preserve">100% maksymalnej oceny dla kryterium tj. </w:t>
            </w:r>
            <w:r w:rsidRPr="003A7109">
              <w:rPr>
                <w:rFonts w:cs="Arial"/>
              </w:rPr>
              <w:t xml:space="preserve">4,4 pkt, </w:t>
            </w:r>
          </w:p>
          <w:p w:rsidR="00205260" w:rsidRDefault="00205260" w:rsidP="00A136E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subregionalny – oddziaływanie docelowego przedsięwzięcia na kilka powiatów </w:t>
            </w:r>
            <w:r w:rsidRPr="003A7109">
              <w:rPr>
                <w:rFonts w:eastAsia="Times New Roman" w:cs="Arial"/>
              </w:rPr>
              <w:t xml:space="preserve">(oddziaływanie średnie) </w:t>
            </w:r>
            <w:r w:rsidRPr="003A7109">
              <w:rPr>
                <w:rFonts w:cs="Arial"/>
              </w:rPr>
              <w:t xml:space="preserve">– </w:t>
            </w:r>
            <w:r w:rsidRPr="003A7109">
              <w:rPr>
                <w:rFonts w:eastAsia="Times New Roman" w:cs="Arial"/>
              </w:rPr>
              <w:t xml:space="preserve">75% maksymalnej oceny dla kryterium tj. </w:t>
            </w:r>
            <w:r w:rsidRPr="003A7109">
              <w:rPr>
                <w:rFonts w:cs="Arial"/>
              </w:rPr>
              <w:t xml:space="preserve">3,3 pkt, </w:t>
            </w:r>
          </w:p>
          <w:p w:rsidR="00205260" w:rsidRDefault="00205260" w:rsidP="00A136E7">
            <w:pPr>
              <w:numPr>
                <w:ilvl w:val="0"/>
                <w:numId w:val="301"/>
              </w:numPr>
              <w:autoSpaceDE w:val="0"/>
              <w:autoSpaceDN w:val="0"/>
              <w:adjustRightInd w:val="0"/>
              <w:contextualSpacing/>
              <w:jc w:val="both"/>
              <w:rPr>
                <w:rFonts w:cs="Arial"/>
              </w:rPr>
            </w:pPr>
            <w:r w:rsidRPr="003A7109">
              <w:rPr>
                <w:rFonts w:eastAsia="Times New Roman" w:cs="Arial"/>
              </w:rPr>
              <w:t xml:space="preserve">projekt </w:t>
            </w:r>
            <w:r w:rsidRPr="003A7109">
              <w:rPr>
                <w:rFonts w:cs="Arial"/>
              </w:rPr>
              <w:t xml:space="preserve">lokalny – oddziaływanie docelowego przedsięwzięcia na gminę lub kilka gmin, powiat </w:t>
            </w:r>
            <w:r w:rsidRPr="003A7109">
              <w:rPr>
                <w:rFonts w:eastAsia="Times New Roman" w:cs="Arial"/>
              </w:rPr>
              <w:t xml:space="preserve">(oddziaływanie niskie) </w:t>
            </w:r>
            <w:r w:rsidRPr="003A7109">
              <w:rPr>
                <w:rFonts w:cs="Arial"/>
              </w:rPr>
              <w:t>-</w:t>
            </w:r>
            <w:r w:rsidRPr="003A7109">
              <w:rPr>
                <w:rFonts w:eastAsia="Times New Roman" w:cs="Arial"/>
              </w:rPr>
              <w:t xml:space="preserve">50% maksymalnej oceny dla kryterium tj.  </w:t>
            </w:r>
            <w:r w:rsidRPr="003A7109">
              <w:rPr>
                <w:rFonts w:cs="Arial"/>
              </w:rPr>
              <w:t>2,2 pkt,</w:t>
            </w:r>
          </w:p>
          <w:p w:rsidR="00205260" w:rsidRDefault="00205260" w:rsidP="00A136E7">
            <w:pPr>
              <w:numPr>
                <w:ilvl w:val="0"/>
                <w:numId w:val="301"/>
              </w:numPr>
              <w:autoSpaceDE w:val="0"/>
              <w:autoSpaceDN w:val="0"/>
              <w:adjustRightInd w:val="0"/>
              <w:contextualSpacing/>
              <w:jc w:val="both"/>
              <w:rPr>
                <w:rFonts w:cs="Arial"/>
              </w:rPr>
            </w:pPr>
            <w:r w:rsidRPr="003A7109">
              <w:rPr>
                <w:rFonts w:cs="Arial"/>
              </w:rPr>
              <w:t xml:space="preserve">brak spełnienie ww. warunku lub brak informacji o oddziaływaniu - 0 pkt. </w:t>
            </w:r>
          </w:p>
          <w:p w:rsidR="00205260" w:rsidRPr="003A7109" w:rsidRDefault="00205260" w:rsidP="005B068E">
            <w:pPr>
              <w:snapToGrid w:val="0"/>
              <w:spacing w:after="0" w:line="240" w:lineRule="auto"/>
              <w:jc w:val="both"/>
              <w:rPr>
                <w:rFonts w:cs="Arial"/>
              </w:rPr>
            </w:pP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10% całej oceny wpływu na realizację SRWD– max. 4,4 pkt</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(0 punktów w kryterium nie oznacza odrzucenia wniosku)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 </w:t>
            </w:r>
          </w:p>
          <w:p w:rsidR="00205260" w:rsidRPr="003A7109" w:rsidRDefault="00205260" w:rsidP="005B068E">
            <w:pPr>
              <w:autoSpaceDE w:val="0"/>
              <w:autoSpaceDN w:val="0"/>
              <w:adjustRightInd w:val="0"/>
              <w:spacing w:after="0" w:line="240" w:lineRule="auto"/>
              <w:ind w:left="142"/>
              <w:jc w:val="center"/>
              <w:rPr>
                <w:rFonts w:cs="Arial"/>
              </w:rPr>
            </w:pPr>
          </w:p>
        </w:tc>
      </w:tr>
      <w:tr w:rsidR="00205260" w:rsidRPr="003E217C" w:rsidTr="005B068E">
        <w:trPr>
          <w:trHeight w:val="2126"/>
        </w:trPr>
        <w:tc>
          <w:tcPr>
            <w:tcW w:w="0" w:type="auto"/>
            <w:vAlign w:val="center"/>
          </w:tcPr>
          <w:p w:rsidR="00205260" w:rsidRPr="003A7109" w:rsidRDefault="00205260" w:rsidP="005B068E">
            <w:pPr>
              <w:snapToGrid w:val="0"/>
              <w:spacing w:line="240" w:lineRule="auto"/>
              <w:ind w:left="142"/>
              <w:rPr>
                <w:rFonts w:cs="Arial"/>
              </w:rPr>
            </w:pPr>
            <w:r w:rsidRPr="003A7109">
              <w:rPr>
                <w:rFonts w:cs="Arial"/>
              </w:rPr>
              <w:t>4</w:t>
            </w:r>
          </w:p>
        </w:tc>
        <w:tc>
          <w:tcPr>
            <w:tcW w:w="0" w:type="auto"/>
            <w:vAlign w:val="center"/>
          </w:tcPr>
          <w:p w:rsidR="00205260" w:rsidRPr="003A7109" w:rsidRDefault="00205260" w:rsidP="005B068E">
            <w:pPr>
              <w:snapToGrid w:val="0"/>
              <w:spacing w:after="0" w:line="240" w:lineRule="auto"/>
              <w:rPr>
                <w:rFonts w:eastAsia="Times New Roman" w:cs="Arial"/>
                <w:b/>
                <w:bCs/>
              </w:rPr>
            </w:pPr>
            <w:r w:rsidRPr="003A7109">
              <w:rPr>
                <w:rFonts w:eastAsia="Times New Roman" w:cs="Arial"/>
                <w:b/>
                <w:bCs/>
              </w:rPr>
              <w:t xml:space="preserve">Rozwój subregionalnych ośrodków nowoczesnej diagnostyki </w:t>
            </w:r>
          </w:p>
        </w:tc>
        <w:tc>
          <w:tcPr>
            <w:tcW w:w="7994" w:type="dxa"/>
            <w:vAlign w:val="center"/>
          </w:tcPr>
          <w:p w:rsidR="00205260" w:rsidRPr="003A7109" w:rsidRDefault="00205260" w:rsidP="005B068E">
            <w:pPr>
              <w:snapToGrid w:val="0"/>
              <w:spacing w:after="0" w:line="240" w:lineRule="auto"/>
              <w:jc w:val="both"/>
              <w:rPr>
                <w:rFonts w:cs="Arial"/>
              </w:rPr>
            </w:pPr>
            <w:r w:rsidRPr="003A7109">
              <w:rPr>
                <w:rFonts w:cs="Arial"/>
              </w:rPr>
              <w:t xml:space="preserve">W ramach kryterium weryfikowane będzie czy projekt przyczynia się do rozwoju subregionach ośrodków nowoczesnej diagnostyki we Wrocławiu, Wałbrzychu, Jeleniej Górze i Legnicy. </w:t>
            </w:r>
          </w:p>
          <w:p w:rsidR="00205260" w:rsidRPr="003A7109" w:rsidRDefault="00205260" w:rsidP="005B068E">
            <w:pPr>
              <w:snapToGrid w:val="0"/>
              <w:spacing w:after="0" w:line="240" w:lineRule="auto"/>
              <w:jc w:val="both"/>
              <w:rPr>
                <w:rFonts w:cs="Arial"/>
              </w:rPr>
            </w:pP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Tak – 8,8 pkt</w:t>
            </w:r>
          </w:p>
          <w:p w:rsidR="00205260" w:rsidRPr="003A7109" w:rsidRDefault="00205260" w:rsidP="005B068E">
            <w:pPr>
              <w:numPr>
                <w:ilvl w:val="0"/>
                <w:numId w:val="75"/>
              </w:numPr>
              <w:snapToGrid w:val="0"/>
              <w:spacing w:after="0" w:line="240" w:lineRule="auto"/>
              <w:contextualSpacing/>
              <w:jc w:val="both"/>
              <w:rPr>
                <w:rFonts w:cs="Arial"/>
              </w:rPr>
            </w:pPr>
            <w:r w:rsidRPr="003A7109">
              <w:rPr>
                <w:rFonts w:cs="Arial"/>
              </w:rPr>
              <w:t xml:space="preserve">Nie – 0 pkt. </w:t>
            </w:r>
          </w:p>
          <w:p w:rsidR="00205260" w:rsidRPr="003A7109" w:rsidRDefault="00205260" w:rsidP="005B068E">
            <w:pPr>
              <w:snapToGrid w:val="0"/>
              <w:spacing w:after="0" w:line="240" w:lineRule="auto"/>
              <w:jc w:val="both"/>
              <w:rPr>
                <w:rFonts w:cs="Arial"/>
              </w:rPr>
            </w:pPr>
          </w:p>
        </w:tc>
        <w:tc>
          <w:tcPr>
            <w:tcW w:w="2268" w:type="dxa"/>
            <w:vAlign w:val="center"/>
          </w:tcPr>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20% całej oceny wpływu na realizację SRWD – max. 8,8 pkt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r w:rsidRPr="003A7109">
              <w:rPr>
                <w:rFonts w:cs="Arial"/>
              </w:rPr>
              <w:t xml:space="preserve">(0 punktów w kryterium nie oznacza odrzucenia wniosku) </w:t>
            </w:r>
          </w:p>
          <w:p w:rsidR="00205260" w:rsidRPr="003A7109" w:rsidRDefault="00205260" w:rsidP="005B068E">
            <w:pPr>
              <w:autoSpaceDE w:val="0"/>
              <w:autoSpaceDN w:val="0"/>
              <w:adjustRightInd w:val="0"/>
              <w:spacing w:after="0" w:line="240" w:lineRule="auto"/>
              <w:ind w:left="142"/>
              <w:jc w:val="center"/>
              <w:rPr>
                <w:rFonts w:cs="Arial"/>
              </w:rPr>
            </w:pPr>
          </w:p>
          <w:p w:rsidR="00205260" w:rsidRPr="003A7109" w:rsidRDefault="00205260" w:rsidP="005B068E">
            <w:pPr>
              <w:autoSpaceDE w:val="0"/>
              <w:autoSpaceDN w:val="0"/>
              <w:adjustRightInd w:val="0"/>
              <w:spacing w:after="0" w:line="240" w:lineRule="auto"/>
              <w:ind w:left="142"/>
              <w:jc w:val="center"/>
              <w:rPr>
                <w:rFonts w:cs="Arial"/>
              </w:rPr>
            </w:pPr>
          </w:p>
        </w:tc>
      </w:tr>
      <w:tr w:rsidR="00205260" w:rsidRPr="00DB4FBC" w:rsidTr="005B068E">
        <w:trPr>
          <w:trHeight w:val="644"/>
        </w:trPr>
        <w:tc>
          <w:tcPr>
            <w:tcW w:w="3913" w:type="dxa"/>
            <w:gridSpan w:val="2"/>
            <w:vAlign w:val="center"/>
          </w:tcPr>
          <w:p w:rsidR="00205260" w:rsidRPr="00DB4FBC" w:rsidRDefault="00205260" w:rsidP="005B068E">
            <w:pPr>
              <w:suppressAutoHyphens/>
              <w:spacing w:after="0" w:line="240" w:lineRule="auto"/>
              <w:jc w:val="right"/>
              <w:rPr>
                <w:rFonts w:cs="Arial"/>
                <w:b/>
              </w:rPr>
            </w:pPr>
            <w:r w:rsidRPr="00DB4FBC">
              <w:rPr>
                <w:rFonts w:cs="Arial"/>
                <w:b/>
              </w:rPr>
              <w:t>SUMA</w:t>
            </w:r>
          </w:p>
        </w:tc>
        <w:tc>
          <w:tcPr>
            <w:tcW w:w="10262" w:type="dxa"/>
            <w:gridSpan w:val="2"/>
            <w:vAlign w:val="center"/>
          </w:tcPr>
          <w:p w:rsidR="00205260" w:rsidRPr="00DB4FBC" w:rsidRDefault="00205260" w:rsidP="005B068E">
            <w:pPr>
              <w:autoSpaceDE w:val="0"/>
              <w:autoSpaceDN w:val="0"/>
              <w:adjustRightInd w:val="0"/>
              <w:spacing w:after="0" w:line="240" w:lineRule="auto"/>
              <w:jc w:val="right"/>
              <w:rPr>
                <w:rFonts w:cs="Arial"/>
              </w:rPr>
            </w:pPr>
            <w:r>
              <w:rPr>
                <w:rFonts w:cs="Arial"/>
              </w:rPr>
              <w:t xml:space="preserve">44 </w:t>
            </w:r>
            <w:r w:rsidRPr="00DB4FBC">
              <w:rPr>
                <w:rFonts w:cs="Arial"/>
              </w:rPr>
              <w:t xml:space="preserve"> pkt.</w:t>
            </w:r>
          </w:p>
        </w:tc>
      </w:tr>
    </w:tbl>
    <w:p w:rsidR="00205260" w:rsidRPr="003E217C" w:rsidRDefault="00205260" w:rsidP="00205260">
      <w:pPr>
        <w:spacing w:line="240" w:lineRule="auto"/>
        <w:rPr>
          <w:rFonts w:cs="Arial"/>
          <w:b/>
          <w:bCs/>
          <w:iCs/>
          <w:color w:val="FF0000"/>
          <w:u w:val="single"/>
        </w:rPr>
      </w:pPr>
    </w:p>
    <w:p w:rsidR="00205260" w:rsidRDefault="00205260" w:rsidP="00205260"/>
    <w:p w:rsidR="00205260" w:rsidRDefault="00205260" w:rsidP="006A29B5"/>
    <w:p w:rsidR="00205260" w:rsidRPr="000B7175" w:rsidRDefault="00205260"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5B068E" w:rsidRPr="00E762A5" w:rsidRDefault="005B068E"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5B068E" w:rsidRPr="009F6A93" w:rsidRDefault="005B068E"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7" o:title="" type="pattern"/>
              <v:textbox>
                <w:txbxContent>
                  <w:p w:rsidR="005B068E" w:rsidRDefault="005B068E"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5B068E" w:rsidRPr="009F6A93" w:rsidRDefault="005B068E"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7" o:title="" type="pattern"/>
              <v:textbox>
                <w:txbxContent>
                  <w:p w:rsidR="005B068E" w:rsidRDefault="005B068E"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5B068E" w:rsidRPr="009F6A93" w:rsidRDefault="005B068E"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5B068E" w:rsidRDefault="005B068E"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5B068E" w:rsidRPr="009F6A93" w:rsidRDefault="005B068E"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5B068E" w:rsidRDefault="005B068E"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B068E" w:rsidRPr="009F6A93" w:rsidRDefault="005B068E"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5B068E" w:rsidRDefault="005B068E"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5B068E" w:rsidRPr="009F6A93" w:rsidRDefault="005B068E"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5B068E" w:rsidRDefault="005B068E"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5B068E" w:rsidRPr="009F6A93" w:rsidRDefault="005B068E" w:rsidP="00813976">
                  <w:pPr>
                    <w:spacing w:after="0" w:line="240" w:lineRule="auto"/>
                    <w:rPr>
                      <w:b/>
                    </w:rPr>
                  </w:pPr>
                  <w:r>
                    <w:rPr>
                      <w:b/>
                    </w:rPr>
                    <w:t>Kryteria zgodności ze Strategią ZIT</w:t>
                  </w:r>
                </w:p>
              </w:txbxContent>
            </v:textbox>
          </v:rect>
        </w:pict>
      </w:r>
    </w:p>
    <w:p w:rsidR="00B97229" w:rsidRPr="00DB4FBC" w:rsidRDefault="00810E1B"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5B068E" w:rsidRDefault="005B068E"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3"/>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50068A" w:rsidRDefault="009E0875" w:rsidP="00A136E7">
      <w:pPr>
        <w:pStyle w:val="Nagwek3"/>
        <w:numPr>
          <w:ilvl w:val="0"/>
          <w:numId w:val="186"/>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tcBorders>
              <w:right w:val="single" w:sz="4" w:space="0" w:color="auto"/>
            </w:tcBorders>
            <w:vAlign w:val="center"/>
          </w:tcPr>
          <w:p w:rsidR="0050068A" w:rsidRDefault="0050068A" w:rsidP="00A136E7">
            <w:pPr>
              <w:pStyle w:val="Akapitzlist"/>
              <w:numPr>
                <w:ilvl w:val="0"/>
                <w:numId w:val="183"/>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50068A" w:rsidRDefault="00001417" w:rsidP="00A136E7">
            <w:pPr>
              <w:pStyle w:val="Akapitzlist"/>
              <w:keepNext/>
              <w:keepLines/>
              <w:numPr>
                <w:ilvl w:val="0"/>
                <w:numId w:val="182"/>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50068A" w:rsidRDefault="00001417" w:rsidP="00A136E7">
            <w:pPr>
              <w:pStyle w:val="Akapitzlist"/>
              <w:keepNext/>
              <w:keepLines/>
              <w:numPr>
                <w:ilvl w:val="0"/>
                <w:numId w:val="182"/>
              </w:numPr>
              <w:snapToGrid w:val="0"/>
              <w:spacing w:after="0" w:line="240" w:lineRule="auto"/>
              <w:ind w:left="317" w:hanging="283"/>
              <w:jc w:val="both"/>
            </w:pPr>
            <w:r>
              <w:rPr>
                <w:rFonts w:cs="Calibri"/>
                <w:sz w:val="24"/>
                <w:szCs w:val="24"/>
              </w:rPr>
              <w:t>przedsiębiorstwa wysokiego wzrostu,</w:t>
            </w:r>
          </w:p>
          <w:p w:rsidR="0050068A" w:rsidRDefault="00001417" w:rsidP="00A136E7">
            <w:pPr>
              <w:pStyle w:val="Akapitzlist"/>
              <w:keepNext/>
              <w:keepLines/>
              <w:numPr>
                <w:ilvl w:val="0"/>
                <w:numId w:val="182"/>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50068A" w:rsidRDefault="00001417" w:rsidP="00A136E7">
            <w:pPr>
              <w:pStyle w:val="Akapitzlist"/>
              <w:numPr>
                <w:ilvl w:val="0"/>
                <w:numId w:val="180"/>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50068A" w:rsidRDefault="00001417" w:rsidP="00A136E7">
      <w:pPr>
        <w:pStyle w:val="Nagwek3"/>
        <w:numPr>
          <w:ilvl w:val="0"/>
          <w:numId w:val="186"/>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50068A" w:rsidRDefault="00001417" w:rsidP="00A136E7">
      <w:pPr>
        <w:pStyle w:val="Akapitzlist"/>
        <w:numPr>
          <w:ilvl w:val="0"/>
          <w:numId w:val="184"/>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126"/>
          <w:jc w:val="center"/>
        </w:trPr>
        <w:tc>
          <w:tcPr>
            <w:tcW w:w="1114" w:type="dxa"/>
            <w:tcBorders>
              <w:right w:val="single" w:sz="4" w:space="0" w:color="auto"/>
            </w:tcBorders>
            <w:vAlign w:val="center"/>
          </w:tcPr>
          <w:p w:rsidR="0050068A" w:rsidRDefault="0050068A" w:rsidP="00A136E7">
            <w:pPr>
              <w:pStyle w:val="Akapitzlist"/>
              <w:numPr>
                <w:ilvl w:val="0"/>
                <w:numId w:val="181"/>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t>Kryteria dla Działania 9.1 Aktywna integracja – nabór w trybie konkursowym (PI 9.i)</w:t>
      </w:r>
      <w:bookmarkEnd w:id="75"/>
    </w:p>
    <w:p w:rsidR="0050068A" w:rsidRDefault="009E0875" w:rsidP="00A136E7">
      <w:pPr>
        <w:pStyle w:val="Nagwek3"/>
        <w:numPr>
          <w:ilvl w:val="0"/>
          <w:numId w:val="289"/>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50068A" w:rsidRDefault="009E0875" w:rsidP="00A136E7">
            <w:pPr>
              <w:pStyle w:val="Akapitzlist"/>
              <w:numPr>
                <w:ilvl w:val="0"/>
                <w:numId w:val="187"/>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50068A" w:rsidRDefault="009E0875" w:rsidP="00A136E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50068A" w:rsidRDefault="009E0875" w:rsidP="00A136E7">
            <w:pPr>
              <w:pStyle w:val="Akapitzlist"/>
              <w:numPr>
                <w:ilvl w:val="0"/>
                <w:numId w:val="187"/>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50068A" w:rsidRDefault="009E0875" w:rsidP="00A136E7">
      <w:pPr>
        <w:pStyle w:val="Nagwek3"/>
        <w:numPr>
          <w:ilvl w:val="0"/>
          <w:numId w:val="289"/>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8"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50068A" w:rsidRDefault="009E0875" w:rsidP="00A136E7">
      <w:pPr>
        <w:pStyle w:val="Nagwek2"/>
        <w:numPr>
          <w:ilvl w:val="0"/>
          <w:numId w:val="185"/>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50068A" w:rsidRDefault="009E0875" w:rsidP="00A136E7">
      <w:pPr>
        <w:pStyle w:val="Nagwek3"/>
        <w:numPr>
          <w:ilvl w:val="0"/>
          <w:numId w:val="290"/>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50068A" w:rsidRDefault="009E0875" w:rsidP="00A136E7">
      <w:pPr>
        <w:pStyle w:val="Nagwek3"/>
        <w:numPr>
          <w:ilvl w:val="0"/>
          <w:numId w:val="290"/>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50068A" w:rsidRDefault="00CB4317" w:rsidP="00A136E7">
      <w:pPr>
        <w:pStyle w:val="Nagwek2"/>
        <w:numPr>
          <w:ilvl w:val="0"/>
          <w:numId w:val="185"/>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Czy w ramach projektu wskazano wszystkie wskaźniki dotyczące zakresu realizacji projektu wynikające z zapisów SzOOP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19"/>
      <w:headerReference w:type="first" r:id="rId20"/>
      <w:foot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8E" w:rsidRDefault="005B068E" w:rsidP="00F35E01">
      <w:pPr>
        <w:spacing w:after="0" w:line="240" w:lineRule="auto"/>
      </w:pPr>
      <w:r>
        <w:separator/>
      </w:r>
    </w:p>
  </w:endnote>
  <w:endnote w:type="continuationSeparator" w:id="0">
    <w:p w:rsidR="005B068E" w:rsidRDefault="005B068E" w:rsidP="00F35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119976"/>
      <w:docPartObj>
        <w:docPartGallery w:val="Page Numbers (Bottom of Page)"/>
        <w:docPartUnique/>
      </w:docPartObj>
    </w:sdtPr>
    <w:sdtContent>
      <w:p w:rsidR="005B068E" w:rsidRDefault="00810E1B">
        <w:pPr>
          <w:pStyle w:val="Stopka"/>
          <w:jc w:val="right"/>
        </w:pPr>
        <w:fldSimple w:instr="PAGE   \* MERGEFORMAT">
          <w:r w:rsidR="003E3EA2">
            <w:rPr>
              <w:noProof/>
            </w:rPr>
            <w:t>2</w:t>
          </w:r>
        </w:fldSimple>
      </w:p>
    </w:sdtContent>
  </w:sdt>
  <w:p w:rsidR="005B068E" w:rsidRDefault="005B068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8E" w:rsidRDefault="005B068E">
    <w:pPr>
      <w:pStyle w:val="Stopka"/>
      <w:jc w:val="right"/>
    </w:pPr>
  </w:p>
  <w:p w:rsidR="005B068E" w:rsidRDefault="005B068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8E" w:rsidRDefault="005B068E" w:rsidP="00F35E01">
      <w:pPr>
        <w:spacing w:after="0" w:line="240" w:lineRule="auto"/>
      </w:pPr>
      <w:r>
        <w:separator/>
      </w:r>
    </w:p>
  </w:footnote>
  <w:footnote w:type="continuationSeparator" w:id="0">
    <w:p w:rsidR="005B068E" w:rsidRDefault="005B068E" w:rsidP="00F35E01">
      <w:pPr>
        <w:spacing w:after="0" w:line="240" w:lineRule="auto"/>
      </w:pPr>
      <w:r>
        <w:continuationSeparator/>
      </w:r>
    </w:p>
  </w:footnote>
  <w:footnote w:id="1">
    <w:p w:rsidR="005B068E" w:rsidRPr="00DF6365" w:rsidRDefault="005B068E"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B068E" w:rsidRPr="00DF6365" w:rsidRDefault="005B068E"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B068E" w:rsidRPr="00DF6365" w:rsidRDefault="005B068E"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B068E" w:rsidRPr="00DF6365" w:rsidRDefault="005B068E"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B068E" w:rsidRPr="00DF6365" w:rsidRDefault="005B068E"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B068E" w:rsidRPr="00872EFC" w:rsidRDefault="005B068E"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5B068E" w:rsidRPr="00B00CFE" w:rsidRDefault="005B068E" w:rsidP="00687922">
      <w:pPr>
        <w:pStyle w:val="Tekstprzypisudolnego"/>
        <w:rPr>
          <w:lang w:val="pl-PL"/>
        </w:rPr>
      </w:pPr>
    </w:p>
  </w:footnote>
  <w:footnote w:id="5">
    <w:p w:rsidR="005B068E" w:rsidRPr="00DF6365" w:rsidRDefault="005B068E"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5B068E" w:rsidRPr="00A005BF" w:rsidRDefault="005B068E"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5B068E" w:rsidRPr="007025A7" w:rsidRDefault="005B068E"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5B068E" w:rsidRPr="00275E49" w:rsidRDefault="005B068E"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5B068E" w:rsidRPr="009A1C83" w:rsidRDefault="005B068E"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5B068E" w:rsidRPr="00DF6365" w:rsidRDefault="005B068E"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5B068E" w:rsidRPr="00CE408E" w:rsidRDefault="005B068E"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5B068E" w:rsidRPr="00AD5311" w:rsidRDefault="005B068E" w:rsidP="001945B2">
      <w:pPr>
        <w:pStyle w:val="Tekstprzypisudolnego"/>
        <w:rPr>
          <w:lang w:val="pl-PL"/>
        </w:rPr>
      </w:pPr>
    </w:p>
  </w:footnote>
  <w:footnote w:id="12">
    <w:p w:rsidR="005B068E" w:rsidRPr="002234E7" w:rsidRDefault="005B068E"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5B068E" w:rsidRPr="00BF1F95" w:rsidRDefault="005B068E"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BF1F95" w:rsidRDefault="005B068E"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5B068E" w:rsidRPr="009627D6" w:rsidRDefault="005B068E"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A20902" w:rsidRDefault="005B068E"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5B068E" w:rsidRPr="00B10525" w:rsidRDefault="005B068E"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6">
    <w:p w:rsidR="005B068E" w:rsidRPr="00B00CFE" w:rsidRDefault="005B068E" w:rsidP="00A8272F">
      <w:pPr>
        <w:pStyle w:val="Tekstprzypisudolnego"/>
        <w:rPr>
          <w:lang w:val="pl-PL"/>
        </w:rPr>
      </w:pPr>
      <w:r>
        <w:rPr>
          <w:rStyle w:val="Odwoanieprzypisudolnego"/>
        </w:rPr>
        <w:footnoteRef/>
      </w:r>
      <w:r w:rsidRPr="00B00CFE">
        <w:rPr>
          <w:lang w:val="pl-PL"/>
        </w:rPr>
        <w:t xml:space="preserve"> Określającą dokładne parametry mikroinstalacji OZE</w:t>
      </w:r>
    </w:p>
  </w:footnote>
  <w:footnote w:id="17">
    <w:p w:rsidR="005B068E" w:rsidRPr="00DF6365" w:rsidRDefault="005B068E"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DF6365" w:rsidRDefault="005B068E"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5B068E" w:rsidRPr="00DF6365" w:rsidRDefault="005B068E"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5B068E" w:rsidRPr="00DF6365" w:rsidRDefault="005B068E"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5B068E" w:rsidRDefault="005B068E"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5B068E" w:rsidRPr="00E61CEB" w:rsidRDefault="005B068E" w:rsidP="00B61DB3">
      <w:pPr>
        <w:pStyle w:val="Tekstprzypisudolnego"/>
        <w:rPr>
          <w:lang w:val="pl-PL"/>
        </w:rPr>
      </w:pPr>
    </w:p>
  </w:footnote>
  <w:footnote w:id="20">
    <w:p w:rsidR="005B068E" w:rsidRPr="00A70A21" w:rsidRDefault="005B068E"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5B068E" w:rsidRPr="00653CF5" w:rsidRDefault="005B068E"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B068E" w:rsidRPr="00653CF5" w:rsidRDefault="005B068E"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B068E" w:rsidRPr="00535C6F" w:rsidRDefault="005B068E" w:rsidP="00633C43">
      <w:pPr>
        <w:pStyle w:val="Tekstprzypisudolnego"/>
        <w:rPr>
          <w:lang w:val="pl-PL"/>
        </w:rPr>
      </w:pPr>
    </w:p>
  </w:footnote>
  <w:footnote w:id="22">
    <w:p w:rsidR="005B068E" w:rsidRPr="00653CF5" w:rsidRDefault="005B068E"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B068E" w:rsidRPr="00653CF5" w:rsidRDefault="005B068E"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B068E" w:rsidRPr="00383E64" w:rsidRDefault="005B068E" w:rsidP="00535C6F">
      <w:pPr>
        <w:pStyle w:val="Tekstprzypisudolnego"/>
        <w:rPr>
          <w:lang w:val="pl-PL"/>
        </w:rPr>
      </w:pPr>
    </w:p>
  </w:footnote>
  <w:footnote w:id="23">
    <w:p w:rsidR="005B068E" w:rsidRPr="00653CF5" w:rsidRDefault="005B068E"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5B068E" w:rsidRPr="00653CF5" w:rsidRDefault="005B068E"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5B068E" w:rsidRPr="004D1738" w:rsidRDefault="005B068E" w:rsidP="00922230">
      <w:pPr>
        <w:pStyle w:val="Tekstprzypisudolnego"/>
        <w:rPr>
          <w:lang w:val="pl-PL"/>
        </w:rPr>
      </w:pPr>
    </w:p>
  </w:footnote>
  <w:footnote w:id="24">
    <w:p w:rsidR="005B068E" w:rsidRPr="004D1738" w:rsidRDefault="005B068E"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5B068E" w:rsidRPr="004D1738" w:rsidRDefault="005B068E" w:rsidP="00922230">
      <w:pPr>
        <w:pStyle w:val="Tekstprzypisudolnego"/>
        <w:rPr>
          <w:lang w:val="pl-PL"/>
        </w:rPr>
      </w:pPr>
    </w:p>
  </w:footnote>
  <w:footnote w:id="25">
    <w:p w:rsidR="005B068E" w:rsidRPr="004B3156" w:rsidRDefault="005B068E"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5B068E" w:rsidRPr="00347043" w:rsidRDefault="005B068E"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5B068E" w:rsidRPr="00347043" w:rsidRDefault="005B068E" w:rsidP="00C434D1">
      <w:pPr>
        <w:pStyle w:val="Tekstprzypisudolnego"/>
        <w:rPr>
          <w:lang w:val="pl-PL"/>
        </w:rPr>
      </w:pPr>
    </w:p>
  </w:footnote>
  <w:footnote w:id="27">
    <w:p w:rsidR="005B068E" w:rsidRPr="002A172F" w:rsidRDefault="005B068E"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5B068E" w:rsidRPr="00183944" w:rsidRDefault="005B068E"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5B068E" w:rsidRPr="00964A1D" w:rsidRDefault="005B068E"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5B068E" w:rsidRPr="00ED18F1" w:rsidRDefault="005B068E"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5B068E" w:rsidRPr="002C0B0E" w:rsidRDefault="005B068E"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5B068E" w:rsidRPr="00912598" w:rsidRDefault="005B068E"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5B068E" w:rsidRPr="00912598" w:rsidRDefault="005B068E"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5B068E" w:rsidRPr="00912598" w:rsidRDefault="005B068E"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5B068E" w:rsidRPr="00912598" w:rsidRDefault="005B068E"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5B068E" w:rsidRPr="00912598" w:rsidRDefault="005B068E" w:rsidP="003622B9">
      <w:pPr>
        <w:pStyle w:val="Tekstprzypisudolnego"/>
        <w:rPr>
          <w:sz w:val="14"/>
          <w:szCs w:val="14"/>
          <w:lang w:val="pl-PL"/>
        </w:rPr>
      </w:pPr>
      <w:r w:rsidRPr="00912598">
        <w:rPr>
          <w:sz w:val="14"/>
          <w:szCs w:val="14"/>
          <w:lang w:val="pl-PL"/>
        </w:rPr>
        <w:t xml:space="preserve">d) pomocy technicznej; </w:t>
      </w:r>
    </w:p>
    <w:p w:rsidR="005B068E" w:rsidRPr="00912598" w:rsidRDefault="005B068E"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5B068E" w:rsidRPr="00912598" w:rsidRDefault="005B068E"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5B068E" w:rsidRPr="00912598" w:rsidRDefault="005B068E" w:rsidP="003622B9">
      <w:pPr>
        <w:pStyle w:val="Tekstprzypisudolnego"/>
        <w:rPr>
          <w:sz w:val="14"/>
          <w:szCs w:val="14"/>
          <w:lang w:val="pl-PL"/>
        </w:rPr>
      </w:pPr>
      <w:r w:rsidRPr="00912598">
        <w:rPr>
          <w:sz w:val="14"/>
          <w:szCs w:val="14"/>
          <w:lang w:val="pl-PL"/>
        </w:rPr>
        <w:t>g) operacji realizowanych w ramach wspólnego planu działania;</w:t>
      </w:r>
    </w:p>
    <w:p w:rsidR="005B068E" w:rsidRPr="00912598" w:rsidRDefault="005B068E" w:rsidP="003622B9">
      <w:pPr>
        <w:pStyle w:val="Tekstprzypisudolnego"/>
        <w:rPr>
          <w:sz w:val="14"/>
          <w:szCs w:val="14"/>
          <w:lang w:val="pl-PL"/>
        </w:rPr>
      </w:pPr>
      <w:r w:rsidRPr="00912598">
        <w:rPr>
          <w:sz w:val="14"/>
          <w:szCs w:val="14"/>
          <w:lang w:val="pl-PL"/>
        </w:rPr>
        <w:t xml:space="preserve">i) operacji, dla których wsparcie w ramach programu stanowi: </w:t>
      </w:r>
    </w:p>
    <w:p w:rsidR="005B068E" w:rsidRPr="00912598" w:rsidRDefault="005B068E"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5B068E" w:rsidRPr="00912598" w:rsidRDefault="005B068E"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5B068E" w:rsidRPr="00561341" w:rsidRDefault="005B068E"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5B068E" w:rsidRPr="00A110D9" w:rsidRDefault="005B068E"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5B068E" w:rsidRPr="00DB4FBC" w:rsidRDefault="005B068E"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5B068E" w:rsidRPr="00CF6DE1" w:rsidRDefault="005B068E"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5B068E" w:rsidRPr="00A005BF" w:rsidRDefault="005B068E"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5B068E" w:rsidRPr="00DF6365" w:rsidRDefault="005B068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5B068E" w:rsidRPr="00DF6365" w:rsidRDefault="005B068E"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8E" w:rsidRPr="00C97D45" w:rsidRDefault="005B068E"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5B068E" w:rsidRPr="00C97D45" w:rsidRDefault="005B068E"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5B068E" w:rsidRDefault="005B068E" w:rsidP="00F2261F">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7">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7">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3">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8">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5">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3">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3">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4">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2">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5">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7">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4">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7">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8">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9">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1">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7">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9">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2">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3">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1">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7">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2">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3">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5">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8">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3">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5">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1">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2">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3">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4">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6">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1">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9">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1">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4">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6">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4"/>
  </w:num>
  <w:num w:numId="2">
    <w:abstractNumId w:val="1"/>
  </w:num>
  <w:num w:numId="3">
    <w:abstractNumId w:val="0"/>
  </w:num>
  <w:num w:numId="4">
    <w:abstractNumId w:val="60"/>
  </w:num>
  <w:num w:numId="5">
    <w:abstractNumId w:val="143"/>
  </w:num>
  <w:num w:numId="6">
    <w:abstractNumId w:val="2"/>
  </w:num>
  <w:num w:numId="7">
    <w:abstractNumId w:val="83"/>
  </w:num>
  <w:num w:numId="8">
    <w:abstractNumId w:val="25"/>
  </w:num>
  <w:num w:numId="9">
    <w:abstractNumId w:val="240"/>
  </w:num>
  <w:num w:numId="10">
    <w:abstractNumId w:val="91"/>
  </w:num>
  <w:num w:numId="11">
    <w:abstractNumId w:val="193"/>
  </w:num>
  <w:num w:numId="12">
    <w:abstractNumId w:val="230"/>
  </w:num>
  <w:num w:numId="13">
    <w:abstractNumId w:val="285"/>
  </w:num>
  <w:num w:numId="14">
    <w:abstractNumId w:val="118"/>
  </w:num>
  <w:num w:numId="15">
    <w:abstractNumId w:val="35"/>
  </w:num>
  <w:num w:numId="16">
    <w:abstractNumId w:val="192"/>
  </w:num>
  <w:num w:numId="17">
    <w:abstractNumId w:val="30"/>
  </w:num>
  <w:num w:numId="18">
    <w:abstractNumId w:val="92"/>
  </w:num>
  <w:num w:numId="19">
    <w:abstractNumId w:val="129"/>
  </w:num>
  <w:num w:numId="20">
    <w:abstractNumId w:val="29"/>
  </w:num>
  <w:num w:numId="21">
    <w:abstractNumId w:val="241"/>
  </w:num>
  <w:num w:numId="22">
    <w:abstractNumId w:val="93"/>
  </w:num>
  <w:num w:numId="23">
    <w:abstractNumId w:val="289"/>
  </w:num>
  <w:num w:numId="24">
    <w:abstractNumId w:val="227"/>
  </w:num>
  <w:num w:numId="25">
    <w:abstractNumId w:val="233"/>
  </w:num>
  <w:num w:numId="26">
    <w:abstractNumId w:val="166"/>
  </w:num>
  <w:num w:numId="27">
    <w:abstractNumId w:val="219"/>
  </w:num>
  <w:num w:numId="28">
    <w:abstractNumId w:val="10"/>
  </w:num>
  <w:num w:numId="29">
    <w:abstractNumId w:val="82"/>
  </w:num>
  <w:num w:numId="30">
    <w:abstractNumId w:val="247"/>
  </w:num>
  <w:num w:numId="31">
    <w:abstractNumId w:val="75"/>
  </w:num>
  <w:num w:numId="32">
    <w:abstractNumId w:val="172"/>
  </w:num>
  <w:num w:numId="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0"/>
  </w:num>
  <w:num w:numId="35">
    <w:abstractNumId w:val="116"/>
  </w:num>
  <w:num w:numId="36">
    <w:abstractNumId w:val="37"/>
  </w:num>
  <w:num w:numId="37">
    <w:abstractNumId w:val="275"/>
  </w:num>
  <w:num w:numId="38">
    <w:abstractNumId w:val="33"/>
  </w:num>
  <w:num w:numId="39">
    <w:abstractNumId w:val="64"/>
  </w:num>
  <w:num w:numId="40">
    <w:abstractNumId w:val="169"/>
  </w:num>
  <w:num w:numId="41">
    <w:abstractNumId w:val="239"/>
  </w:num>
  <w:num w:numId="42">
    <w:abstractNumId w:val="201"/>
  </w:num>
  <w:num w:numId="43">
    <w:abstractNumId w:val="44"/>
  </w:num>
  <w:num w:numId="44">
    <w:abstractNumId w:val="197"/>
  </w:num>
  <w:num w:numId="45">
    <w:abstractNumId w:val="251"/>
  </w:num>
  <w:num w:numId="46">
    <w:abstractNumId w:val="266"/>
  </w:num>
  <w:num w:numId="47">
    <w:abstractNumId w:val="269"/>
  </w:num>
  <w:num w:numId="48">
    <w:abstractNumId w:val="288"/>
  </w:num>
  <w:num w:numId="49">
    <w:abstractNumId w:val="53"/>
  </w:num>
  <w:num w:numId="50">
    <w:abstractNumId w:val="180"/>
  </w:num>
  <w:num w:numId="51">
    <w:abstractNumId w:val="252"/>
  </w:num>
  <w:num w:numId="52">
    <w:abstractNumId w:val="173"/>
  </w:num>
  <w:num w:numId="53">
    <w:abstractNumId w:val="164"/>
  </w:num>
  <w:num w:numId="54">
    <w:abstractNumId w:val="73"/>
  </w:num>
  <w:num w:numId="55">
    <w:abstractNumId w:val="27"/>
  </w:num>
  <w:num w:numId="56">
    <w:abstractNumId w:val="262"/>
  </w:num>
  <w:num w:numId="57">
    <w:abstractNumId w:val="142"/>
  </w:num>
  <w:num w:numId="58">
    <w:abstractNumId w:val="176"/>
  </w:num>
  <w:num w:numId="59">
    <w:abstractNumId w:val="159"/>
  </w:num>
  <w:num w:numId="60">
    <w:abstractNumId w:val="61"/>
  </w:num>
  <w:num w:numId="61">
    <w:abstractNumId w:val="168"/>
  </w:num>
  <w:num w:numId="62">
    <w:abstractNumId w:val="183"/>
  </w:num>
  <w:num w:numId="63">
    <w:abstractNumId w:val="132"/>
  </w:num>
  <w:num w:numId="64">
    <w:abstractNumId w:val="167"/>
  </w:num>
  <w:num w:numId="65">
    <w:abstractNumId w:val="71"/>
  </w:num>
  <w:num w:numId="66">
    <w:abstractNumId w:val="99"/>
  </w:num>
  <w:num w:numId="67">
    <w:abstractNumId w:val="122"/>
  </w:num>
  <w:num w:numId="68">
    <w:abstractNumId w:val="63"/>
  </w:num>
  <w:num w:numId="69">
    <w:abstractNumId w:val="220"/>
  </w:num>
  <w:num w:numId="70">
    <w:abstractNumId w:val="195"/>
  </w:num>
  <w:num w:numId="71">
    <w:abstractNumId w:val="185"/>
  </w:num>
  <w:num w:numId="72">
    <w:abstractNumId w:val="100"/>
  </w:num>
  <w:num w:numId="73">
    <w:abstractNumId w:val="23"/>
  </w:num>
  <w:num w:numId="74">
    <w:abstractNumId w:val="50"/>
  </w:num>
  <w:num w:numId="75">
    <w:abstractNumId w:val="18"/>
  </w:num>
  <w:num w:numId="76">
    <w:abstractNumId w:val="258"/>
  </w:num>
  <w:num w:numId="77">
    <w:abstractNumId w:val="256"/>
  </w:num>
  <w:num w:numId="78">
    <w:abstractNumId w:val="5"/>
  </w:num>
  <w:num w:numId="79">
    <w:abstractNumId w:val="188"/>
  </w:num>
  <w:num w:numId="80">
    <w:abstractNumId w:val="117"/>
  </w:num>
  <w:num w:numId="81">
    <w:abstractNumId w:val="213"/>
  </w:num>
  <w:num w:numId="82">
    <w:abstractNumId w:val="268"/>
  </w:num>
  <w:num w:numId="83">
    <w:abstractNumId w:val="12"/>
  </w:num>
  <w:num w:numId="84">
    <w:abstractNumId w:val="149"/>
  </w:num>
  <w:num w:numId="85">
    <w:abstractNumId w:val="287"/>
  </w:num>
  <w:num w:numId="86">
    <w:abstractNumId w:val="232"/>
  </w:num>
  <w:num w:numId="87">
    <w:abstractNumId w:val="205"/>
  </w:num>
  <w:num w:numId="88">
    <w:abstractNumId w:val="171"/>
  </w:num>
  <w:num w:numId="89">
    <w:abstractNumId w:val="267"/>
  </w:num>
  <w:num w:numId="90">
    <w:abstractNumId w:val="217"/>
  </w:num>
  <w:num w:numId="91">
    <w:abstractNumId w:val="224"/>
  </w:num>
  <w:num w:numId="92">
    <w:abstractNumId w:val="97"/>
  </w:num>
  <w:num w:numId="93">
    <w:abstractNumId w:val="190"/>
  </w:num>
  <w:num w:numId="94">
    <w:abstractNumId w:val="276"/>
  </w:num>
  <w:num w:numId="95">
    <w:abstractNumId w:val="39"/>
  </w:num>
  <w:num w:numId="96">
    <w:abstractNumId w:val="88"/>
  </w:num>
  <w:num w:numId="97">
    <w:abstractNumId w:val="68"/>
  </w:num>
  <w:num w:numId="98">
    <w:abstractNumId w:val="218"/>
  </w:num>
  <w:num w:numId="99">
    <w:abstractNumId w:val="265"/>
  </w:num>
  <w:num w:numId="100">
    <w:abstractNumId w:val="113"/>
  </w:num>
  <w:num w:numId="101">
    <w:abstractNumId w:val="41"/>
  </w:num>
  <w:num w:numId="102">
    <w:abstractNumId w:val="245"/>
  </w:num>
  <w:num w:numId="103">
    <w:abstractNumId w:val="294"/>
  </w:num>
  <w:num w:numId="104">
    <w:abstractNumId w:val="211"/>
  </w:num>
  <w:num w:numId="105">
    <w:abstractNumId w:val="69"/>
  </w:num>
  <w:num w:numId="106">
    <w:abstractNumId w:val="200"/>
  </w:num>
  <w:num w:numId="107">
    <w:abstractNumId w:val="79"/>
  </w:num>
  <w:num w:numId="108">
    <w:abstractNumId w:val="137"/>
  </w:num>
  <w:num w:numId="109">
    <w:abstractNumId w:val="250"/>
  </w:num>
  <w:num w:numId="110">
    <w:abstractNumId w:val="170"/>
  </w:num>
  <w:num w:numId="111">
    <w:abstractNumId w:val="36"/>
  </w:num>
  <w:num w:numId="112">
    <w:abstractNumId w:val="191"/>
  </w:num>
  <w:num w:numId="113">
    <w:abstractNumId w:val="21"/>
  </w:num>
  <w:num w:numId="114">
    <w:abstractNumId w:val="13"/>
  </w:num>
  <w:num w:numId="115">
    <w:abstractNumId w:val="236"/>
  </w:num>
  <w:num w:numId="116">
    <w:abstractNumId w:val="84"/>
  </w:num>
  <w:num w:numId="117">
    <w:abstractNumId w:val="104"/>
  </w:num>
  <w:num w:numId="118">
    <w:abstractNumId w:val="20"/>
  </w:num>
  <w:num w:numId="119">
    <w:abstractNumId w:val="162"/>
  </w:num>
  <w:num w:numId="120">
    <w:abstractNumId w:val="210"/>
  </w:num>
  <w:num w:numId="121">
    <w:abstractNumId w:val="66"/>
  </w:num>
  <w:num w:numId="122">
    <w:abstractNumId w:val="155"/>
    <w:lvlOverride w:ilvl="0">
      <w:startOverride w:val="1"/>
    </w:lvlOverride>
    <w:lvlOverride w:ilvl="1"/>
    <w:lvlOverride w:ilvl="2"/>
    <w:lvlOverride w:ilvl="3"/>
    <w:lvlOverride w:ilvl="4"/>
    <w:lvlOverride w:ilvl="5"/>
    <w:lvlOverride w:ilvl="6"/>
    <w:lvlOverride w:ilvl="7"/>
    <w:lvlOverride w:ilvl="8"/>
  </w:num>
  <w:num w:numId="123">
    <w:abstractNumId w:val="231"/>
  </w:num>
  <w:num w:numId="124">
    <w:abstractNumId w:val="272"/>
  </w:num>
  <w:num w:numId="125">
    <w:abstractNumId w:val="277"/>
  </w:num>
  <w:num w:numId="126">
    <w:abstractNumId w:val="145"/>
  </w:num>
  <w:num w:numId="127">
    <w:abstractNumId w:val="22"/>
  </w:num>
  <w:num w:numId="128">
    <w:abstractNumId w:val="52"/>
  </w:num>
  <w:num w:numId="129">
    <w:abstractNumId w:val="182"/>
  </w:num>
  <w:num w:numId="130">
    <w:abstractNumId w:val="96"/>
  </w:num>
  <w:num w:numId="131">
    <w:abstractNumId w:val="179"/>
  </w:num>
  <w:num w:numId="132">
    <w:abstractNumId w:val="229"/>
  </w:num>
  <w:num w:numId="133">
    <w:abstractNumId w:val="107"/>
  </w:num>
  <w:num w:numId="134">
    <w:abstractNumId w:val="189"/>
  </w:num>
  <w:num w:numId="135">
    <w:abstractNumId w:val="131"/>
  </w:num>
  <w:num w:numId="136">
    <w:abstractNumId w:val="237"/>
  </w:num>
  <w:num w:numId="137">
    <w:abstractNumId w:val="101"/>
  </w:num>
  <w:num w:numId="138">
    <w:abstractNumId w:val="102"/>
  </w:num>
  <w:num w:numId="139">
    <w:abstractNumId w:val="98"/>
  </w:num>
  <w:num w:numId="140">
    <w:abstractNumId w:val="215"/>
  </w:num>
  <w:num w:numId="141">
    <w:abstractNumId w:val="47"/>
  </w:num>
  <w:num w:numId="142">
    <w:abstractNumId w:val="95"/>
  </w:num>
  <w:num w:numId="143">
    <w:abstractNumId w:val="196"/>
  </w:num>
  <w:num w:numId="144">
    <w:abstractNumId w:val="72"/>
  </w:num>
  <w:num w:numId="145">
    <w:abstractNumId w:val="208"/>
  </w:num>
  <w:num w:numId="146">
    <w:abstractNumId w:val="57"/>
  </w:num>
  <w:num w:numId="147">
    <w:abstractNumId w:val="163"/>
  </w:num>
  <w:num w:numId="148">
    <w:abstractNumId w:val="152"/>
  </w:num>
  <w:num w:numId="149">
    <w:abstractNumId w:val="40"/>
  </w:num>
  <w:num w:numId="150">
    <w:abstractNumId w:val="223"/>
  </w:num>
  <w:num w:numId="151">
    <w:abstractNumId w:val="243"/>
  </w:num>
  <w:num w:numId="152">
    <w:abstractNumId w:val="112"/>
  </w:num>
  <w:num w:numId="153">
    <w:abstractNumId w:val="139"/>
  </w:num>
  <w:num w:numId="154">
    <w:abstractNumId w:val="62"/>
  </w:num>
  <w:num w:numId="155">
    <w:abstractNumId w:val="115"/>
  </w:num>
  <w:num w:numId="156">
    <w:abstractNumId w:val="177"/>
  </w:num>
  <w:num w:numId="157">
    <w:abstractNumId w:val="238"/>
  </w:num>
  <w:num w:numId="158">
    <w:abstractNumId w:val="136"/>
  </w:num>
  <w:num w:numId="159">
    <w:abstractNumId w:val="55"/>
  </w:num>
  <w:num w:numId="160">
    <w:abstractNumId w:val="274"/>
  </w:num>
  <w:num w:numId="161">
    <w:abstractNumId w:val="156"/>
  </w:num>
  <w:num w:numId="162">
    <w:abstractNumId w:val="134"/>
  </w:num>
  <w:num w:numId="163">
    <w:abstractNumId w:val="253"/>
  </w:num>
  <w:num w:numId="164">
    <w:abstractNumId w:val="153"/>
  </w:num>
  <w:num w:numId="165">
    <w:abstractNumId w:val="234"/>
  </w:num>
  <w:num w:numId="166">
    <w:abstractNumId w:val="148"/>
  </w:num>
  <w:num w:numId="167">
    <w:abstractNumId w:val="87"/>
  </w:num>
  <w:num w:numId="168">
    <w:abstractNumId w:val="87"/>
    <w:lvlOverride w:ilvl="0">
      <w:startOverride w:val="1"/>
    </w:lvlOverride>
  </w:num>
  <w:num w:numId="169">
    <w:abstractNumId w:val="158"/>
  </w:num>
  <w:num w:numId="170">
    <w:abstractNumId w:val="14"/>
  </w:num>
  <w:num w:numId="171">
    <w:abstractNumId w:val="175"/>
  </w:num>
  <w:num w:numId="172">
    <w:abstractNumId w:val="120"/>
  </w:num>
  <w:num w:numId="173">
    <w:abstractNumId w:val="125"/>
  </w:num>
  <w:num w:numId="17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7"/>
  </w:num>
  <w:num w:numId="176">
    <w:abstractNumId w:val="184"/>
  </w:num>
  <w:num w:numId="177">
    <w:abstractNumId w:val="111"/>
  </w:num>
  <w:num w:numId="178">
    <w:abstractNumId w:val="49"/>
  </w:num>
  <w:num w:numId="179">
    <w:abstractNumId w:val="147"/>
  </w:num>
  <w:num w:numId="180">
    <w:abstractNumId w:val="7"/>
  </w:num>
  <w:num w:numId="181">
    <w:abstractNumId w:val="46"/>
  </w:num>
  <w:num w:numId="182">
    <w:abstractNumId w:val="203"/>
  </w:num>
  <w:num w:numId="183">
    <w:abstractNumId w:val="248"/>
  </w:num>
  <w:num w:numId="184">
    <w:abstractNumId w:val="8"/>
  </w:num>
  <w:num w:numId="185">
    <w:abstractNumId w:val="141"/>
  </w:num>
  <w:num w:numId="186">
    <w:abstractNumId w:val="249"/>
  </w:num>
  <w:num w:numId="187">
    <w:abstractNumId w:val="51"/>
  </w:num>
  <w:num w:numId="188">
    <w:abstractNumId w:val="123"/>
  </w:num>
  <w:num w:numId="189">
    <w:abstractNumId w:val="70"/>
  </w:num>
  <w:num w:numId="190">
    <w:abstractNumId w:val="3"/>
  </w:num>
  <w:num w:numId="191">
    <w:abstractNumId w:val="186"/>
  </w:num>
  <w:num w:numId="192">
    <w:abstractNumId w:val="28"/>
  </w:num>
  <w:num w:numId="193">
    <w:abstractNumId w:val="261"/>
  </w:num>
  <w:num w:numId="194">
    <w:abstractNumId w:val="56"/>
  </w:num>
  <w:num w:numId="195">
    <w:abstractNumId w:val="178"/>
  </w:num>
  <w:num w:numId="196">
    <w:abstractNumId w:val="226"/>
  </w:num>
  <w:num w:numId="197">
    <w:abstractNumId w:val="259"/>
  </w:num>
  <w:num w:numId="198">
    <w:abstractNumId w:val="270"/>
  </w:num>
  <w:num w:numId="199">
    <w:abstractNumId w:val="216"/>
  </w:num>
  <w:num w:numId="200">
    <w:abstractNumId w:val="89"/>
  </w:num>
  <w:num w:numId="201">
    <w:abstractNumId w:val="295"/>
  </w:num>
  <w:num w:numId="202">
    <w:abstractNumId w:val="11"/>
  </w:num>
  <w:num w:numId="203">
    <w:abstractNumId w:val="212"/>
  </w:num>
  <w:num w:numId="204">
    <w:abstractNumId w:val="255"/>
  </w:num>
  <w:num w:numId="205">
    <w:abstractNumId w:val="214"/>
  </w:num>
  <w:num w:numId="206">
    <w:abstractNumId w:val="16"/>
  </w:num>
  <w:num w:numId="207">
    <w:abstractNumId w:val="127"/>
  </w:num>
  <w:num w:numId="208">
    <w:abstractNumId w:val="119"/>
  </w:num>
  <w:num w:numId="209">
    <w:abstractNumId w:val="4"/>
  </w:num>
  <w:num w:numId="210">
    <w:abstractNumId w:val="161"/>
  </w:num>
  <w:num w:numId="211">
    <w:abstractNumId w:val="77"/>
  </w:num>
  <w:num w:numId="2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
    <w:lvlOverride w:ilvl="0">
      <w:startOverride w:val="1"/>
    </w:lvlOverride>
    <w:lvlOverride w:ilvl="1"/>
    <w:lvlOverride w:ilvl="2"/>
    <w:lvlOverride w:ilvl="3"/>
    <w:lvlOverride w:ilvl="4"/>
    <w:lvlOverride w:ilvl="5"/>
    <w:lvlOverride w:ilvl="6"/>
    <w:lvlOverride w:ilvl="7"/>
    <w:lvlOverride w:ilvl="8"/>
  </w:num>
  <w:num w:numId="214">
    <w:abstractNumId w:val="48"/>
  </w:num>
  <w:num w:numId="215">
    <w:abstractNumId w:val="58"/>
  </w:num>
  <w:num w:numId="216">
    <w:abstractNumId w:val="144"/>
  </w:num>
  <w:num w:numId="217">
    <w:abstractNumId w:val="202"/>
  </w:num>
  <w:num w:numId="218">
    <w:abstractNumId w:val="286"/>
  </w:num>
  <w:num w:numId="219">
    <w:abstractNumId w:val="242"/>
  </w:num>
  <w:num w:numId="22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3"/>
  </w:num>
  <w:num w:numId="222">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76"/>
  </w:num>
  <w:num w:numId="225">
    <w:abstractNumId w:val="133"/>
  </w:num>
  <w:num w:numId="226">
    <w:abstractNumId w:val="130"/>
  </w:num>
  <w:num w:numId="227">
    <w:abstractNumId w:val="109"/>
  </w:num>
  <w:num w:numId="228">
    <w:abstractNumId w:val="65"/>
  </w:num>
  <w:num w:numId="229">
    <w:abstractNumId w:val="194"/>
  </w:num>
  <w:num w:numId="230">
    <w:abstractNumId w:val="106"/>
  </w:num>
  <w:num w:numId="231">
    <w:abstractNumId w:val="292"/>
  </w:num>
  <w:num w:numId="232">
    <w:abstractNumId w:val="135"/>
  </w:num>
  <w:num w:numId="233">
    <w:abstractNumId w:val="290"/>
  </w:num>
  <w:num w:numId="234">
    <w:abstractNumId w:val="204"/>
  </w:num>
  <w:num w:numId="235">
    <w:abstractNumId w:val="254"/>
  </w:num>
  <w:num w:numId="236">
    <w:abstractNumId w:val="280"/>
  </w:num>
  <w:num w:numId="237">
    <w:abstractNumId w:val="32"/>
  </w:num>
  <w:num w:numId="238">
    <w:abstractNumId w:val="124"/>
  </w:num>
  <w:num w:numId="239">
    <w:abstractNumId w:val="221"/>
  </w:num>
  <w:num w:numId="240">
    <w:abstractNumId w:val="126"/>
  </w:num>
  <w:num w:numId="241">
    <w:abstractNumId w:val="34"/>
  </w:num>
  <w:num w:numId="242">
    <w:abstractNumId w:val="38"/>
  </w:num>
  <w:num w:numId="243">
    <w:abstractNumId w:val="108"/>
  </w:num>
  <w:num w:numId="244">
    <w:abstractNumId w:val="19"/>
  </w:num>
  <w:num w:numId="245">
    <w:abstractNumId w:val="264"/>
  </w:num>
  <w:num w:numId="246">
    <w:abstractNumId w:val="80"/>
  </w:num>
  <w:num w:numId="247">
    <w:abstractNumId w:val="187"/>
  </w:num>
  <w:num w:numId="248">
    <w:abstractNumId w:val="105"/>
  </w:num>
  <w:num w:numId="249">
    <w:abstractNumId w:val="293"/>
  </w:num>
  <w:num w:numId="250">
    <w:abstractNumId w:val="283"/>
  </w:num>
  <w:num w:numId="251">
    <w:abstractNumId w:val="291"/>
  </w:num>
  <w:num w:numId="252">
    <w:abstractNumId w:val="181"/>
  </w:num>
  <w:num w:numId="253">
    <w:abstractNumId w:val="151"/>
  </w:num>
  <w:num w:numId="254">
    <w:abstractNumId w:val="154"/>
  </w:num>
  <w:num w:numId="255">
    <w:abstractNumId w:val="86"/>
  </w:num>
  <w:num w:numId="256">
    <w:abstractNumId w:val="209"/>
  </w:num>
  <w:num w:numId="257">
    <w:abstractNumId w:val="199"/>
  </w:num>
  <w:num w:numId="258">
    <w:abstractNumId w:val="103"/>
  </w:num>
  <w:num w:numId="259">
    <w:abstractNumId w:val="279"/>
  </w:num>
  <w:num w:numId="260">
    <w:abstractNumId w:val="246"/>
  </w:num>
  <w:num w:numId="261">
    <w:abstractNumId w:val="74"/>
  </w:num>
  <w:num w:numId="262">
    <w:abstractNumId w:val="174"/>
  </w:num>
  <w:num w:numId="263">
    <w:abstractNumId w:val="198"/>
  </w:num>
  <w:num w:numId="264">
    <w:abstractNumId w:val="207"/>
  </w:num>
  <w:num w:numId="265">
    <w:abstractNumId w:val="260"/>
  </w:num>
  <w:num w:numId="266">
    <w:abstractNumId w:val="235"/>
  </w:num>
  <w:num w:numId="267">
    <w:abstractNumId w:val="282"/>
  </w:num>
  <w:num w:numId="268">
    <w:abstractNumId w:val="271"/>
  </w:num>
  <w:num w:numId="269">
    <w:abstractNumId w:val="90"/>
  </w:num>
  <w:num w:numId="270">
    <w:abstractNumId w:val="138"/>
  </w:num>
  <w:num w:numId="271">
    <w:abstractNumId w:val="128"/>
  </w:num>
  <w:num w:numId="272">
    <w:abstractNumId w:val="146"/>
  </w:num>
  <w:num w:numId="273">
    <w:abstractNumId w:val="67"/>
  </w:num>
  <w:num w:numId="274">
    <w:abstractNumId w:val="281"/>
  </w:num>
  <w:num w:numId="275">
    <w:abstractNumId w:val="45"/>
  </w:num>
  <w:num w:numId="276">
    <w:abstractNumId w:val="165"/>
  </w:num>
  <w:num w:numId="277">
    <w:abstractNumId w:val="24"/>
  </w:num>
  <w:num w:numId="278">
    <w:abstractNumId w:val="121"/>
  </w:num>
  <w:num w:numId="279">
    <w:abstractNumId w:val="42"/>
  </w:num>
  <w:num w:numId="280">
    <w:abstractNumId w:val="140"/>
  </w:num>
  <w:num w:numId="281">
    <w:abstractNumId w:val="157"/>
  </w:num>
  <w:num w:numId="282">
    <w:abstractNumId w:val="225"/>
  </w:num>
  <w:num w:numId="283">
    <w:abstractNumId w:val="150"/>
  </w:num>
  <w:num w:numId="284">
    <w:abstractNumId w:val="9"/>
  </w:num>
  <w:num w:numId="285">
    <w:abstractNumId w:val="94"/>
  </w:num>
  <w:num w:numId="286">
    <w:abstractNumId w:val="15"/>
  </w:num>
  <w:num w:numId="287">
    <w:abstractNumId w:val="17"/>
  </w:num>
  <w:num w:numId="288">
    <w:abstractNumId w:val="278"/>
  </w:num>
  <w:num w:numId="289">
    <w:abstractNumId w:val="26"/>
  </w:num>
  <w:num w:numId="290">
    <w:abstractNumId w:val="263"/>
  </w:num>
  <w:num w:numId="291">
    <w:abstractNumId w:val="85"/>
  </w:num>
  <w:num w:numId="292">
    <w:abstractNumId w:val="43"/>
  </w:num>
  <w:num w:numId="293">
    <w:abstractNumId w:val="222"/>
  </w:num>
  <w:num w:numId="294">
    <w:abstractNumId w:val="78"/>
  </w:num>
  <w:num w:numId="295">
    <w:abstractNumId w:val="31"/>
  </w:num>
  <w:num w:numId="296">
    <w:abstractNumId w:val="228"/>
  </w:num>
  <w:num w:numId="297">
    <w:abstractNumId w:val="6"/>
  </w:num>
  <w:num w:numId="298">
    <w:abstractNumId w:val="54"/>
  </w:num>
  <w:num w:numId="299">
    <w:abstractNumId w:val="284"/>
  </w:num>
  <w:num w:numId="300">
    <w:abstractNumId w:val="81"/>
  </w:num>
  <w:num w:numId="301">
    <w:abstractNumId w:val="244"/>
  </w:num>
  <w:numIdMacAtCleanup w:val="3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revisionView w:markup="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981"/>
    <w:rsid w:val="001F30B2"/>
    <w:rsid w:val="001F3269"/>
    <w:rsid w:val="001F57C3"/>
    <w:rsid w:val="001F5C5B"/>
    <w:rsid w:val="001F78BD"/>
    <w:rsid w:val="00200C94"/>
    <w:rsid w:val="0020264C"/>
    <w:rsid w:val="00205260"/>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4D9B"/>
    <w:rsid w:val="003C78E9"/>
    <w:rsid w:val="003D3851"/>
    <w:rsid w:val="003D3EED"/>
    <w:rsid w:val="003D40C1"/>
    <w:rsid w:val="003D41D9"/>
    <w:rsid w:val="003D4508"/>
    <w:rsid w:val="003D4C2C"/>
    <w:rsid w:val="003D5D32"/>
    <w:rsid w:val="003D6437"/>
    <w:rsid w:val="003D6A84"/>
    <w:rsid w:val="003D6B32"/>
    <w:rsid w:val="003D6D46"/>
    <w:rsid w:val="003E0403"/>
    <w:rsid w:val="003E3EA2"/>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3F7F27"/>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1B7A"/>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56CF"/>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68E"/>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0E1B"/>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530"/>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36E7"/>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BBD"/>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6D60"/>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449"/>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13B"/>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4B35"/>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82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7"/>
      </w:numPr>
    </w:pPr>
  </w:style>
  <w:style w:type="numbering" w:customStyle="1" w:styleId="WWNum12">
    <w:name w:val="WWNum12"/>
    <w:basedOn w:val="Bezlisty"/>
    <w:rsid w:val="007025A7"/>
    <w:pPr>
      <w:numPr>
        <w:numId w:val="228"/>
      </w:numPr>
    </w:pPr>
  </w:style>
  <w:style w:type="numbering" w:customStyle="1" w:styleId="WWNum14">
    <w:name w:val="WWNum14"/>
    <w:basedOn w:val="Bezlisty"/>
    <w:rsid w:val="007025A7"/>
    <w:pPr>
      <w:numPr>
        <w:numId w:val="229"/>
      </w:numPr>
    </w:pPr>
  </w:style>
  <w:style w:type="numbering" w:customStyle="1" w:styleId="WWNum24">
    <w:name w:val="WWNum24"/>
    <w:basedOn w:val="Bezlisty"/>
    <w:rsid w:val="007025A7"/>
    <w:pPr>
      <w:numPr>
        <w:numId w:val="230"/>
      </w:numPr>
    </w:pPr>
  </w:style>
  <w:style w:type="numbering" w:customStyle="1" w:styleId="WWNum25">
    <w:name w:val="WWNum25"/>
    <w:basedOn w:val="Bezlisty"/>
    <w:rsid w:val="007025A7"/>
    <w:pPr>
      <w:numPr>
        <w:numId w:val="231"/>
      </w:numPr>
    </w:pPr>
  </w:style>
  <w:style w:type="numbering" w:customStyle="1" w:styleId="WWNum26">
    <w:name w:val="WWNum26"/>
    <w:basedOn w:val="Bezlisty"/>
    <w:rsid w:val="007025A7"/>
    <w:pPr>
      <w:numPr>
        <w:numId w:val="232"/>
      </w:numPr>
    </w:pPr>
  </w:style>
  <w:style w:type="numbering" w:customStyle="1" w:styleId="WWNum27">
    <w:name w:val="WWNum27"/>
    <w:basedOn w:val="Bezlisty"/>
    <w:rsid w:val="007025A7"/>
    <w:pPr>
      <w:numPr>
        <w:numId w:val="233"/>
      </w:numPr>
    </w:pPr>
  </w:style>
  <w:style w:type="numbering" w:customStyle="1" w:styleId="WWNum28">
    <w:name w:val="WWNum28"/>
    <w:basedOn w:val="Bezlisty"/>
    <w:rsid w:val="007025A7"/>
    <w:pPr>
      <w:numPr>
        <w:numId w:val="234"/>
      </w:numPr>
    </w:pPr>
  </w:style>
  <w:style w:type="numbering" w:customStyle="1" w:styleId="WWNum29">
    <w:name w:val="WWNum29"/>
    <w:basedOn w:val="Bezlisty"/>
    <w:rsid w:val="007025A7"/>
    <w:pPr>
      <w:numPr>
        <w:numId w:val="235"/>
      </w:numPr>
    </w:pPr>
  </w:style>
  <w:style w:type="numbering" w:customStyle="1" w:styleId="WWNum30">
    <w:name w:val="WWNum30"/>
    <w:basedOn w:val="Bezlisty"/>
    <w:rsid w:val="007025A7"/>
    <w:pPr>
      <w:numPr>
        <w:numId w:val="236"/>
      </w:numPr>
    </w:pPr>
  </w:style>
  <w:style w:type="numbering" w:customStyle="1" w:styleId="WWNum31">
    <w:name w:val="WWNum31"/>
    <w:basedOn w:val="Bezlisty"/>
    <w:rsid w:val="007025A7"/>
    <w:pPr>
      <w:numPr>
        <w:numId w:val="237"/>
      </w:numPr>
    </w:pPr>
  </w:style>
  <w:style w:type="numbering" w:customStyle="1" w:styleId="WWNum32">
    <w:name w:val="WWNum32"/>
    <w:basedOn w:val="Bezlisty"/>
    <w:rsid w:val="007025A7"/>
    <w:pPr>
      <w:numPr>
        <w:numId w:val="238"/>
      </w:numPr>
    </w:pPr>
  </w:style>
  <w:style w:type="numbering" w:customStyle="1" w:styleId="WWNum33">
    <w:name w:val="WWNum33"/>
    <w:basedOn w:val="Bezlisty"/>
    <w:rsid w:val="007025A7"/>
    <w:pPr>
      <w:numPr>
        <w:numId w:val="239"/>
      </w:numPr>
    </w:pPr>
  </w:style>
  <w:style w:type="numbering" w:customStyle="1" w:styleId="WWNum34">
    <w:name w:val="WWNum34"/>
    <w:basedOn w:val="Bezlisty"/>
    <w:rsid w:val="007025A7"/>
    <w:pPr>
      <w:numPr>
        <w:numId w:val="240"/>
      </w:numPr>
    </w:pPr>
  </w:style>
  <w:style w:type="numbering" w:customStyle="1" w:styleId="WWNum35">
    <w:name w:val="WWNum35"/>
    <w:basedOn w:val="Bezlisty"/>
    <w:rsid w:val="007025A7"/>
    <w:pPr>
      <w:numPr>
        <w:numId w:val="241"/>
      </w:numPr>
    </w:pPr>
  </w:style>
  <w:style w:type="numbering" w:customStyle="1" w:styleId="WWNum7">
    <w:name w:val="WWNum7"/>
    <w:basedOn w:val="Bezlisty"/>
    <w:rsid w:val="009A1C83"/>
    <w:pPr>
      <w:numPr>
        <w:numId w:val="242"/>
      </w:numPr>
    </w:pPr>
  </w:style>
  <w:style w:type="numbering" w:customStyle="1" w:styleId="WWNum8">
    <w:name w:val="WWNum8"/>
    <w:basedOn w:val="Bezlisty"/>
    <w:rsid w:val="009A1C83"/>
    <w:pPr>
      <w:numPr>
        <w:numId w:val="243"/>
      </w:numPr>
    </w:pPr>
  </w:style>
  <w:style w:type="numbering" w:customStyle="1" w:styleId="WWNum121">
    <w:name w:val="WWNum121"/>
    <w:basedOn w:val="Bezlisty"/>
    <w:rsid w:val="009A1C83"/>
    <w:pPr>
      <w:numPr>
        <w:numId w:val="244"/>
      </w:numPr>
    </w:pPr>
  </w:style>
  <w:style w:type="numbering" w:customStyle="1" w:styleId="WWNum141">
    <w:name w:val="WWNum141"/>
    <w:basedOn w:val="Bezlisty"/>
    <w:rsid w:val="009A1C83"/>
    <w:pPr>
      <w:numPr>
        <w:numId w:val="245"/>
      </w:numPr>
    </w:pPr>
  </w:style>
  <w:style w:type="numbering" w:customStyle="1" w:styleId="WWNum16">
    <w:name w:val="WWNum16"/>
    <w:basedOn w:val="Bezlisty"/>
    <w:rsid w:val="009A1C83"/>
    <w:pPr>
      <w:numPr>
        <w:numId w:val="246"/>
      </w:numPr>
    </w:pPr>
  </w:style>
  <w:style w:type="numbering" w:customStyle="1" w:styleId="WWNum17">
    <w:name w:val="WWNum17"/>
    <w:basedOn w:val="Bezlisty"/>
    <w:rsid w:val="009A1C83"/>
    <w:pPr>
      <w:numPr>
        <w:numId w:val="247"/>
      </w:numPr>
    </w:pPr>
  </w:style>
  <w:style w:type="numbering" w:customStyle="1" w:styleId="WWNum18">
    <w:name w:val="WWNum18"/>
    <w:basedOn w:val="Bezlisty"/>
    <w:rsid w:val="009A1C83"/>
    <w:pPr>
      <w:numPr>
        <w:numId w:val="248"/>
      </w:numPr>
    </w:pPr>
  </w:style>
  <w:style w:type="numbering" w:customStyle="1" w:styleId="WWNum19">
    <w:name w:val="WWNum19"/>
    <w:basedOn w:val="Bezlisty"/>
    <w:rsid w:val="009A1C83"/>
    <w:pPr>
      <w:numPr>
        <w:numId w:val="24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r="http://schemas.openxmlformats.org/officeDocument/2006/relationships" xmlns:w="http://schemas.openxmlformats.org/wordprocessingml/2006/main">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www.kiw-pokl.org.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466D1-4A58-4818-9C2F-6EA5C114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118586</Words>
  <Characters>711521</Characters>
  <Application>Microsoft Office Word</Application>
  <DocSecurity>0</DocSecurity>
  <Lines>5929</Lines>
  <Paragraphs>1656</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828451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mdanowska</cp:lastModifiedBy>
  <cp:revision>6</cp:revision>
  <cp:lastPrinted>2016-08-17T08:39:00Z</cp:lastPrinted>
  <dcterms:created xsi:type="dcterms:W3CDTF">2016-08-16T07:55:00Z</dcterms:created>
  <dcterms:modified xsi:type="dcterms:W3CDTF">2016-08-29T07:13:00Z</dcterms:modified>
</cp:coreProperties>
</file>