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48" w:rsidRDefault="00440A48" w:rsidP="00440A48">
      <w:pPr>
        <w:autoSpaceDE w:val="0"/>
        <w:autoSpaceDN w:val="0"/>
        <w:adjustRightInd w:val="0"/>
        <w:spacing w:before="0" w:line="240" w:lineRule="auto"/>
        <w:jc w:val="center"/>
        <w:rPr>
          <w:rFonts w:ascii="Calibri" w:hAnsi="Calibri" w:cs="Calibri"/>
          <w:b/>
          <w:color w:val="000000"/>
          <w:sz w:val="24"/>
          <w:szCs w:val="24"/>
        </w:rPr>
      </w:pPr>
      <w:bookmarkStart w:id="0" w:name="_Toc426632922"/>
      <w:bookmarkStart w:id="1" w:name="_Toc430826826"/>
      <w:bookmarkStart w:id="2" w:name="_Toc432758974"/>
    </w:p>
    <w:p w:rsidR="009D3C56" w:rsidRPr="00F02218" w:rsidRDefault="00422DE9" w:rsidP="00440A48">
      <w:pPr>
        <w:autoSpaceDE w:val="0"/>
        <w:autoSpaceDN w:val="0"/>
        <w:adjustRightInd w:val="0"/>
        <w:spacing w:before="0" w:line="240" w:lineRule="auto"/>
        <w:jc w:val="center"/>
        <w:rPr>
          <w:b/>
          <w:sz w:val="24"/>
          <w:szCs w:val="24"/>
        </w:rPr>
      </w:pPr>
      <w:r w:rsidRPr="00422DE9">
        <w:rPr>
          <w:rFonts w:ascii="Calibri" w:hAnsi="Calibri" w:cs="Calibri"/>
          <w:b/>
          <w:color w:val="000000"/>
          <w:sz w:val="24"/>
          <w:szCs w:val="24"/>
        </w:rPr>
        <w:t>Lista wskaźników na poziom</w:t>
      </w:r>
      <w:r w:rsidR="00A44A6F">
        <w:rPr>
          <w:rFonts w:ascii="Calibri" w:hAnsi="Calibri" w:cs="Calibri"/>
          <w:b/>
          <w:color w:val="000000"/>
          <w:sz w:val="24"/>
          <w:szCs w:val="24"/>
        </w:rPr>
        <w:t xml:space="preserve">ie projektu </w:t>
      </w:r>
      <w:r w:rsidR="00E313C3">
        <w:rPr>
          <w:rFonts w:ascii="Calibri" w:hAnsi="Calibri" w:cs="Calibri"/>
          <w:b/>
          <w:color w:val="000000"/>
          <w:sz w:val="24"/>
          <w:szCs w:val="24"/>
        </w:rPr>
        <w:t xml:space="preserve">dla </w:t>
      </w:r>
      <w:r w:rsidR="00E313C3" w:rsidRPr="00EB63F1">
        <w:rPr>
          <w:rFonts w:ascii="Calibri" w:hAnsi="Calibri" w:cs="Calibri"/>
          <w:b/>
          <w:color w:val="000000"/>
          <w:sz w:val="24"/>
          <w:szCs w:val="24"/>
        </w:rPr>
        <w:t>D</w:t>
      </w:r>
      <w:r w:rsidR="00EB63F1" w:rsidRPr="00EB63F1">
        <w:rPr>
          <w:rFonts w:ascii="Calibri" w:hAnsi="Calibri" w:cs="Calibri"/>
          <w:b/>
          <w:color w:val="000000"/>
          <w:sz w:val="24"/>
          <w:szCs w:val="24"/>
        </w:rPr>
        <w:t>ziałania 1.1</w:t>
      </w:r>
      <w:r w:rsidRPr="00EB63F1">
        <w:rPr>
          <w:rFonts w:ascii="Calibri" w:hAnsi="Calibri" w:cs="Calibri"/>
          <w:b/>
          <w:color w:val="000000"/>
          <w:sz w:val="24"/>
          <w:szCs w:val="24"/>
        </w:rPr>
        <w:t xml:space="preserve"> </w:t>
      </w:r>
      <w:r w:rsidR="00EB63F1" w:rsidRPr="00EB63F1">
        <w:rPr>
          <w:rFonts w:asciiTheme="minorHAnsi" w:hAnsiTheme="minorHAnsi" w:cs="Arial"/>
          <w:b/>
          <w:bCs/>
          <w:iCs/>
          <w:sz w:val="24"/>
          <w:szCs w:val="24"/>
        </w:rPr>
        <w:t>Wzmacnianie potencjału B+R i wdrożeniowego uczelni i jednostek naukowych</w:t>
      </w:r>
      <w:r w:rsidR="00EB63F1" w:rsidRPr="00EB63F1">
        <w:rPr>
          <w:rFonts w:asciiTheme="minorHAnsi" w:hAnsiTheme="minorHAnsi" w:cs="Arial"/>
          <w:b/>
          <w:bCs/>
          <w:iCs/>
          <w:szCs w:val="22"/>
        </w:rPr>
        <w:t xml:space="preserve"> </w:t>
      </w:r>
      <w:r w:rsidRPr="00422DE9">
        <w:rPr>
          <w:rFonts w:ascii="Calibri" w:hAnsi="Calibri" w:cs="Calibri"/>
          <w:b/>
          <w:color w:val="000000"/>
          <w:sz w:val="24"/>
          <w:szCs w:val="24"/>
        </w:rPr>
        <w:t>w ramach RPO WD 2014-2020</w:t>
      </w: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Wybór wskaźników projektu powinien być powiązany z typem realizowanego przedsięwzięcia i</w:t>
      </w:r>
      <w:r w:rsidR="00422DE9">
        <w:rPr>
          <w:rFonts w:asciiTheme="minorHAnsi" w:eastAsiaTheme="minorHAnsi" w:hAnsiTheme="minorHAnsi" w:cs="Calibri"/>
          <w:szCs w:val="22"/>
          <w:lang w:eastAsia="en-US"/>
        </w:rPr>
        <w:t> </w:t>
      </w:r>
      <w:r w:rsidRPr="00911273">
        <w:rPr>
          <w:rFonts w:asciiTheme="minorHAnsi" w:eastAsiaTheme="minorHAnsi" w:hAnsiTheme="minorHAnsi" w:cs="Calibri"/>
          <w:szCs w:val="22"/>
          <w:lang w:eastAsia="en-US"/>
        </w:rPr>
        <w:t xml:space="preserve">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422DE9">
      <w:pPr>
        <w:numPr>
          <w:ilvl w:val="0"/>
          <w:numId w:val="8"/>
        </w:numPr>
        <w:autoSpaceDE w:val="0"/>
        <w:autoSpaceDN w:val="0"/>
        <w:spacing w:before="0" w:line="240" w:lineRule="auto"/>
        <w:ind w:left="284" w:hanging="284"/>
        <w:jc w:val="both"/>
        <w:rPr>
          <w:rFonts w:asciiTheme="minorHAnsi" w:hAnsiTheme="minorHAnsi"/>
          <w:szCs w:val="22"/>
        </w:rPr>
      </w:pPr>
      <w:r>
        <w:rPr>
          <w:rFonts w:asciiTheme="minorHAnsi" w:hAnsiTheme="minorHAnsi"/>
          <w:szCs w:val="22"/>
        </w:rPr>
        <w:t>określony w czasie –</w:t>
      </w:r>
      <w:r w:rsidR="00422DE9">
        <w:rPr>
          <w:rFonts w:asciiTheme="minorHAnsi" w:hAnsiTheme="minorHAnsi"/>
          <w:szCs w:val="22"/>
        </w:rPr>
        <w:t xml:space="preserve"> </w:t>
      </w:r>
      <w:r>
        <w:rPr>
          <w:rFonts w:asciiTheme="minorHAnsi" w:hAnsiTheme="minorHAnsi"/>
          <w:szCs w:val="22"/>
        </w:rPr>
        <w:t>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r w:rsidR="00422DE9">
        <w:rPr>
          <w:rFonts w:asciiTheme="minorHAnsi" w:hAnsiTheme="minorHAnsi"/>
          <w:szCs w:val="22"/>
        </w:rPr>
        <w:t>.</w:t>
      </w:r>
    </w:p>
    <w:p w:rsidR="005657D8" w:rsidRDefault="005657D8" w:rsidP="00422DE9">
      <w:pPr>
        <w:autoSpaceDE w:val="0"/>
        <w:autoSpaceDN w:val="0"/>
        <w:adjustRightInd w:val="0"/>
        <w:spacing w:before="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w:t>
      </w:r>
      <w:r w:rsidR="00B7566F">
        <w:rPr>
          <w:rFonts w:asciiTheme="minorHAnsi" w:eastAsiaTheme="minorHAnsi" w:hAnsiTheme="minorHAnsi" w:cs="Calibri"/>
          <w:szCs w:val="22"/>
          <w:lang w:eastAsia="en-US"/>
        </w:rPr>
        <w:t>lu poprzez ustalenie wskaźników</w:t>
      </w:r>
      <w:r w:rsidRPr="00911273">
        <w:rPr>
          <w:rFonts w:asciiTheme="minorHAnsi" w:eastAsiaTheme="minorHAnsi" w:hAnsiTheme="minorHAnsi" w:cs="Calibri"/>
          <w:szCs w:val="22"/>
          <w:lang w:eastAsia="en-US"/>
        </w:rPr>
        <w:t>.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00422DE9">
        <w:rPr>
          <w:rFonts w:asciiTheme="minorHAnsi" w:eastAsiaTheme="minorHAnsi" w:hAnsiTheme="minorHAnsi" w:cs="Calibri"/>
          <w:szCs w:val="22"/>
          <w:lang w:eastAsia="en-US"/>
        </w:rPr>
        <w:t>.</w:t>
      </w: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422DE9">
      <w:pPr>
        <w:pStyle w:val="Akapitzlist"/>
        <w:numPr>
          <w:ilvl w:val="0"/>
          <w:numId w:val="5"/>
        </w:numPr>
        <w:spacing w:before="120" w:after="120" w:line="240" w:lineRule="auto"/>
        <w:ind w:left="284" w:hanging="284"/>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w:t>
      </w:r>
      <w:r w:rsidR="00B40F0F">
        <w:rPr>
          <w:rFonts w:asciiTheme="minorHAnsi" w:hAnsiTheme="minorHAnsi"/>
          <w:b/>
          <w:szCs w:val="22"/>
        </w:rPr>
        <w:t>W</w:t>
      </w:r>
      <w:r w:rsidR="008E3F0D">
        <w:rPr>
          <w:rFonts w:asciiTheme="minorHAnsi" w:hAnsiTheme="minorHAnsi"/>
          <w:b/>
          <w:szCs w:val="22"/>
        </w:rPr>
        <w:t>D 2014-2020</w:t>
      </w:r>
      <w:r w:rsidR="00422DE9">
        <w:rPr>
          <w:rFonts w:asciiTheme="minorHAnsi" w:hAnsiTheme="minorHAnsi"/>
          <w:b/>
          <w:szCs w:val="22"/>
        </w:rPr>
        <w:t>;</w:t>
      </w:r>
    </w:p>
    <w:p w:rsidR="00370466" w:rsidRDefault="00422DE9" w:rsidP="00422DE9">
      <w:pPr>
        <w:pStyle w:val="Akapitzlist"/>
        <w:numPr>
          <w:ilvl w:val="0"/>
          <w:numId w:val="5"/>
        </w:numPr>
        <w:spacing w:before="120" w:after="120" w:line="240" w:lineRule="auto"/>
        <w:ind w:left="284" w:hanging="284"/>
        <w:jc w:val="both"/>
        <w:rPr>
          <w:rFonts w:asciiTheme="minorHAnsi" w:hAnsiTheme="minorHAnsi"/>
          <w:b/>
          <w:szCs w:val="22"/>
        </w:rPr>
      </w:pPr>
      <w:r>
        <w:rPr>
          <w:rFonts w:asciiTheme="minorHAnsi" w:hAnsiTheme="minorHAnsi"/>
          <w:b/>
          <w:szCs w:val="22"/>
        </w:rPr>
        <w:t>horyzontalne;</w:t>
      </w:r>
    </w:p>
    <w:p w:rsidR="00370466" w:rsidRDefault="00370466" w:rsidP="00422DE9">
      <w:pPr>
        <w:pStyle w:val="Akapitzlist"/>
        <w:numPr>
          <w:ilvl w:val="0"/>
          <w:numId w:val="5"/>
        </w:numPr>
        <w:spacing w:before="120" w:after="120" w:line="240" w:lineRule="auto"/>
        <w:ind w:left="284" w:hanging="284"/>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r w:rsidR="00422DE9">
        <w:rPr>
          <w:rFonts w:asciiTheme="minorHAnsi" w:hAnsiTheme="minorHAnsi"/>
          <w:b/>
          <w:szCs w:val="22"/>
        </w:rPr>
        <w:t>.</w:t>
      </w: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r w:rsidR="00422DE9">
        <w:rPr>
          <w:rFonts w:asciiTheme="minorHAnsi" w:hAnsiTheme="minorHAnsi"/>
          <w:sz w:val="22"/>
          <w:szCs w:val="22"/>
        </w:rPr>
        <w:t>:</w:t>
      </w:r>
    </w:p>
    <w:p w:rsidR="00A459F4" w:rsidRDefault="008C495E" w:rsidP="00A459F4">
      <w:pPr>
        <w:pStyle w:val="Default"/>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w:t>
      </w:r>
      <w:r w:rsidR="00422DE9">
        <w:rPr>
          <w:rFonts w:asciiTheme="minorHAnsi" w:eastAsiaTheme="minorHAnsi" w:hAnsiTheme="minorHAnsi" w:cs="Calibri"/>
          <w:b/>
          <w:bCs/>
          <w:szCs w:val="22"/>
          <w:lang w:eastAsia="en-US"/>
        </w:rPr>
        <w:t> </w:t>
      </w:r>
      <w:r w:rsidRPr="00911273">
        <w:rPr>
          <w:rFonts w:asciiTheme="minorHAnsi" w:eastAsiaTheme="minorHAnsi" w:hAnsiTheme="minorHAnsi" w:cs="Calibri"/>
          <w:b/>
          <w:bCs/>
          <w:szCs w:val="22"/>
          <w:lang w:eastAsia="en-US"/>
        </w:rPr>
        <w:t>celów założonych w projekcie.</w:t>
      </w:r>
      <w:r w:rsidRPr="00911273">
        <w:rPr>
          <w:rFonts w:asciiTheme="minorHAnsi" w:eastAsiaTheme="minorHAnsi" w:hAnsiTheme="minorHAnsi" w:cs="Calibri"/>
          <w:szCs w:val="22"/>
          <w:lang w:eastAsia="en-US"/>
        </w:rPr>
        <w:t xml:space="preserve"> Wskaźniki w ramach projektu należy określić mając w szczególności na uwadze zapisy niniejszego </w:t>
      </w:r>
      <w:r w:rsidR="00422DE9">
        <w:rPr>
          <w:rFonts w:asciiTheme="minorHAnsi" w:eastAsiaTheme="minorHAnsi" w:hAnsiTheme="minorHAnsi" w:cs="Calibri"/>
          <w:szCs w:val="22"/>
          <w:lang w:eastAsia="en-US"/>
        </w:rPr>
        <w:t>R</w:t>
      </w:r>
      <w:r w:rsidRPr="00911273">
        <w:rPr>
          <w:rFonts w:asciiTheme="minorHAnsi" w:eastAsiaTheme="minorHAnsi" w:hAnsiTheme="minorHAnsi" w:cs="Calibri"/>
          <w:szCs w:val="22"/>
          <w:lang w:eastAsia="en-US"/>
        </w:rPr>
        <w:t>egulaminu</w:t>
      </w:r>
      <w:r w:rsidR="00A459F4">
        <w:rPr>
          <w:rFonts w:asciiTheme="minorHAnsi" w:eastAsiaTheme="minorHAnsi" w:hAnsiTheme="minorHAnsi" w:cs="Calibri"/>
          <w:szCs w:val="22"/>
          <w:lang w:eastAsia="en-US"/>
        </w:rPr>
        <w:t>.</w:t>
      </w:r>
    </w:p>
    <w:p w:rsidR="00A459F4" w:rsidRDefault="00A459F4" w:rsidP="00A459F4">
      <w:pPr>
        <w:pStyle w:val="Default"/>
        <w:jc w:val="both"/>
        <w:rPr>
          <w:rFonts w:asciiTheme="minorHAnsi" w:eastAsiaTheme="minorHAnsi" w:hAnsiTheme="minorHAnsi" w:cs="Calibri"/>
          <w:szCs w:val="22"/>
          <w:lang w:eastAsia="en-US"/>
        </w:rPr>
      </w:pPr>
    </w:p>
    <w:p w:rsidR="009D3C56" w:rsidRPr="00A459F4" w:rsidRDefault="00A459F4" w:rsidP="00440A48">
      <w:pPr>
        <w:pStyle w:val="Default"/>
        <w:jc w:val="both"/>
        <w:rPr>
          <w:rFonts w:asciiTheme="minorHAnsi" w:hAnsiTheme="minorHAnsi"/>
          <w:b/>
          <w:sz w:val="22"/>
          <w:szCs w:val="22"/>
        </w:rPr>
      </w:pPr>
      <w:r w:rsidRPr="008A09D1">
        <w:rPr>
          <w:rFonts w:asciiTheme="minorHAnsi" w:hAnsiTheme="minorHAnsi"/>
          <w:b/>
          <w:sz w:val="22"/>
          <w:szCs w:val="22"/>
        </w:rPr>
        <w:t xml:space="preserve">W przypadku, gdy w ramach danego </w:t>
      </w:r>
      <w:r>
        <w:rPr>
          <w:rFonts w:asciiTheme="minorHAnsi" w:hAnsiTheme="minorHAnsi"/>
          <w:b/>
          <w:sz w:val="22"/>
          <w:szCs w:val="22"/>
        </w:rPr>
        <w:t>D</w:t>
      </w:r>
      <w:r w:rsidRPr="008A09D1">
        <w:rPr>
          <w:rFonts w:asciiTheme="minorHAnsi" w:hAnsiTheme="minorHAnsi"/>
          <w:b/>
          <w:sz w:val="22"/>
          <w:szCs w:val="22"/>
        </w:rPr>
        <w:t>ziałania uwzględniony został wskaźnik z RPO</w:t>
      </w:r>
      <w:r w:rsidR="00B40F0F">
        <w:rPr>
          <w:rFonts w:asciiTheme="minorHAnsi" w:hAnsiTheme="minorHAnsi"/>
          <w:b/>
          <w:sz w:val="22"/>
          <w:szCs w:val="22"/>
        </w:rPr>
        <w:t xml:space="preserve"> WD 2014-2020</w:t>
      </w:r>
      <w:r w:rsidRPr="008A09D1">
        <w:rPr>
          <w:rFonts w:asciiTheme="minorHAnsi" w:hAnsiTheme="minorHAnsi"/>
          <w:b/>
          <w:sz w:val="22"/>
          <w:szCs w:val="22"/>
        </w:rPr>
        <w:t xml:space="preserve">, </w:t>
      </w:r>
      <w:r w:rsidR="00912831">
        <w:rPr>
          <w:rFonts w:asciiTheme="minorHAnsi" w:hAnsiTheme="minorHAnsi"/>
          <w:b/>
          <w:sz w:val="22"/>
          <w:szCs w:val="22"/>
        </w:rPr>
        <w:t xml:space="preserve">SZOOP RPO WD 2014-2020, </w:t>
      </w:r>
      <w:r w:rsidRPr="008A09D1">
        <w:rPr>
          <w:rFonts w:asciiTheme="minorHAnsi" w:hAnsiTheme="minorHAnsi"/>
          <w:b/>
          <w:sz w:val="22"/>
          <w:szCs w:val="22"/>
        </w:rPr>
        <w:t>który odzwierciedla zakres projektu, jego w</w:t>
      </w:r>
      <w:r w:rsidR="00422DE9">
        <w:rPr>
          <w:rFonts w:asciiTheme="minorHAnsi" w:hAnsiTheme="minorHAnsi"/>
          <w:b/>
          <w:sz w:val="22"/>
          <w:szCs w:val="22"/>
        </w:rPr>
        <w:t>ykazanie dla Wnioskodawcy jest obligatoryjne.</w:t>
      </w:r>
    </w:p>
    <w:p w:rsidR="008A09D1" w:rsidRPr="008A09D1" w:rsidRDefault="008A09D1" w:rsidP="00422DE9">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nioskodawcę wskaźniki muszą być adekwatne do zakresu projektu oraz mają być powiązane z</w:t>
      </w:r>
      <w:r w:rsidR="00422DE9">
        <w:rPr>
          <w:rFonts w:asciiTheme="minorHAnsi" w:hAnsiTheme="minorHAnsi" w:cs="Arial"/>
          <w:color w:val="000000"/>
        </w:rPr>
        <w:t> </w:t>
      </w:r>
      <w:r w:rsidRPr="008A09D1">
        <w:rPr>
          <w:rFonts w:asciiTheme="minorHAnsi" w:hAnsiTheme="minorHAnsi" w:cs="Arial"/>
          <w:color w:val="000000"/>
        </w:rPr>
        <w:t>głównymi kategoriami wydatków w projekcie.</w:t>
      </w:r>
    </w:p>
    <w:p w:rsidR="008A09D1" w:rsidRDefault="008A09D1" w:rsidP="007650AC">
      <w:pPr>
        <w:pStyle w:val="Default"/>
        <w:jc w:val="both"/>
        <w:rPr>
          <w:rFonts w:asciiTheme="minorHAnsi" w:hAnsiTheme="minorHAnsi"/>
          <w:sz w:val="22"/>
          <w:szCs w:val="22"/>
        </w:rPr>
      </w:pPr>
    </w:p>
    <w:tbl>
      <w:tblPr>
        <w:tblpPr w:leftFromText="141" w:rightFromText="141" w:vertAnchor="text" w:horzAnchor="margin" w:tblpY="630"/>
        <w:tblW w:w="996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66"/>
        <w:gridCol w:w="1508"/>
        <w:gridCol w:w="4680"/>
        <w:gridCol w:w="1508"/>
      </w:tblGrid>
      <w:tr w:rsidR="00D35714" w:rsidRPr="00911273" w:rsidTr="00476099">
        <w:trPr>
          <w:cantSplit/>
          <w:trHeight w:val="1119"/>
        </w:trPr>
        <w:tc>
          <w:tcPr>
            <w:tcW w:w="2266" w:type="dxa"/>
            <w:shd w:val="clear" w:color="auto" w:fill="auto"/>
            <w:vAlign w:val="center"/>
          </w:tcPr>
          <w:p w:rsidR="00D35714" w:rsidRPr="00476099" w:rsidRDefault="00D35714" w:rsidP="0006430D">
            <w:pPr>
              <w:spacing w:before="0" w:line="240" w:lineRule="auto"/>
              <w:jc w:val="center"/>
              <w:rPr>
                <w:rFonts w:asciiTheme="minorHAnsi" w:hAnsiTheme="minorHAnsi"/>
                <w:b/>
                <w:sz w:val="20"/>
              </w:rPr>
            </w:pPr>
            <w:r w:rsidRPr="00476099">
              <w:rPr>
                <w:rFonts w:asciiTheme="minorHAnsi" w:hAnsiTheme="minorHAnsi"/>
                <w:b/>
                <w:sz w:val="20"/>
              </w:rPr>
              <w:lastRenderedPageBreak/>
              <w:t>Nazwa wskaźnika produktu</w:t>
            </w:r>
          </w:p>
        </w:tc>
        <w:tc>
          <w:tcPr>
            <w:tcW w:w="1508" w:type="dxa"/>
            <w:vAlign w:val="center"/>
          </w:tcPr>
          <w:p w:rsidR="00D35714" w:rsidRPr="00476099" w:rsidRDefault="00D35714" w:rsidP="0006430D">
            <w:pPr>
              <w:suppressAutoHyphens/>
              <w:spacing w:before="0" w:line="240" w:lineRule="auto"/>
              <w:jc w:val="center"/>
              <w:rPr>
                <w:rFonts w:asciiTheme="minorHAnsi" w:hAnsiTheme="minorHAnsi"/>
                <w:b/>
                <w:bCs/>
                <w:sz w:val="20"/>
              </w:rPr>
            </w:pPr>
            <w:r w:rsidRPr="00476099">
              <w:rPr>
                <w:rFonts w:asciiTheme="minorHAnsi" w:hAnsiTheme="minorHAnsi"/>
                <w:b/>
                <w:bCs/>
                <w:sz w:val="20"/>
              </w:rPr>
              <w:t>Jednostka miary</w:t>
            </w:r>
          </w:p>
        </w:tc>
        <w:tc>
          <w:tcPr>
            <w:tcW w:w="4680" w:type="dxa"/>
            <w:shd w:val="clear" w:color="auto" w:fill="auto"/>
            <w:vAlign w:val="center"/>
          </w:tcPr>
          <w:p w:rsidR="00D35714" w:rsidRPr="00476099" w:rsidRDefault="00D35714" w:rsidP="0006430D">
            <w:pPr>
              <w:suppressAutoHyphens/>
              <w:spacing w:before="0" w:line="240" w:lineRule="auto"/>
              <w:jc w:val="center"/>
              <w:rPr>
                <w:rFonts w:asciiTheme="minorHAnsi" w:hAnsiTheme="minorHAnsi"/>
                <w:b/>
                <w:sz w:val="20"/>
              </w:rPr>
            </w:pPr>
            <w:r w:rsidRPr="00476099">
              <w:rPr>
                <w:rFonts w:asciiTheme="minorHAnsi" w:hAnsiTheme="minorHAnsi"/>
                <w:b/>
                <w:bCs/>
                <w:sz w:val="20"/>
              </w:rPr>
              <w:t>Definicja wskaźnika</w:t>
            </w:r>
          </w:p>
        </w:tc>
        <w:tc>
          <w:tcPr>
            <w:tcW w:w="1508" w:type="dxa"/>
            <w:vAlign w:val="center"/>
          </w:tcPr>
          <w:p w:rsidR="00D35714" w:rsidRPr="00476099" w:rsidRDefault="00D35714" w:rsidP="0006430D">
            <w:pPr>
              <w:suppressAutoHyphens/>
              <w:spacing w:before="0" w:line="240" w:lineRule="auto"/>
              <w:jc w:val="center"/>
              <w:rPr>
                <w:rFonts w:asciiTheme="minorHAnsi" w:hAnsiTheme="minorHAnsi"/>
                <w:b/>
                <w:bCs/>
                <w:sz w:val="20"/>
              </w:rPr>
            </w:pPr>
            <w:r w:rsidRPr="00476099">
              <w:rPr>
                <w:rFonts w:asciiTheme="minorHAnsi" w:hAnsiTheme="minorHAnsi"/>
                <w:b/>
                <w:bCs/>
                <w:sz w:val="20"/>
              </w:rPr>
              <w:t>Rodzaj dokumentu, w którym określono wskaźnik</w:t>
            </w:r>
          </w:p>
        </w:tc>
      </w:tr>
      <w:tr w:rsidR="00D35714" w:rsidRPr="00911273" w:rsidTr="00476099">
        <w:trPr>
          <w:cantSplit/>
          <w:trHeight w:val="12029"/>
        </w:trPr>
        <w:tc>
          <w:tcPr>
            <w:tcW w:w="2266" w:type="dxa"/>
            <w:shd w:val="clear" w:color="auto" w:fill="auto"/>
            <w:vAlign w:val="center"/>
          </w:tcPr>
          <w:p w:rsidR="00BF5C51" w:rsidRDefault="00E80EDC" w:rsidP="0006430D">
            <w:pPr>
              <w:spacing w:before="60" w:after="60" w:line="240" w:lineRule="auto"/>
              <w:jc w:val="center"/>
              <w:rPr>
                <w:rFonts w:asciiTheme="minorHAnsi" w:hAnsiTheme="minorHAnsi"/>
                <w:b/>
                <w:szCs w:val="22"/>
                <w:u w:val="single"/>
              </w:rPr>
            </w:pPr>
            <w:r w:rsidRPr="00C904D5">
              <w:rPr>
                <w:rFonts w:asciiTheme="minorHAnsi" w:hAnsiTheme="minorHAnsi" w:cs="Arial"/>
                <w:szCs w:val="22"/>
              </w:rPr>
              <w:t xml:space="preserve">Liczba naukowców pracujących w ulepszonych obiektach infrastruktury badawczej (CI 25) </w:t>
            </w:r>
          </w:p>
          <w:p w:rsidR="00BF5C51" w:rsidRPr="00175453" w:rsidRDefault="00BF5C51" w:rsidP="0006430D">
            <w:pPr>
              <w:autoSpaceDE w:val="0"/>
              <w:autoSpaceDN w:val="0"/>
              <w:adjustRightInd w:val="0"/>
              <w:spacing w:before="0" w:line="240" w:lineRule="auto"/>
              <w:jc w:val="center"/>
              <w:rPr>
                <w:rFonts w:asciiTheme="minorHAnsi" w:eastAsiaTheme="minorHAnsi" w:hAnsiTheme="minorHAnsi" w:cs="Calibri"/>
                <w:szCs w:val="22"/>
                <w:lang w:eastAsia="en-US"/>
              </w:rPr>
            </w:pPr>
          </w:p>
        </w:tc>
        <w:tc>
          <w:tcPr>
            <w:tcW w:w="1508" w:type="dxa"/>
            <w:vAlign w:val="center"/>
          </w:tcPr>
          <w:p w:rsidR="00D35714" w:rsidRPr="0006430D" w:rsidRDefault="00A955A8" w:rsidP="0006430D">
            <w:pPr>
              <w:spacing w:before="0" w:line="240" w:lineRule="auto"/>
              <w:jc w:val="center"/>
              <w:rPr>
                <w:rFonts w:asciiTheme="minorHAnsi" w:hAnsiTheme="minorHAnsi"/>
                <w:szCs w:val="22"/>
                <w:highlight w:val="yellow"/>
              </w:rPr>
            </w:pPr>
            <w:r w:rsidRPr="00496982">
              <w:rPr>
                <w:rFonts w:asciiTheme="minorHAnsi" w:hAnsiTheme="minorHAnsi" w:cs="Arial"/>
                <w:szCs w:val="22"/>
              </w:rPr>
              <w:t>EPC</w:t>
            </w:r>
          </w:p>
        </w:tc>
        <w:tc>
          <w:tcPr>
            <w:tcW w:w="4680" w:type="dxa"/>
            <w:shd w:val="clear" w:color="auto" w:fill="auto"/>
            <w:vAlign w:val="center"/>
          </w:tcPr>
          <w:p w:rsidR="00972EB7" w:rsidRPr="00476099" w:rsidRDefault="00972EB7" w:rsidP="0006430D">
            <w:pPr>
              <w:autoSpaceDE w:val="0"/>
              <w:autoSpaceDN w:val="0"/>
              <w:adjustRightInd w:val="0"/>
              <w:spacing w:before="0" w:line="240" w:lineRule="auto"/>
              <w:jc w:val="both"/>
              <w:rPr>
                <w:rFonts w:asciiTheme="minorHAnsi" w:eastAsiaTheme="minorHAnsi" w:hAnsiTheme="minorHAnsi" w:cs="Arial"/>
                <w:sz w:val="18"/>
                <w:szCs w:val="18"/>
                <w:lang w:val="en-US" w:eastAsia="en-US"/>
              </w:rPr>
            </w:pPr>
            <w:r w:rsidRPr="00476099">
              <w:rPr>
                <w:rFonts w:asciiTheme="minorHAnsi" w:hAnsiTheme="minorHAnsi"/>
                <w:sz w:val="18"/>
                <w:szCs w:val="18"/>
                <w:lang w:val="en-US"/>
              </w:rPr>
              <w:t xml:space="preserve">Existing working positions in research infrastructure facilities that (1) directly perform R&amp;D activities and (2) are directly affected by the project. The posts must be filled (vacant posts are not counted). Support staff for R&amp;D (i.e. jobs not directly involved in R&amp;D activities) is not counted. If more researchers will be employed in the facilities as a consequence of the project, thus the numbers of research jobs increases, the new posts are included (see also “Number of new researchers in supported entities”). The facilities may be private or public. </w:t>
            </w:r>
          </w:p>
          <w:p w:rsidR="00972EB7" w:rsidRPr="00476099" w:rsidRDefault="00972EB7" w:rsidP="0006430D">
            <w:pPr>
              <w:pStyle w:val="Default"/>
              <w:jc w:val="both"/>
              <w:rPr>
                <w:rFonts w:asciiTheme="minorHAnsi" w:hAnsiTheme="minorHAnsi"/>
                <w:sz w:val="18"/>
                <w:szCs w:val="18"/>
                <w:lang w:val="en-US"/>
              </w:rPr>
            </w:pPr>
            <w:r w:rsidRPr="00476099">
              <w:rPr>
                <w:rFonts w:asciiTheme="minorHAnsi" w:hAnsiTheme="minorHAnsi"/>
                <w:sz w:val="18"/>
                <w:szCs w:val="18"/>
                <w:lang w:val="en-US"/>
              </w:rPr>
              <w:t xml:space="preserve">The project must improve the facilities or quality of equipment, i.e. maintenance or replacement without quality increase is excluded. </w:t>
            </w:r>
          </w:p>
          <w:p w:rsidR="00972EB7" w:rsidRPr="00476099" w:rsidRDefault="00972EB7" w:rsidP="0006430D">
            <w:pPr>
              <w:pStyle w:val="Default"/>
              <w:jc w:val="both"/>
              <w:rPr>
                <w:rFonts w:asciiTheme="minorHAnsi" w:hAnsiTheme="minorHAnsi"/>
                <w:sz w:val="18"/>
                <w:szCs w:val="18"/>
                <w:lang w:val="en-US"/>
              </w:rPr>
            </w:pPr>
            <w:r w:rsidRPr="00476099">
              <w:rPr>
                <w:rFonts w:asciiTheme="minorHAnsi" w:hAnsiTheme="minorHAnsi"/>
                <w:sz w:val="18"/>
                <w:szCs w:val="18"/>
                <w:lang w:val="en-US"/>
              </w:rPr>
              <w:t xml:space="preserve">Full-time equivalent: Jobs can be full time, part time or seasonal. Seasonal and part time jobs are to be converted to FTE using ILO/statistical/other standards. </w:t>
            </w:r>
          </w:p>
          <w:p w:rsidR="0006430D" w:rsidRPr="00476099" w:rsidRDefault="00972EB7" w:rsidP="0006430D">
            <w:pPr>
              <w:autoSpaceDE w:val="0"/>
              <w:autoSpaceDN w:val="0"/>
              <w:adjustRightInd w:val="0"/>
              <w:spacing w:before="0" w:line="240" w:lineRule="auto"/>
              <w:jc w:val="both"/>
              <w:rPr>
                <w:rFonts w:asciiTheme="minorHAnsi" w:hAnsiTheme="minorHAnsi"/>
                <w:i/>
                <w:iCs/>
                <w:sz w:val="18"/>
                <w:szCs w:val="18"/>
                <w:lang w:val="en-US"/>
              </w:rPr>
            </w:pPr>
            <w:r w:rsidRPr="00476099">
              <w:rPr>
                <w:rFonts w:asciiTheme="minorHAnsi" w:hAnsiTheme="minorHAnsi"/>
                <w:i/>
                <w:iCs/>
                <w:sz w:val="18"/>
                <w:szCs w:val="18"/>
                <w:lang w:val="en-US"/>
              </w:rPr>
              <w:t>Research infrastructure is a term used to designate a very heterogeneous group of tangible or intangible assets thus cannot be captured by a limited number of physical indicators. The approach chosen here is to focus on a non-financial dimension of the investment (employment) that is still able to reflect the scale of intervention.</w:t>
            </w:r>
          </w:p>
          <w:p w:rsidR="00D579C5" w:rsidRPr="00476099" w:rsidRDefault="00972EB7" w:rsidP="0006430D">
            <w:pPr>
              <w:autoSpaceDE w:val="0"/>
              <w:autoSpaceDN w:val="0"/>
              <w:adjustRightInd w:val="0"/>
              <w:spacing w:before="0" w:line="240" w:lineRule="auto"/>
              <w:jc w:val="both"/>
              <w:rPr>
                <w:rFonts w:asciiTheme="minorHAnsi" w:eastAsiaTheme="minorHAnsi" w:hAnsiTheme="minorHAnsi" w:cstheme="minorBidi"/>
                <w:sz w:val="18"/>
                <w:szCs w:val="18"/>
                <w:lang w:eastAsia="en-US"/>
              </w:rPr>
            </w:pPr>
            <w:r w:rsidRPr="00476099">
              <w:rPr>
                <w:rFonts w:asciiTheme="minorHAnsi" w:hAnsiTheme="minorHAnsi"/>
                <w:iCs/>
                <w:sz w:val="18"/>
                <w:szCs w:val="18"/>
              </w:rPr>
              <w:t>Tłumaczenie robocze:</w:t>
            </w:r>
            <w:r w:rsidR="0006430D" w:rsidRPr="00476099">
              <w:rPr>
                <w:rFonts w:asciiTheme="minorHAnsi" w:hAnsiTheme="minorHAnsi"/>
                <w:iCs/>
                <w:sz w:val="18"/>
                <w:szCs w:val="18"/>
              </w:rPr>
              <w:t xml:space="preserve"> </w:t>
            </w:r>
            <w:r w:rsidR="0006430D" w:rsidRPr="00476099">
              <w:rPr>
                <w:rFonts w:asciiTheme="minorHAnsi" w:eastAsiaTheme="minorHAnsi" w:hAnsiTheme="minorHAnsi" w:cstheme="minorBidi"/>
                <w:sz w:val="18"/>
                <w:szCs w:val="18"/>
                <w:lang w:eastAsia="en-US"/>
              </w:rPr>
              <w:t>Istniejące miejsca pracy dotyczące obiektów infrastruktury badawczej, które (1) służą bezpośrednio prowadzeniu działalności B+R oraz (2) są bezpośrednio związane z projektem. Miejsca pracy muszą być obsadzone (wakaty nie są liczone). Nie wlicza się personelu pomocniczego zajmującego się B+R (czyli miejsc pracy niezwiązan</w:t>
            </w:r>
            <w:r w:rsidR="00D579C5" w:rsidRPr="00476099">
              <w:rPr>
                <w:rFonts w:asciiTheme="minorHAnsi" w:eastAsiaTheme="minorHAnsi" w:hAnsiTheme="minorHAnsi" w:cstheme="minorBidi"/>
                <w:sz w:val="18"/>
                <w:szCs w:val="18"/>
                <w:lang w:eastAsia="en-US"/>
              </w:rPr>
              <w:t>ych</w:t>
            </w:r>
            <w:r w:rsidR="0006430D" w:rsidRPr="00476099">
              <w:rPr>
                <w:rFonts w:asciiTheme="minorHAnsi" w:eastAsiaTheme="minorHAnsi" w:hAnsiTheme="minorHAnsi" w:cstheme="minorBidi"/>
                <w:sz w:val="18"/>
                <w:szCs w:val="18"/>
                <w:lang w:eastAsia="en-US"/>
              </w:rPr>
              <w:t xml:space="preserve"> bezpośrednio z działalnością B+R). Jeżeli w wyniku realizacji projektu w obiektach zostanie zatrudniona dodatkowa liczba pracowników badawczych, co powoduje wzrost liczby miejsc pracy B+R, to wlicza się również te nowe miejsca pracy (patrz także </w:t>
            </w:r>
            <w:r w:rsidR="00D579C5" w:rsidRPr="00476099">
              <w:rPr>
                <w:rFonts w:asciiTheme="minorHAnsi" w:eastAsiaTheme="minorHAnsi" w:hAnsiTheme="minorHAnsi" w:cstheme="minorBidi"/>
                <w:sz w:val="18"/>
                <w:szCs w:val="18"/>
                <w:lang w:eastAsia="en-US"/>
              </w:rPr>
              <w:t xml:space="preserve">wskaźnik </w:t>
            </w:r>
            <w:r w:rsidR="0006430D" w:rsidRPr="00476099">
              <w:rPr>
                <w:rFonts w:asciiTheme="minorHAnsi" w:eastAsiaTheme="minorHAnsi" w:hAnsiTheme="minorHAnsi" w:cstheme="minorBidi"/>
                <w:sz w:val="18"/>
                <w:szCs w:val="18"/>
                <w:lang w:eastAsia="en-US"/>
              </w:rPr>
              <w:t xml:space="preserve">„Liczba nowych naukowców zatrudnionych we wspartych podmiotach”). </w:t>
            </w:r>
          </w:p>
          <w:p w:rsidR="00D579C5" w:rsidRPr="00476099" w:rsidRDefault="0006430D" w:rsidP="0006430D">
            <w:pPr>
              <w:autoSpaceDE w:val="0"/>
              <w:autoSpaceDN w:val="0"/>
              <w:adjustRightInd w:val="0"/>
              <w:spacing w:before="0" w:line="240" w:lineRule="auto"/>
              <w:jc w:val="both"/>
              <w:rPr>
                <w:rFonts w:asciiTheme="minorHAnsi" w:eastAsiaTheme="minorHAnsi" w:hAnsiTheme="minorHAnsi" w:cstheme="minorBidi"/>
                <w:sz w:val="18"/>
                <w:szCs w:val="18"/>
                <w:lang w:eastAsia="en-US"/>
              </w:rPr>
            </w:pPr>
            <w:r w:rsidRPr="00476099">
              <w:rPr>
                <w:rFonts w:asciiTheme="minorHAnsi" w:eastAsiaTheme="minorHAnsi" w:hAnsiTheme="minorHAnsi" w:cstheme="minorBidi"/>
                <w:sz w:val="18"/>
                <w:szCs w:val="18"/>
                <w:lang w:eastAsia="en-US"/>
              </w:rPr>
              <w:t xml:space="preserve">Obiekty mogą być prywatne lub państwowe. Projekt musi wpływać na poprawę jakości obiektów lub urządzeń, </w:t>
            </w:r>
            <w:r w:rsidR="00D579C5" w:rsidRPr="00476099">
              <w:rPr>
                <w:rFonts w:asciiTheme="minorHAnsi" w:eastAsiaTheme="minorHAnsi" w:hAnsiTheme="minorHAnsi" w:cstheme="minorBidi"/>
                <w:sz w:val="18"/>
                <w:szCs w:val="18"/>
                <w:lang w:eastAsia="en-US"/>
              </w:rPr>
              <w:t>tzn</w:t>
            </w:r>
            <w:r w:rsidRPr="00476099">
              <w:rPr>
                <w:rFonts w:asciiTheme="minorHAnsi" w:eastAsiaTheme="minorHAnsi" w:hAnsiTheme="minorHAnsi" w:cstheme="minorBidi"/>
                <w:sz w:val="18"/>
                <w:szCs w:val="18"/>
                <w:lang w:eastAsia="en-US"/>
              </w:rPr>
              <w:t xml:space="preserve">. do wskaźnika nie kwalifikują się koszty utrzymania lub wymiany nie prowadzące do podwyższenia jakości. </w:t>
            </w:r>
          </w:p>
          <w:p w:rsidR="00D579C5" w:rsidRPr="00476099" w:rsidRDefault="0006430D" w:rsidP="0006430D">
            <w:pPr>
              <w:autoSpaceDE w:val="0"/>
              <w:autoSpaceDN w:val="0"/>
              <w:adjustRightInd w:val="0"/>
              <w:spacing w:before="0" w:line="240" w:lineRule="auto"/>
              <w:jc w:val="both"/>
              <w:rPr>
                <w:rFonts w:asciiTheme="minorHAnsi" w:eastAsiaTheme="minorHAnsi" w:hAnsiTheme="minorHAnsi" w:cstheme="minorBidi"/>
                <w:sz w:val="18"/>
                <w:szCs w:val="18"/>
                <w:lang w:eastAsia="en-US"/>
              </w:rPr>
            </w:pPr>
            <w:r w:rsidRPr="00476099">
              <w:rPr>
                <w:rFonts w:asciiTheme="minorHAnsi" w:eastAsiaTheme="minorHAnsi" w:hAnsiTheme="minorHAnsi" w:cstheme="minorBidi"/>
                <w:sz w:val="18"/>
                <w:szCs w:val="18"/>
                <w:lang w:eastAsia="en-US"/>
              </w:rPr>
              <w:t xml:space="preserve">Ekwiwalent pełnego czasu pracy (EPC): miejsca pracy mogą dotyczyć pełnego wymiaru, niepełnego wymiaru </w:t>
            </w:r>
            <w:r w:rsidR="00D579C5" w:rsidRPr="00476099">
              <w:rPr>
                <w:rFonts w:asciiTheme="minorHAnsi" w:eastAsiaTheme="minorHAnsi" w:hAnsiTheme="minorHAnsi" w:cstheme="minorBidi"/>
                <w:sz w:val="18"/>
                <w:szCs w:val="18"/>
                <w:lang w:eastAsia="en-US"/>
              </w:rPr>
              <w:t xml:space="preserve">godzin </w:t>
            </w:r>
            <w:r w:rsidRPr="00476099">
              <w:rPr>
                <w:rFonts w:asciiTheme="minorHAnsi" w:eastAsiaTheme="minorHAnsi" w:hAnsiTheme="minorHAnsi" w:cstheme="minorBidi"/>
                <w:sz w:val="18"/>
                <w:szCs w:val="18"/>
                <w:lang w:eastAsia="en-US"/>
              </w:rPr>
              <w:t>lub być sezonowe. Miejsca pracy sezonowe i niepełny wymiar przelicza się na EPC z wykorzystaniem standardów MOP/statystycznych/innych.</w:t>
            </w:r>
          </w:p>
          <w:p w:rsidR="00972EB7" w:rsidRPr="00476099" w:rsidRDefault="0006430D" w:rsidP="0006430D">
            <w:pPr>
              <w:autoSpaceDE w:val="0"/>
              <w:autoSpaceDN w:val="0"/>
              <w:adjustRightInd w:val="0"/>
              <w:spacing w:before="0" w:line="240" w:lineRule="auto"/>
              <w:jc w:val="both"/>
              <w:rPr>
                <w:rFonts w:asciiTheme="minorHAnsi" w:eastAsiaTheme="minorHAnsi" w:hAnsiTheme="minorHAnsi" w:cstheme="minorBidi"/>
                <w:sz w:val="20"/>
                <w:lang w:eastAsia="en-US"/>
              </w:rPr>
            </w:pPr>
            <w:r w:rsidRPr="00476099">
              <w:rPr>
                <w:rFonts w:asciiTheme="minorHAnsi" w:eastAsiaTheme="minorHAnsi" w:hAnsiTheme="minorHAnsi" w:cstheme="minorBidi"/>
                <w:sz w:val="18"/>
                <w:szCs w:val="18"/>
                <w:lang w:eastAsia="en-US"/>
              </w:rPr>
              <w:t xml:space="preserve">W związku z tym, że termin „infrastruktura badawcza” jest używany w przypadku bardzo niejednorodnej grupy aktywów materialnych i niematerialnych, nie można go </w:t>
            </w:r>
            <w:r w:rsidR="00D579C5" w:rsidRPr="00476099">
              <w:rPr>
                <w:rFonts w:asciiTheme="minorHAnsi" w:eastAsiaTheme="minorHAnsi" w:hAnsiTheme="minorHAnsi" w:cstheme="minorBidi"/>
                <w:sz w:val="18"/>
                <w:szCs w:val="18"/>
                <w:lang w:eastAsia="en-US"/>
              </w:rPr>
              <w:t xml:space="preserve">skwantyfikować ograniczoną liczbą </w:t>
            </w:r>
            <w:r w:rsidRPr="00476099">
              <w:rPr>
                <w:rFonts w:asciiTheme="minorHAnsi" w:eastAsiaTheme="minorHAnsi" w:hAnsiTheme="minorHAnsi" w:cstheme="minorBidi"/>
                <w:sz w:val="18"/>
                <w:szCs w:val="18"/>
                <w:lang w:eastAsia="en-US"/>
              </w:rPr>
              <w:t>wskaźników fizycznych. Podejście z</w:t>
            </w:r>
            <w:r w:rsidR="00D579C5" w:rsidRPr="00476099">
              <w:rPr>
                <w:rFonts w:asciiTheme="minorHAnsi" w:eastAsiaTheme="minorHAnsi" w:hAnsiTheme="minorHAnsi" w:cstheme="minorBidi"/>
                <w:sz w:val="18"/>
                <w:szCs w:val="18"/>
                <w:lang w:eastAsia="en-US"/>
              </w:rPr>
              <w:t xml:space="preserve">astosowane w przypadku tego wskaźnika </w:t>
            </w:r>
            <w:r w:rsidRPr="00476099">
              <w:rPr>
                <w:rFonts w:asciiTheme="minorHAnsi" w:eastAsiaTheme="minorHAnsi" w:hAnsiTheme="minorHAnsi" w:cstheme="minorBidi"/>
                <w:sz w:val="18"/>
                <w:szCs w:val="18"/>
                <w:lang w:eastAsia="en-US"/>
              </w:rPr>
              <w:t xml:space="preserve"> powinno koncentrować się na niefinansowym wymiarze inwestycji (zatrudnienia), który </w:t>
            </w:r>
            <w:r w:rsidRPr="00476099">
              <w:rPr>
                <w:sz w:val="18"/>
                <w:szCs w:val="18"/>
              </w:rPr>
              <w:t xml:space="preserve"> </w:t>
            </w:r>
            <w:r w:rsidRPr="00476099">
              <w:rPr>
                <w:rFonts w:asciiTheme="minorHAnsi" w:eastAsiaTheme="minorHAnsi" w:hAnsiTheme="minorHAnsi" w:cstheme="minorBidi"/>
                <w:sz w:val="18"/>
                <w:szCs w:val="18"/>
                <w:lang w:eastAsia="en-US"/>
              </w:rPr>
              <w:t xml:space="preserve">jest w stanie oddać skalę </w:t>
            </w:r>
            <w:r w:rsidR="00D579C5" w:rsidRPr="00476099">
              <w:rPr>
                <w:rFonts w:asciiTheme="minorHAnsi" w:eastAsiaTheme="minorHAnsi" w:hAnsiTheme="minorHAnsi" w:cstheme="minorBidi"/>
                <w:sz w:val="18"/>
                <w:szCs w:val="18"/>
                <w:lang w:eastAsia="en-US"/>
              </w:rPr>
              <w:t>przedsięwzięcia.</w:t>
            </w:r>
          </w:p>
        </w:tc>
        <w:tc>
          <w:tcPr>
            <w:tcW w:w="1508" w:type="dxa"/>
            <w:vAlign w:val="center"/>
          </w:tcPr>
          <w:p w:rsidR="00D35714" w:rsidRDefault="00D35714" w:rsidP="0006430D">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RPO WD</w:t>
            </w:r>
          </w:p>
          <w:p w:rsidR="00D35714" w:rsidRDefault="00D35714" w:rsidP="0006430D">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2014-2020</w:t>
            </w:r>
          </w:p>
        </w:tc>
      </w:tr>
      <w:tr w:rsidR="00D35714" w:rsidRPr="00911273" w:rsidTr="00476099">
        <w:trPr>
          <w:cantSplit/>
          <w:trHeight w:val="2532"/>
        </w:trPr>
        <w:tc>
          <w:tcPr>
            <w:tcW w:w="2266" w:type="dxa"/>
            <w:shd w:val="clear" w:color="auto" w:fill="auto"/>
            <w:vAlign w:val="center"/>
          </w:tcPr>
          <w:p w:rsidR="00D35714" w:rsidRDefault="00972EB7" w:rsidP="0006430D">
            <w:pPr>
              <w:spacing w:before="60" w:after="60" w:line="240" w:lineRule="auto"/>
              <w:jc w:val="center"/>
              <w:rPr>
                <w:rFonts w:asciiTheme="minorHAnsi" w:hAnsiTheme="minorHAnsi"/>
                <w:b/>
                <w:szCs w:val="22"/>
                <w:u w:val="single"/>
              </w:rPr>
            </w:pPr>
            <w:r w:rsidRPr="00C904D5">
              <w:rPr>
                <w:rFonts w:asciiTheme="minorHAnsi" w:hAnsiTheme="minorHAnsi" w:cs="Arial"/>
                <w:szCs w:val="22"/>
              </w:rPr>
              <w:lastRenderedPageBreak/>
              <w:t xml:space="preserve">Liczba jednostek naukowych ponoszących nakłady inwestycyjne na działalność B+R </w:t>
            </w:r>
          </w:p>
          <w:p w:rsidR="00D35714" w:rsidRPr="00911273" w:rsidRDefault="00D35714" w:rsidP="0006430D">
            <w:pPr>
              <w:spacing w:before="60" w:after="60" w:line="240" w:lineRule="auto"/>
              <w:jc w:val="center"/>
              <w:rPr>
                <w:rFonts w:asciiTheme="minorHAnsi" w:hAnsiTheme="minorHAnsi"/>
                <w:szCs w:val="22"/>
              </w:rPr>
            </w:pPr>
          </w:p>
        </w:tc>
        <w:tc>
          <w:tcPr>
            <w:tcW w:w="1508" w:type="dxa"/>
            <w:vAlign w:val="center"/>
          </w:tcPr>
          <w:p w:rsidR="00D35714" w:rsidRPr="00911273" w:rsidRDefault="00972EB7" w:rsidP="0006430D">
            <w:pPr>
              <w:spacing w:before="0" w:line="240" w:lineRule="auto"/>
              <w:jc w:val="center"/>
              <w:rPr>
                <w:szCs w:val="22"/>
              </w:rPr>
            </w:pPr>
            <w:r w:rsidRPr="00272877">
              <w:rPr>
                <w:rFonts w:asciiTheme="minorHAnsi" w:hAnsiTheme="minorHAnsi"/>
                <w:szCs w:val="22"/>
              </w:rPr>
              <w:t>szt.</w:t>
            </w:r>
          </w:p>
        </w:tc>
        <w:tc>
          <w:tcPr>
            <w:tcW w:w="4680" w:type="dxa"/>
            <w:shd w:val="clear" w:color="auto" w:fill="auto"/>
            <w:vAlign w:val="center"/>
          </w:tcPr>
          <w:p w:rsidR="003F502A" w:rsidRPr="00476099" w:rsidRDefault="003F502A" w:rsidP="003F502A">
            <w:pPr>
              <w:spacing w:before="60" w:after="60" w:line="240" w:lineRule="auto"/>
              <w:jc w:val="both"/>
              <w:rPr>
                <w:rFonts w:asciiTheme="minorHAnsi" w:eastAsiaTheme="minorHAnsi" w:hAnsiTheme="minorHAnsi" w:cs="Arial"/>
                <w:sz w:val="18"/>
                <w:szCs w:val="18"/>
                <w:lang w:eastAsia="en-US"/>
              </w:rPr>
            </w:pPr>
            <w:r w:rsidRPr="00476099">
              <w:rPr>
                <w:rFonts w:asciiTheme="minorHAnsi" w:eastAsiaTheme="minorHAnsi" w:hAnsiTheme="minorHAnsi" w:cs="Arial"/>
                <w:sz w:val="18"/>
                <w:szCs w:val="18"/>
                <w:lang w:eastAsia="en-US"/>
              </w:rPr>
              <w:t>Liczba jednostek naukowych uczestniczących w realizacji projektu obejmującego inwestycyjne nakłady na działalność B+R (zgodnie z katalogiem kosztów kwalifikowalnych).</w:t>
            </w:r>
          </w:p>
          <w:p w:rsidR="003F502A" w:rsidRPr="00476099" w:rsidRDefault="003F502A" w:rsidP="003F502A">
            <w:pPr>
              <w:spacing w:before="60" w:after="60" w:line="240" w:lineRule="auto"/>
              <w:jc w:val="both"/>
              <w:rPr>
                <w:rFonts w:asciiTheme="minorHAnsi" w:eastAsiaTheme="minorHAnsi" w:hAnsiTheme="minorHAnsi" w:cs="Arial"/>
                <w:sz w:val="18"/>
                <w:szCs w:val="18"/>
                <w:lang w:eastAsia="en-US"/>
              </w:rPr>
            </w:pPr>
            <w:r w:rsidRPr="00476099">
              <w:rPr>
                <w:rFonts w:asciiTheme="minorHAnsi" w:eastAsiaTheme="minorHAnsi" w:hAnsiTheme="minorHAnsi" w:cs="Arial"/>
                <w:sz w:val="18"/>
                <w:szCs w:val="18"/>
                <w:lang w:eastAsia="en-US"/>
              </w:rPr>
              <w:t>Wskaźnik obejmuje jednostki naukowe składające wniosek oraz jednostki naukowe będące partnerami w ramach realizowanego projektu i mogące otrzymać wsparcie.</w:t>
            </w:r>
          </w:p>
          <w:p w:rsidR="00CB1388" w:rsidRPr="00D879B6" w:rsidRDefault="00CB1388" w:rsidP="00D579C5">
            <w:pPr>
              <w:spacing w:before="60" w:after="60" w:line="240" w:lineRule="auto"/>
              <w:jc w:val="center"/>
              <w:rPr>
                <w:rFonts w:asciiTheme="minorHAnsi" w:eastAsiaTheme="minorHAnsi" w:hAnsiTheme="minorHAnsi" w:cs="Arial"/>
                <w:szCs w:val="22"/>
                <w:lang w:eastAsia="en-US"/>
              </w:rPr>
            </w:pPr>
          </w:p>
        </w:tc>
        <w:tc>
          <w:tcPr>
            <w:tcW w:w="1508" w:type="dxa"/>
            <w:vAlign w:val="center"/>
          </w:tcPr>
          <w:p w:rsidR="00D35714" w:rsidRDefault="00D35714" w:rsidP="0006430D">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RPO WD</w:t>
            </w:r>
          </w:p>
          <w:p w:rsidR="00D35714" w:rsidRPr="00911273" w:rsidRDefault="00D35714" w:rsidP="0006430D">
            <w:pPr>
              <w:autoSpaceDE w:val="0"/>
              <w:autoSpaceDN w:val="0"/>
              <w:adjustRightInd w:val="0"/>
              <w:spacing w:before="0" w:line="240" w:lineRule="auto"/>
              <w:jc w:val="center"/>
              <w:rPr>
                <w:rFonts w:asciiTheme="minorHAnsi" w:hAnsiTheme="minorHAnsi"/>
                <w:szCs w:val="22"/>
              </w:rPr>
            </w:pPr>
            <w:r>
              <w:rPr>
                <w:rFonts w:asciiTheme="minorHAnsi" w:hAnsiTheme="minorHAnsi"/>
                <w:szCs w:val="22"/>
              </w:rPr>
              <w:t>2014-2020</w:t>
            </w:r>
          </w:p>
        </w:tc>
      </w:tr>
      <w:tr w:rsidR="00496982" w:rsidRPr="00911273" w:rsidTr="003F502A">
        <w:trPr>
          <w:cantSplit/>
          <w:trHeight w:val="20"/>
        </w:trPr>
        <w:tc>
          <w:tcPr>
            <w:tcW w:w="2266" w:type="dxa"/>
            <w:shd w:val="clear" w:color="auto" w:fill="auto"/>
            <w:vAlign w:val="center"/>
          </w:tcPr>
          <w:p w:rsidR="00496982" w:rsidRDefault="00496982" w:rsidP="00496982">
            <w:pPr>
              <w:spacing w:before="60" w:after="60" w:line="240" w:lineRule="auto"/>
              <w:jc w:val="center"/>
              <w:rPr>
                <w:rFonts w:asciiTheme="minorHAnsi" w:hAnsiTheme="minorHAnsi" w:cs="Arial"/>
                <w:szCs w:val="22"/>
              </w:rPr>
            </w:pPr>
            <w:r w:rsidRPr="00C904D5">
              <w:rPr>
                <w:rFonts w:asciiTheme="minorHAnsi" w:hAnsiTheme="minorHAnsi" w:cs="Arial"/>
                <w:szCs w:val="22"/>
              </w:rPr>
              <w:t>Inwestycje prywatne uzupełniające wsparcie publiczne w projekty w zakresie innow</w:t>
            </w:r>
            <w:r>
              <w:rPr>
                <w:rFonts w:asciiTheme="minorHAnsi" w:hAnsiTheme="minorHAnsi" w:cs="Arial"/>
                <w:szCs w:val="22"/>
              </w:rPr>
              <w:t>acji lub badań i rozwoju</w:t>
            </w:r>
          </w:p>
          <w:p w:rsidR="00496982" w:rsidRPr="00C904D5" w:rsidRDefault="00496982" w:rsidP="00496982">
            <w:pPr>
              <w:spacing w:before="60" w:after="60" w:line="240" w:lineRule="auto"/>
              <w:jc w:val="center"/>
              <w:rPr>
                <w:rFonts w:asciiTheme="minorHAnsi" w:hAnsiTheme="minorHAnsi" w:cs="Arial"/>
                <w:szCs w:val="22"/>
              </w:rPr>
            </w:pPr>
            <w:r>
              <w:rPr>
                <w:rFonts w:asciiTheme="minorHAnsi" w:hAnsiTheme="minorHAnsi" w:cs="Arial"/>
                <w:szCs w:val="22"/>
              </w:rPr>
              <w:t>(CI 27)</w:t>
            </w:r>
          </w:p>
        </w:tc>
        <w:tc>
          <w:tcPr>
            <w:tcW w:w="1508" w:type="dxa"/>
            <w:vAlign w:val="center"/>
          </w:tcPr>
          <w:p w:rsidR="00496982" w:rsidRDefault="00496982" w:rsidP="00496982">
            <w:pPr>
              <w:spacing w:line="240" w:lineRule="auto"/>
              <w:jc w:val="center"/>
              <w:rPr>
                <w:rFonts w:asciiTheme="minorHAnsi" w:hAnsiTheme="minorHAnsi" w:cs="Arial"/>
                <w:szCs w:val="22"/>
              </w:rPr>
            </w:pPr>
            <w:r>
              <w:rPr>
                <w:rFonts w:asciiTheme="minorHAnsi" w:hAnsiTheme="minorHAnsi" w:cs="Arial"/>
                <w:szCs w:val="22"/>
              </w:rPr>
              <w:t>zł</w:t>
            </w:r>
          </w:p>
          <w:p w:rsidR="00496982" w:rsidRDefault="00496982" w:rsidP="00496982">
            <w:pPr>
              <w:spacing w:line="240" w:lineRule="auto"/>
              <w:jc w:val="center"/>
              <w:rPr>
                <w:rFonts w:asciiTheme="minorHAnsi" w:hAnsiTheme="minorHAnsi"/>
                <w:szCs w:val="22"/>
              </w:rPr>
            </w:pPr>
          </w:p>
        </w:tc>
        <w:tc>
          <w:tcPr>
            <w:tcW w:w="4680" w:type="dxa"/>
            <w:shd w:val="clear" w:color="auto" w:fill="auto"/>
            <w:vAlign w:val="center"/>
          </w:tcPr>
          <w:p w:rsidR="00496982" w:rsidRPr="00476099" w:rsidRDefault="00496982" w:rsidP="00496982">
            <w:pPr>
              <w:pStyle w:val="Default"/>
              <w:jc w:val="both"/>
              <w:rPr>
                <w:rFonts w:asciiTheme="minorHAnsi" w:hAnsiTheme="minorHAnsi"/>
                <w:sz w:val="18"/>
                <w:szCs w:val="18"/>
                <w:lang w:val="en-US"/>
              </w:rPr>
            </w:pPr>
            <w:r w:rsidRPr="00476099">
              <w:rPr>
                <w:rFonts w:asciiTheme="minorHAnsi" w:hAnsiTheme="minorHAnsi"/>
                <w:sz w:val="18"/>
                <w:szCs w:val="18"/>
                <w:lang w:val="en-US"/>
              </w:rPr>
              <w:t xml:space="preserve">Total value of private contribution in supported innovation or R&amp;D projects, including </w:t>
            </w:r>
            <w:proofErr w:type="spellStart"/>
            <w:r w:rsidRPr="00476099">
              <w:rPr>
                <w:rFonts w:asciiTheme="minorHAnsi" w:hAnsiTheme="minorHAnsi"/>
                <w:sz w:val="18"/>
                <w:szCs w:val="18"/>
                <w:lang w:val="en-US"/>
              </w:rPr>
              <w:t>noneligible</w:t>
            </w:r>
            <w:proofErr w:type="spellEnd"/>
            <w:r w:rsidRPr="00476099">
              <w:rPr>
                <w:rFonts w:asciiTheme="minorHAnsi" w:hAnsiTheme="minorHAnsi"/>
                <w:sz w:val="18"/>
                <w:szCs w:val="18"/>
                <w:lang w:val="en-US"/>
              </w:rPr>
              <w:t xml:space="preserve"> parts of the project. If the investment also qualifies as state aid (see indicators ‘Private investment matching public support to enterprises (grants/non-grants’), it should be reported under all relevant indicators. </w:t>
            </w:r>
          </w:p>
          <w:p w:rsidR="00496982" w:rsidRPr="00476099" w:rsidRDefault="00496982" w:rsidP="00496982">
            <w:pPr>
              <w:spacing w:line="240" w:lineRule="auto"/>
              <w:jc w:val="both"/>
              <w:rPr>
                <w:rFonts w:asciiTheme="minorHAnsi" w:eastAsiaTheme="minorHAnsi" w:hAnsiTheme="minorHAnsi" w:cstheme="minorBidi"/>
                <w:sz w:val="18"/>
                <w:szCs w:val="18"/>
                <w:lang w:eastAsia="en-US"/>
              </w:rPr>
            </w:pPr>
            <w:r w:rsidRPr="00476099">
              <w:rPr>
                <w:rFonts w:asciiTheme="minorHAnsi" w:hAnsiTheme="minorHAnsi"/>
                <w:sz w:val="18"/>
                <w:szCs w:val="18"/>
              </w:rPr>
              <w:t xml:space="preserve">Tłumaczenie robocze: </w:t>
            </w:r>
            <w:r w:rsidRPr="00476099">
              <w:rPr>
                <w:rFonts w:asciiTheme="minorHAnsi" w:eastAsiaTheme="minorHAnsi" w:hAnsiTheme="minorHAnsi" w:cstheme="minorBidi"/>
                <w:sz w:val="18"/>
                <w:szCs w:val="18"/>
                <w:lang w:eastAsia="en-US"/>
              </w:rPr>
              <w:t xml:space="preserve">Całkowita wartość wkładu prywatnego w projektach wspierających innowacje lub projektach B+R, w tym wydatki niekwalifikowalne projektu. Jeżeli inwestycja kwalifikuje się również do pomocy publicznej (patrz wskaźnik „Inwestycje prywatne uzupełniające wsparcie publiczne dla przedsiębiorstw (dotacje/inne niż dotacje)”, to powinna zostać wykazana we wszystkich powiązanych wskaźnikach. </w:t>
            </w:r>
          </w:p>
          <w:p w:rsidR="00496982" w:rsidRPr="00476099" w:rsidRDefault="00496982" w:rsidP="00496982">
            <w:pPr>
              <w:spacing w:line="240" w:lineRule="auto"/>
              <w:jc w:val="both"/>
              <w:rPr>
                <w:color w:val="000000"/>
                <w:sz w:val="18"/>
                <w:szCs w:val="18"/>
                <w:highlight w:val="yellow"/>
              </w:rPr>
            </w:pPr>
          </w:p>
        </w:tc>
        <w:tc>
          <w:tcPr>
            <w:tcW w:w="1508" w:type="dxa"/>
            <w:vAlign w:val="center"/>
          </w:tcPr>
          <w:p w:rsidR="00496982" w:rsidRDefault="00496982" w:rsidP="00496982">
            <w:pPr>
              <w:spacing w:line="240" w:lineRule="auto"/>
              <w:jc w:val="center"/>
              <w:rPr>
                <w:rFonts w:asciiTheme="minorHAnsi" w:hAnsiTheme="minorHAnsi"/>
                <w:szCs w:val="22"/>
              </w:rPr>
            </w:pPr>
            <w:r>
              <w:rPr>
                <w:rFonts w:asciiTheme="minorHAnsi" w:hAnsiTheme="minorHAnsi"/>
                <w:szCs w:val="22"/>
              </w:rPr>
              <w:t>RPO WD 2014-2020</w:t>
            </w:r>
          </w:p>
        </w:tc>
      </w:tr>
      <w:tr w:rsidR="00496982" w:rsidRPr="00911273" w:rsidTr="003F502A">
        <w:trPr>
          <w:trHeight w:val="20"/>
        </w:trPr>
        <w:tc>
          <w:tcPr>
            <w:tcW w:w="2266" w:type="dxa"/>
            <w:shd w:val="clear" w:color="auto" w:fill="auto"/>
            <w:vAlign w:val="center"/>
          </w:tcPr>
          <w:p w:rsidR="00496982" w:rsidRDefault="00496982" w:rsidP="00496982">
            <w:pPr>
              <w:spacing w:before="60" w:after="60" w:line="240" w:lineRule="auto"/>
              <w:jc w:val="center"/>
              <w:rPr>
                <w:rFonts w:asciiTheme="minorHAnsi" w:hAnsiTheme="minorHAnsi"/>
                <w:szCs w:val="22"/>
              </w:rPr>
            </w:pPr>
            <w:r w:rsidRPr="00C904D5">
              <w:rPr>
                <w:rFonts w:asciiTheme="minorHAnsi" w:hAnsiTheme="minorHAnsi" w:cs="Arial"/>
                <w:szCs w:val="22"/>
              </w:rPr>
              <w:t>Nakłady inwestycyjne na zakup aparatury naukowo-badawczej</w:t>
            </w:r>
          </w:p>
          <w:p w:rsidR="00496982" w:rsidRPr="00911273" w:rsidRDefault="00496982" w:rsidP="00496982">
            <w:pPr>
              <w:spacing w:before="60" w:after="60" w:line="240" w:lineRule="auto"/>
              <w:jc w:val="center"/>
              <w:rPr>
                <w:rFonts w:asciiTheme="minorHAnsi" w:hAnsiTheme="minorHAnsi"/>
                <w:szCs w:val="22"/>
              </w:rPr>
            </w:pPr>
          </w:p>
        </w:tc>
        <w:tc>
          <w:tcPr>
            <w:tcW w:w="1508" w:type="dxa"/>
            <w:vAlign w:val="center"/>
          </w:tcPr>
          <w:p w:rsidR="00496982" w:rsidRPr="00225820" w:rsidRDefault="00496982" w:rsidP="00496982">
            <w:pPr>
              <w:spacing w:line="240" w:lineRule="auto"/>
              <w:jc w:val="center"/>
              <w:rPr>
                <w:rFonts w:asciiTheme="minorHAnsi" w:hAnsiTheme="minorHAnsi"/>
                <w:szCs w:val="22"/>
              </w:rPr>
            </w:pPr>
            <w:r>
              <w:rPr>
                <w:rFonts w:asciiTheme="minorHAnsi" w:hAnsiTheme="minorHAnsi"/>
                <w:szCs w:val="22"/>
              </w:rPr>
              <w:t>zł</w:t>
            </w:r>
          </w:p>
        </w:tc>
        <w:tc>
          <w:tcPr>
            <w:tcW w:w="4680" w:type="dxa"/>
            <w:shd w:val="clear" w:color="auto" w:fill="auto"/>
            <w:vAlign w:val="center"/>
          </w:tcPr>
          <w:p w:rsidR="00496982" w:rsidRPr="00476099" w:rsidRDefault="00496982" w:rsidP="00496982">
            <w:pPr>
              <w:spacing w:line="240" w:lineRule="auto"/>
              <w:jc w:val="both"/>
              <w:rPr>
                <w:rFonts w:ascii="Calibri" w:hAnsi="Calibri"/>
                <w:sz w:val="18"/>
                <w:szCs w:val="18"/>
              </w:rPr>
            </w:pPr>
            <w:r w:rsidRPr="00476099">
              <w:rPr>
                <w:rFonts w:ascii="Calibri" w:hAnsi="Calibri"/>
                <w:sz w:val="18"/>
                <w:szCs w:val="18"/>
              </w:rPr>
              <w:t>Nakłady poniesione przez beneficjenta na zakup aparatury naukowo-badawczej w zawiązku z realizowanym projektem. Nakłady obejmują dofinansowanie i wkład własny.</w:t>
            </w:r>
          </w:p>
          <w:p w:rsidR="00496982" w:rsidRPr="00476099" w:rsidRDefault="00496982" w:rsidP="00496982">
            <w:pPr>
              <w:spacing w:line="240" w:lineRule="auto"/>
              <w:jc w:val="both"/>
              <w:rPr>
                <w:rFonts w:ascii="Calibri" w:hAnsi="Calibri"/>
                <w:sz w:val="18"/>
                <w:szCs w:val="18"/>
              </w:rPr>
            </w:pPr>
          </w:p>
          <w:p w:rsidR="00496982" w:rsidRPr="00476099" w:rsidRDefault="00496982" w:rsidP="00496982">
            <w:pPr>
              <w:spacing w:before="0" w:line="240" w:lineRule="auto"/>
              <w:jc w:val="both"/>
              <w:rPr>
                <w:color w:val="000000"/>
                <w:sz w:val="18"/>
                <w:szCs w:val="18"/>
              </w:rPr>
            </w:pPr>
            <w:r w:rsidRPr="00476099">
              <w:rPr>
                <w:rFonts w:ascii="Calibri" w:hAnsi="Calibri"/>
                <w:sz w:val="18"/>
                <w:szCs w:val="18"/>
              </w:rPr>
              <w:t xml:space="preserve">Informacja dodatkowa (GUS): </w:t>
            </w:r>
            <w:r w:rsidRPr="00476099">
              <w:rPr>
                <w:rFonts w:ascii="Calibri" w:hAnsi="Calibri" w:cs="Arial"/>
                <w:sz w:val="18"/>
                <w:szCs w:val="18"/>
              </w:rPr>
              <w:t xml:space="preserve"> aparatura  naukowo - badawcza:</w:t>
            </w:r>
            <w:r w:rsidRPr="00476099">
              <w:rPr>
                <w:rFonts w:ascii="Calibri" w:hAnsi="Calibri"/>
                <w:sz w:val="18"/>
                <w:szCs w:val="18"/>
              </w:rPr>
              <w:t xml:space="preserve">  zestawy urządzeń badawczych, pomiarowych lub laboratoryjnych o małym stopniu uniwersalności i wysokich parametrach technicznych (zazwyczaj wyższych o kilka rzędów dokładności pomiaru w stosunku do typowej aparatury stosowanej do celów produkcyjnych lub eksploatacyjnych). Do aparatury nie zalicza się sprzętu komputerowego i innych urządzeń nie wykorzystywanych bezpośrednio do realizacji prac B+R.</w:t>
            </w:r>
          </w:p>
        </w:tc>
        <w:tc>
          <w:tcPr>
            <w:tcW w:w="1508" w:type="dxa"/>
            <w:vAlign w:val="center"/>
          </w:tcPr>
          <w:p w:rsidR="00496982" w:rsidRPr="00AA6B29" w:rsidRDefault="00496982" w:rsidP="00496982">
            <w:pPr>
              <w:spacing w:line="240" w:lineRule="auto"/>
              <w:jc w:val="center"/>
              <w:rPr>
                <w:rFonts w:asciiTheme="minorHAnsi" w:hAnsiTheme="minorHAnsi"/>
                <w:szCs w:val="22"/>
              </w:rPr>
            </w:pPr>
            <w:r w:rsidRPr="00AA6B29">
              <w:rPr>
                <w:rFonts w:asciiTheme="minorHAnsi" w:hAnsiTheme="minorHAnsi"/>
                <w:szCs w:val="22"/>
              </w:rPr>
              <w:t xml:space="preserve">SZOOP </w:t>
            </w:r>
            <w:r>
              <w:rPr>
                <w:rFonts w:asciiTheme="minorHAnsi" w:hAnsiTheme="minorHAnsi"/>
                <w:szCs w:val="22"/>
              </w:rPr>
              <w:t xml:space="preserve">RPO WD </w:t>
            </w:r>
            <w:r w:rsidRPr="00AA6B29">
              <w:rPr>
                <w:rFonts w:asciiTheme="minorHAnsi" w:hAnsiTheme="minorHAnsi"/>
                <w:szCs w:val="22"/>
              </w:rPr>
              <w:t>2014-2020</w:t>
            </w:r>
          </w:p>
        </w:tc>
      </w:tr>
      <w:tr w:rsidR="00496982" w:rsidRPr="00911273" w:rsidTr="003F502A">
        <w:trPr>
          <w:trHeight w:val="20"/>
        </w:trPr>
        <w:tc>
          <w:tcPr>
            <w:tcW w:w="2266" w:type="dxa"/>
            <w:shd w:val="clear" w:color="auto" w:fill="auto"/>
            <w:vAlign w:val="center"/>
          </w:tcPr>
          <w:p w:rsidR="00496982" w:rsidRPr="00C904D5" w:rsidRDefault="00496982" w:rsidP="00496982">
            <w:pPr>
              <w:spacing w:before="60" w:after="60" w:line="240" w:lineRule="auto"/>
              <w:jc w:val="center"/>
              <w:rPr>
                <w:rFonts w:asciiTheme="minorHAnsi" w:hAnsiTheme="minorHAnsi" w:cs="Arial"/>
                <w:szCs w:val="22"/>
              </w:rPr>
            </w:pPr>
            <w:r w:rsidRPr="00C904D5">
              <w:rPr>
                <w:rFonts w:asciiTheme="minorHAnsi" w:hAnsiTheme="minorHAnsi" w:cs="Arial"/>
                <w:szCs w:val="22"/>
              </w:rPr>
              <w:t>Liczba wspartych laboratoriów badawczych</w:t>
            </w:r>
          </w:p>
        </w:tc>
        <w:tc>
          <w:tcPr>
            <w:tcW w:w="1508" w:type="dxa"/>
            <w:vAlign w:val="center"/>
          </w:tcPr>
          <w:p w:rsidR="00496982" w:rsidRPr="00225820" w:rsidRDefault="00496982" w:rsidP="00496982">
            <w:pPr>
              <w:spacing w:line="240" w:lineRule="auto"/>
              <w:jc w:val="center"/>
              <w:rPr>
                <w:rFonts w:asciiTheme="minorHAnsi" w:hAnsiTheme="minorHAnsi"/>
                <w:szCs w:val="22"/>
              </w:rPr>
            </w:pPr>
            <w:r>
              <w:rPr>
                <w:rFonts w:asciiTheme="minorHAnsi" w:hAnsiTheme="minorHAnsi"/>
                <w:szCs w:val="22"/>
              </w:rPr>
              <w:t>szt.</w:t>
            </w:r>
          </w:p>
        </w:tc>
        <w:tc>
          <w:tcPr>
            <w:tcW w:w="4680" w:type="dxa"/>
            <w:shd w:val="clear" w:color="auto" w:fill="auto"/>
            <w:vAlign w:val="center"/>
          </w:tcPr>
          <w:p w:rsidR="00496982" w:rsidRPr="00476099" w:rsidRDefault="00496982" w:rsidP="00496982">
            <w:pPr>
              <w:spacing w:line="240" w:lineRule="auto"/>
              <w:jc w:val="both"/>
              <w:rPr>
                <w:rFonts w:ascii="Calibri" w:hAnsi="Calibri"/>
                <w:color w:val="000000"/>
                <w:sz w:val="18"/>
                <w:szCs w:val="18"/>
              </w:rPr>
            </w:pPr>
            <w:r w:rsidRPr="00476099">
              <w:rPr>
                <w:rFonts w:ascii="Calibri" w:hAnsi="Calibri"/>
                <w:color w:val="000000"/>
                <w:sz w:val="18"/>
                <w:szCs w:val="18"/>
              </w:rPr>
              <w:t xml:space="preserve">Liczba laboratoriów badawczych wybudowanych (utworzonych) rozbudowywanych, przebudowywanych lub doposażonych w aparaturę naukowo-badawczą w wyniku udzielonego wsparcia i przygotowywanych do prowadzenia prac B+R. </w:t>
            </w:r>
          </w:p>
          <w:p w:rsidR="00496982" w:rsidRPr="00476099" w:rsidRDefault="00496982" w:rsidP="00496982">
            <w:pPr>
              <w:spacing w:line="240" w:lineRule="auto"/>
              <w:jc w:val="both"/>
              <w:rPr>
                <w:rFonts w:ascii="Calibri" w:hAnsi="Calibri"/>
                <w:color w:val="000000"/>
                <w:sz w:val="18"/>
                <w:szCs w:val="18"/>
              </w:rPr>
            </w:pPr>
            <w:r w:rsidRPr="00476099">
              <w:rPr>
                <w:rFonts w:ascii="Calibri" w:hAnsi="Calibri"/>
                <w:color w:val="000000"/>
                <w:sz w:val="18"/>
                <w:szCs w:val="18"/>
              </w:rPr>
              <w:t xml:space="preserve">Przez laboratorium należy rozumieć techniczne i organizacyjnie wydzielone pomieszczenie wyposażone w niezbędną aparaturę naukowo-badawczą. </w:t>
            </w:r>
          </w:p>
          <w:p w:rsidR="00496982" w:rsidRPr="00476099" w:rsidRDefault="00496982" w:rsidP="00496982">
            <w:pPr>
              <w:spacing w:before="0" w:line="240" w:lineRule="auto"/>
              <w:rPr>
                <w:color w:val="000000"/>
                <w:sz w:val="18"/>
                <w:szCs w:val="18"/>
              </w:rPr>
            </w:pPr>
          </w:p>
        </w:tc>
        <w:tc>
          <w:tcPr>
            <w:tcW w:w="1508" w:type="dxa"/>
            <w:vAlign w:val="center"/>
          </w:tcPr>
          <w:p w:rsidR="00496982" w:rsidRPr="00AA6B29" w:rsidRDefault="00496982" w:rsidP="00496982">
            <w:pPr>
              <w:spacing w:line="240" w:lineRule="auto"/>
              <w:jc w:val="center"/>
              <w:rPr>
                <w:rFonts w:asciiTheme="minorHAnsi" w:hAnsiTheme="minorHAnsi"/>
                <w:szCs w:val="22"/>
              </w:rPr>
            </w:pPr>
            <w:r>
              <w:rPr>
                <w:rFonts w:asciiTheme="minorHAnsi" w:hAnsiTheme="minorHAnsi"/>
                <w:szCs w:val="22"/>
              </w:rPr>
              <w:t>SZOOP RPO WD 2014-2020</w:t>
            </w:r>
          </w:p>
        </w:tc>
      </w:tr>
      <w:tr w:rsidR="00496982" w:rsidRPr="00911273" w:rsidTr="003F502A">
        <w:trPr>
          <w:trHeight w:val="20"/>
        </w:trPr>
        <w:tc>
          <w:tcPr>
            <w:tcW w:w="2266" w:type="dxa"/>
            <w:shd w:val="clear" w:color="auto" w:fill="auto"/>
            <w:vAlign w:val="center"/>
          </w:tcPr>
          <w:p w:rsidR="00496982" w:rsidRDefault="00496982" w:rsidP="00496982">
            <w:pPr>
              <w:spacing w:before="60" w:after="60" w:line="240" w:lineRule="auto"/>
              <w:jc w:val="center"/>
              <w:rPr>
                <w:rFonts w:asciiTheme="minorHAnsi" w:hAnsiTheme="minorHAnsi" w:cs="Arial"/>
                <w:szCs w:val="22"/>
              </w:rPr>
            </w:pPr>
            <w:r w:rsidRPr="00C904D5">
              <w:rPr>
                <w:rFonts w:asciiTheme="minorHAnsi" w:hAnsiTheme="minorHAnsi" w:cs="Arial"/>
                <w:szCs w:val="22"/>
              </w:rPr>
              <w:t>Liczba nowych naukowców we wspieranych jednostkach</w:t>
            </w:r>
            <w:r>
              <w:rPr>
                <w:rFonts w:asciiTheme="minorHAnsi" w:hAnsiTheme="minorHAnsi" w:cs="Arial"/>
                <w:szCs w:val="22"/>
              </w:rPr>
              <w:t xml:space="preserve"> (CI24)</w:t>
            </w:r>
          </w:p>
          <w:p w:rsidR="00496982" w:rsidRPr="00C904D5" w:rsidRDefault="00496982" w:rsidP="00496982">
            <w:pPr>
              <w:spacing w:before="60" w:after="60" w:line="240" w:lineRule="auto"/>
              <w:jc w:val="center"/>
              <w:rPr>
                <w:rFonts w:asciiTheme="minorHAnsi" w:hAnsiTheme="minorHAnsi" w:cs="Arial"/>
                <w:szCs w:val="22"/>
              </w:rPr>
            </w:pPr>
            <w:r>
              <w:rPr>
                <w:rFonts w:asciiTheme="minorHAnsi" w:hAnsiTheme="minorHAnsi" w:cs="Arial"/>
                <w:szCs w:val="22"/>
              </w:rPr>
              <w:t>(O/K/M)</w:t>
            </w:r>
          </w:p>
        </w:tc>
        <w:tc>
          <w:tcPr>
            <w:tcW w:w="1508" w:type="dxa"/>
            <w:vAlign w:val="center"/>
          </w:tcPr>
          <w:p w:rsidR="00496982" w:rsidRDefault="00496982" w:rsidP="00496982">
            <w:pPr>
              <w:spacing w:line="240" w:lineRule="auto"/>
              <w:jc w:val="center"/>
              <w:rPr>
                <w:rFonts w:asciiTheme="minorHAnsi" w:hAnsiTheme="minorHAnsi" w:cs="Arial"/>
                <w:szCs w:val="22"/>
              </w:rPr>
            </w:pPr>
            <w:r>
              <w:rPr>
                <w:rFonts w:asciiTheme="minorHAnsi" w:hAnsiTheme="minorHAnsi" w:cs="Arial"/>
                <w:szCs w:val="22"/>
              </w:rPr>
              <w:t>EPC</w:t>
            </w:r>
          </w:p>
        </w:tc>
        <w:tc>
          <w:tcPr>
            <w:tcW w:w="4680" w:type="dxa"/>
            <w:shd w:val="clear" w:color="auto" w:fill="auto"/>
            <w:vAlign w:val="center"/>
          </w:tcPr>
          <w:p w:rsidR="00496982" w:rsidRPr="00476099" w:rsidRDefault="00496982" w:rsidP="00496982">
            <w:pPr>
              <w:spacing w:line="240" w:lineRule="auto"/>
              <w:jc w:val="both"/>
              <w:rPr>
                <w:rFonts w:asciiTheme="minorHAnsi" w:hAnsiTheme="minorHAnsi"/>
                <w:sz w:val="18"/>
                <w:szCs w:val="18"/>
                <w:lang w:val="en-US"/>
              </w:rPr>
            </w:pPr>
            <w:r w:rsidRPr="00476099">
              <w:rPr>
                <w:rFonts w:asciiTheme="minorHAnsi" w:hAnsiTheme="minorHAnsi"/>
                <w:sz w:val="18"/>
                <w:szCs w:val="18"/>
                <w:lang w:val="en-US"/>
              </w:rPr>
              <w:t xml:space="preserve">Gross new working positions (that did not exist before) to directly perform R&amp;D activities, in full time equivalents. The post must be a consequence of project implementation or completion, be filled (vacant posts are not counted) and increase the total number of research jobs in the </w:t>
            </w:r>
            <w:proofErr w:type="spellStart"/>
            <w:r w:rsidRPr="00476099">
              <w:rPr>
                <w:rFonts w:asciiTheme="minorHAnsi" w:hAnsiTheme="minorHAnsi"/>
                <w:sz w:val="18"/>
                <w:szCs w:val="18"/>
                <w:lang w:val="en-US"/>
              </w:rPr>
              <w:t>organisation</w:t>
            </w:r>
            <w:proofErr w:type="spellEnd"/>
            <w:r w:rsidRPr="00476099">
              <w:rPr>
                <w:rFonts w:asciiTheme="minorHAnsi" w:hAnsiTheme="minorHAnsi"/>
                <w:sz w:val="18"/>
                <w:szCs w:val="18"/>
                <w:lang w:val="en-US"/>
              </w:rPr>
              <w:t>. Support staff for R&amp;D (i.e. jobs not directly involved in R&amp;D activities) is not counted. The indicator focuses on employed personnel; the supported entity may be new or already existing.</w:t>
            </w:r>
          </w:p>
          <w:p w:rsidR="00496982" w:rsidRPr="00476099" w:rsidRDefault="00496982" w:rsidP="00496982">
            <w:pPr>
              <w:spacing w:before="60" w:line="240" w:lineRule="auto"/>
              <w:jc w:val="both"/>
              <w:rPr>
                <w:rFonts w:asciiTheme="minorHAnsi" w:hAnsiTheme="minorHAnsi"/>
                <w:sz w:val="18"/>
                <w:szCs w:val="18"/>
                <w:lang w:val="en-US"/>
              </w:rPr>
            </w:pPr>
            <w:r w:rsidRPr="00476099">
              <w:rPr>
                <w:rFonts w:asciiTheme="minorHAnsi" w:hAnsiTheme="minorHAnsi"/>
                <w:sz w:val="18"/>
                <w:szCs w:val="18"/>
                <w:lang w:val="en-US"/>
              </w:rPr>
              <w:lastRenderedPageBreak/>
              <w:t xml:space="preserve">Gross: Not counting the origin of the jobholder as long as it directly contributes to the increase of total research jobs in the </w:t>
            </w:r>
            <w:proofErr w:type="spellStart"/>
            <w:r w:rsidRPr="00476099">
              <w:rPr>
                <w:rFonts w:asciiTheme="minorHAnsi" w:hAnsiTheme="minorHAnsi"/>
                <w:sz w:val="18"/>
                <w:szCs w:val="18"/>
                <w:lang w:val="en-US"/>
              </w:rPr>
              <w:t>organisation</w:t>
            </w:r>
            <w:proofErr w:type="spellEnd"/>
            <w:r w:rsidRPr="00476099">
              <w:rPr>
                <w:rFonts w:asciiTheme="minorHAnsi" w:hAnsiTheme="minorHAnsi"/>
                <w:sz w:val="18"/>
                <w:szCs w:val="18"/>
                <w:lang w:val="en-US"/>
              </w:rPr>
              <w:t>.</w:t>
            </w:r>
          </w:p>
          <w:p w:rsidR="00496982" w:rsidRPr="00476099" w:rsidRDefault="00496982" w:rsidP="00496982">
            <w:pPr>
              <w:spacing w:before="60" w:line="240" w:lineRule="auto"/>
              <w:jc w:val="both"/>
              <w:rPr>
                <w:rFonts w:asciiTheme="minorHAnsi" w:hAnsiTheme="minorHAnsi"/>
                <w:sz w:val="18"/>
                <w:szCs w:val="18"/>
                <w:lang w:val="en-US"/>
              </w:rPr>
            </w:pPr>
            <w:r w:rsidRPr="00476099">
              <w:rPr>
                <w:rFonts w:asciiTheme="minorHAnsi" w:hAnsiTheme="minorHAnsi"/>
                <w:sz w:val="18"/>
                <w:szCs w:val="18"/>
                <w:lang w:val="en-US"/>
              </w:rPr>
              <w:t xml:space="preserve">Full-time equivalent: Jobs can be full time, part time or seasonal. Seasonal and part time jobs are to be converted to FTE using ILO/statistical/other standards. In the field of RTD the duration of jobs tends to be shorter (“project support”). The jobs created for </w:t>
            </w:r>
            <w:r w:rsidRPr="00476099">
              <w:rPr>
                <w:rFonts w:asciiTheme="minorHAnsi" w:hAnsiTheme="minorHAnsi"/>
                <w:i/>
                <w:iCs/>
                <w:sz w:val="18"/>
                <w:szCs w:val="18"/>
                <w:lang w:val="en-US"/>
              </w:rPr>
              <w:t xml:space="preserve">different </w:t>
            </w:r>
            <w:r w:rsidRPr="00476099">
              <w:rPr>
                <w:rFonts w:asciiTheme="minorHAnsi" w:hAnsiTheme="minorHAnsi"/>
                <w:sz w:val="18"/>
                <w:szCs w:val="18"/>
                <w:lang w:val="en-US"/>
              </w:rPr>
              <w:t>projects should be added up (provided that all projects receive support); this is not regarded as multiple counting.</w:t>
            </w:r>
            <w:r w:rsidRPr="00476099">
              <w:rPr>
                <w:rFonts w:asciiTheme="minorHAnsi" w:hAnsiTheme="minorHAnsi"/>
                <w:i/>
                <w:iCs/>
                <w:sz w:val="18"/>
                <w:szCs w:val="18"/>
                <w:lang w:val="en-US"/>
              </w:rPr>
              <w:t xml:space="preserve"> </w:t>
            </w:r>
          </w:p>
          <w:p w:rsidR="00496982" w:rsidRPr="00476099" w:rsidRDefault="00496982" w:rsidP="00496982">
            <w:pPr>
              <w:pStyle w:val="Default"/>
              <w:jc w:val="both"/>
              <w:rPr>
                <w:rFonts w:asciiTheme="minorHAnsi" w:hAnsiTheme="minorHAnsi"/>
                <w:sz w:val="18"/>
                <w:szCs w:val="18"/>
                <w:lang w:val="en-US"/>
              </w:rPr>
            </w:pPr>
          </w:p>
          <w:p w:rsidR="00496982" w:rsidRPr="00476099" w:rsidRDefault="00496982" w:rsidP="00496982">
            <w:pPr>
              <w:spacing w:before="60" w:line="240" w:lineRule="auto"/>
              <w:jc w:val="both"/>
              <w:rPr>
                <w:rFonts w:asciiTheme="minorHAnsi" w:hAnsiTheme="minorHAnsi"/>
                <w:sz w:val="18"/>
                <w:szCs w:val="18"/>
              </w:rPr>
            </w:pPr>
            <w:r w:rsidRPr="00476099">
              <w:rPr>
                <w:rFonts w:asciiTheme="minorHAnsi" w:hAnsiTheme="minorHAnsi"/>
                <w:sz w:val="18"/>
                <w:szCs w:val="18"/>
              </w:rPr>
              <w:t xml:space="preserve">Tłumaczenie robocze: </w:t>
            </w:r>
            <w:r w:rsidRPr="00476099">
              <w:rPr>
                <w:rFonts w:asciiTheme="minorHAnsi" w:hAnsiTheme="minorHAnsi"/>
                <w:color w:val="000000" w:themeColor="text1"/>
                <w:sz w:val="18"/>
                <w:szCs w:val="18"/>
              </w:rPr>
              <w:t xml:space="preserve">Nowe miejsca pracy brutto (wcześniej nieistniejące) utworzone bezpośrednio do prowadzenia działalności w zakresie B+R wyrażone w ekwiwalencie pełnego czasu pracy. Miejsce pracy musi być rezultatem wdrożonego projektu i musi uwzględniać </w:t>
            </w:r>
            <w:r w:rsidRPr="00476099">
              <w:rPr>
                <w:rFonts w:asciiTheme="minorHAnsi" w:hAnsiTheme="minorHAnsi"/>
                <w:sz w:val="18"/>
                <w:szCs w:val="18"/>
              </w:rPr>
              <w:t xml:space="preserve">obsadzone miejsca pracy (wakaty nie są liczone), które zwiększają łączną liczbę miejsc pracy w organizacji. </w:t>
            </w:r>
            <w:r w:rsidRPr="00476099">
              <w:rPr>
                <w:rFonts w:asciiTheme="minorHAnsi" w:hAnsiTheme="minorHAnsi"/>
                <w:color w:val="000000" w:themeColor="text1"/>
                <w:sz w:val="18"/>
                <w:szCs w:val="18"/>
              </w:rPr>
              <w:t>Personel pomocniczy dla B+R (tzn. zawody niezwiązane bezpośrednio z czynnościami badawczymi) nie jest uwzględniany. Wskaźnik skupia się na zatrudnionym personelu; wspierana jednostka może być nowa lub już istniejąca.</w:t>
            </w:r>
          </w:p>
          <w:p w:rsidR="00496982" w:rsidRPr="00476099" w:rsidRDefault="00496982" w:rsidP="00496982">
            <w:pPr>
              <w:spacing w:before="60" w:line="240" w:lineRule="auto"/>
              <w:jc w:val="both"/>
              <w:rPr>
                <w:rFonts w:asciiTheme="minorHAnsi" w:hAnsiTheme="minorHAnsi"/>
                <w:color w:val="000000" w:themeColor="text1"/>
                <w:sz w:val="18"/>
                <w:szCs w:val="18"/>
              </w:rPr>
            </w:pPr>
            <w:r w:rsidRPr="00476099">
              <w:rPr>
                <w:rFonts w:asciiTheme="minorHAnsi" w:hAnsiTheme="minorHAnsi"/>
                <w:color w:val="000000" w:themeColor="text1"/>
                <w:sz w:val="18"/>
                <w:szCs w:val="18"/>
              </w:rPr>
              <w:t>Brutto: Nie uwzględnia się miejsca pracy otrzymanego w wyniku zmian wewnątrz organizacji dopóki nie przyczyni się to do całkowitego wzrostu liczby badawczych miejsc pracy w organizacji.</w:t>
            </w:r>
          </w:p>
          <w:p w:rsidR="00496982" w:rsidRPr="00476099" w:rsidRDefault="00496982" w:rsidP="00496982">
            <w:pPr>
              <w:spacing w:before="60" w:line="240" w:lineRule="auto"/>
              <w:jc w:val="both"/>
              <w:rPr>
                <w:rFonts w:asciiTheme="minorHAnsi" w:hAnsiTheme="minorHAnsi"/>
                <w:color w:val="000000" w:themeColor="text1"/>
                <w:sz w:val="18"/>
                <w:szCs w:val="18"/>
              </w:rPr>
            </w:pPr>
          </w:p>
          <w:p w:rsidR="00496982" w:rsidRPr="00476099" w:rsidRDefault="00496982" w:rsidP="00496982">
            <w:pPr>
              <w:pStyle w:val="TableParagraph"/>
              <w:spacing w:line="217" w:lineRule="auto"/>
              <w:ind w:left="81" w:right="87" w:hanging="1"/>
              <w:jc w:val="both"/>
              <w:rPr>
                <w:rFonts w:eastAsia="Times New Roman" w:cs="Times New Roman"/>
                <w:color w:val="000000" w:themeColor="text1"/>
                <w:sz w:val="18"/>
                <w:szCs w:val="18"/>
              </w:rPr>
            </w:pPr>
            <w:r w:rsidRPr="00476099">
              <w:rPr>
                <w:sz w:val="18"/>
                <w:szCs w:val="18"/>
                <w:lang w:eastAsia="en-US"/>
              </w:rPr>
              <w:t xml:space="preserve">Ekwiwalent pełnego czasu pracy (EPC): miejsca pracy mogą dotyczyć pełnego wymiaru, niepełnego wymiaru godzin lub być sezonowe. Miejsca pracy sezonowe i niepełny wymiar czasu pracy przelicza się na EPC z wykorzystaniem standardów MOP/statystycznych/innych. </w:t>
            </w:r>
            <w:r w:rsidRPr="00476099">
              <w:rPr>
                <w:rFonts w:eastAsia="Times New Roman" w:cs="Times New Roman"/>
                <w:sz w:val="18"/>
                <w:szCs w:val="18"/>
              </w:rPr>
              <w:t xml:space="preserve">W </w:t>
            </w:r>
            <w:r w:rsidRPr="00476099">
              <w:rPr>
                <w:rFonts w:eastAsia="Times New Roman" w:cs="Times New Roman"/>
                <w:color w:val="000000" w:themeColor="text1"/>
                <w:sz w:val="18"/>
                <w:szCs w:val="18"/>
              </w:rPr>
              <w:t xml:space="preserve">sektorze B+R okres trwania pracy może być krótszy ("wspieranie projektu") Stanowiska pracy stworzone dla </w:t>
            </w:r>
            <w:r w:rsidRPr="00476099">
              <w:rPr>
                <w:rFonts w:eastAsia="Times New Roman" w:cs="Times New Roman"/>
                <w:i/>
                <w:iCs/>
                <w:color w:val="000000" w:themeColor="text1"/>
                <w:sz w:val="18"/>
                <w:szCs w:val="18"/>
              </w:rPr>
              <w:t>różnych</w:t>
            </w:r>
            <w:r w:rsidRPr="00476099">
              <w:rPr>
                <w:rFonts w:eastAsia="Times New Roman" w:cs="Times New Roman"/>
                <w:color w:val="000000" w:themeColor="text1"/>
                <w:sz w:val="18"/>
                <w:szCs w:val="18"/>
              </w:rPr>
              <w:t xml:space="preserve"> projektów powinny być zsumowane (pod warunkiem, że wszystkie projekty otrzymują wsparcie); nie jest to postrzegane jako wielokrotne liczenie.</w:t>
            </w:r>
          </w:p>
          <w:p w:rsidR="00496982" w:rsidRPr="00476099" w:rsidRDefault="00496982" w:rsidP="00496982">
            <w:pPr>
              <w:pStyle w:val="Default"/>
              <w:jc w:val="both"/>
              <w:rPr>
                <w:rFonts w:asciiTheme="minorHAnsi" w:hAnsiTheme="minorHAnsi"/>
                <w:sz w:val="18"/>
                <w:szCs w:val="18"/>
              </w:rPr>
            </w:pPr>
          </w:p>
        </w:tc>
        <w:tc>
          <w:tcPr>
            <w:tcW w:w="1508" w:type="dxa"/>
            <w:vAlign w:val="center"/>
          </w:tcPr>
          <w:p w:rsidR="00496982" w:rsidRDefault="00496982" w:rsidP="00496982">
            <w:pPr>
              <w:spacing w:line="240" w:lineRule="auto"/>
              <w:jc w:val="center"/>
              <w:rPr>
                <w:rFonts w:asciiTheme="minorHAnsi" w:hAnsiTheme="minorHAnsi"/>
                <w:szCs w:val="22"/>
              </w:rPr>
            </w:pPr>
            <w:r>
              <w:rPr>
                <w:rFonts w:asciiTheme="minorHAnsi" w:hAnsiTheme="minorHAnsi"/>
                <w:szCs w:val="22"/>
              </w:rPr>
              <w:lastRenderedPageBreak/>
              <w:t>SZOOP RPO WD 2014-2020</w:t>
            </w:r>
          </w:p>
        </w:tc>
      </w:tr>
      <w:tr w:rsidR="00496982" w:rsidRPr="00911273" w:rsidTr="00476099">
        <w:trPr>
          <w:trHeight w:val="122"/>
        </w:trPr>
        <w:tc>
          <w:tcPr>
            <w:tcW w:w="2266" w:type="dxa"/>
            <w:shd w:val="clear" w:color="auto" w:fill="auto"/>
            <w:vAlign w:val="center"/>
          </w:tcPr>
          <w:p w:rsidR="00496982" w:rsidRDefault="00496982" w:rsidP="00496982">
            <w:pPr>
              <w:spacing w:before="60" w:after="60" w:line="240" w:lineRule="auto"/>
              <w:jc w:val="center"/>
              <w:rPr>
                <w:rFonts w:asciiTheme="minorHAnsi" w:hAnsiTheme="minorHAnsi" w:cs="Arial"/>
                <w:szCs w:val="22"/>
              </w:rPr>
            </w:pPr>
            <w:r w:rsidRPr="00C904D5">
              <w:rPr>
                <w:rFonts w:asciiTheme="minorHAnsi" w:hAnsiTheme="minorHAnsi" w:cs="Arial"/>
                <w:szCs w:val="22"/>
              </w:rPr>
              <w:lastRenderedPageBreak/>
              <w:t>Liczba przedsiębiorstw współpracujących z ośrodkami badawczymi</w:t>
            </w:r>
          </w:p>
          <w:p w:rsidR="00496982" w:rsidRPr="00C904D5" w:rsidRDefault="00496982" w:rsidP="00496982">
            <w:pPr>
              <w:spacing w:before="60" w:after="60" w:line="240" w:lineRule="auto"/>
              <w:jc w:val="center"/>
              <w:rPr>
                <w:rFonts w:asciiTheme="minorHAnsi" w:hAnsiTheme="minorHAnsi" w:cs="Arial"/>
                <w:szCs w:val="22"/>
              </w:rPr>
            </w:pPr>
            <w:r>
              <w:rPr>
                <w:rFonts w:asciiTheme="minorHAnsi" w:hAnsiTheme="minorHAnsi" w:cs="Arial"/>
                <w:szCs w:val="22"/>
              </w:rPr>
              <w:t>(CI 26)</w:t>
            </w:r>
          </w:p>
        </w:tc>
        <w:tc>
          <w:tcPr>
            <w:tcW w:w="1508" w:type="dxa"/>
            <w:vAlign w:val="center"/>
          </w:tcPr>
          <w:p w:rsidR="00496982" w:rsidRDefault="00496982" w:rsidP="00496982">
            <w:pPr>
              <w:spacing w:line="240" w:lineRule="auto"/>
              <w:jc w:val="center"/>
              <w:rPr>
                <w:rFonts w:asciiTheme="minorHAnsi" w:hAnsiTheme="minorHAnsi" w:cs="Arial"/>
                <w:szCs w:val="22"/>
              </w:rPr>
            </w:pPr>
            <w:r>
              <w:rPr>
                <w:rFonts w:asciiTheme="minorHAnsi" w:hAnsiTheme="minorHAnsi" w:cs="Arial"/>
                <w:szCs w:val="22"/>
              </w:rPr>
              <w:t>szt.</w:t>
            </w:r>
          </w:p>
        </w:tc>
        <w:tc>
          <w:tcPr>
            <w:tcW w:w="4680" w:type="dxa"/>
            <w:shd w:val="clear" w:color="auto" w:fill="auto"/>
            <w:vAlign w:val="center"/>
          </w:tcPr>
          <w:p w:rsidR="00496982" w:rsidRPr="00476099" w:rsidRDefault="00496982" w:rsidP="004074F7">
            <w:pPr>
              <w:spacing w:line="240" w:lineRule="auto"/>
              <w:jc w:val="both"/>
              <w:rPr>
                <w:rFonts w:ascii="Calibri" w:hAnsi="Calibri"/>
                <w:sz w:val="18"/>
                <w:szCs w:val="18"/>
                <w:lang w:val="en-US"/>
              </w:rPr>
            </w:pPr>
            <w:r w:rsidRPr="00476099">
              <w:rPr>
                <w:rFonts w:ascii="Calibri" w:hAnsi="Calibri"/>
                <w:sz w:val="18"/>
                <w:szCs w:val="18"/>
                <w:lang w:val="en-US"/>
              </w:rPr>
              <w:t>Number of enterprises that cooperate with research institutions in R&amp;D projects. At least one enterprise and one research institution participates in the project. One or more of the cooperating parties (research institution or enterprise) may receive the support but it must be conditional to the cooperation. The cooperation may be new or existing. The cooperation should last at least for the duration of the project.</w:t>
            </w:r>
          </w:p>
          <w:p w:rsidR="00496982" w:rsidRPr="00476099" w:rsidRDefault="00496982" w:rsidP="004074F7">
            <w:pPr>
              <w:spacing w:before="60" w:line="240" w:lineRule="auto"/>
              <w:jc w:val="both"/>
              <w:rPr>
                <w:rFonts w:ascii="Calibri" w:hAnsi="Calibri"/>
                <w:sz w:val="18"/>
                <w:szCs w:val="18"/>
                <w:lang w:val="en-US"/>
              </w:rPr>
            </w:pPr>
            <w:r w:rsidRPr="00476099">
              <w:rPr>
                <w:rFonts w:ascii="Calibri" w:hAnsi="Calibri"/>
                <w:sz w:val="18"/>
                <w:szCs w:val="18"/>
                <w:lang w:val="en-US"/>
              </w:rPr>
              <w:t xml:space="preserve">Enterprise: </w:t>
            </w:r>
            <w:proofErr w:type="spellStart"/>
            <w:r w:rsidRPr="00476099">
              <w:rPr>
                <w:rFonts w:ascii="Calibri" w:hAnsi="Calibri"/>
                <w:sz w:val="18"/>
                <w:szCs w:val="18"/>
                <w:lang w:val="en-US"/>
              </w:rPr>
              <w:t>Organisation</w:t>
            </w:r>
            <w:proofErr w:type="spellEnd"/>
            <w:r w:rsidRPr="00476099">
              <w:rPr>
                <w:rFonts w:ascii="Calibri" w:hAnsi="Calibri"/>
                <w:sz w:val="18"/>
                <w:szCs w:val="18"/>
                <w:lang w:val="en-US"/>
              </w:rPr>
              <w:t xml:space="preserve"> producing products or services to satisfy market needs in order to reach profit. The origin of the enterprise (inside or outside of the EU) does not matter. In case one enterprise takes the formal lead and others are subcontractors but still interacting with the research institution, all enterprises should be counted. Enterprises cooperating in </w:t>
            </w:r>
            <w:r w:rsidRPr="00476099">
              <w:rPr>
                <w:rFonts w:ascii="Calibri" w:hAnsi="Calibri"/>
                <w:i/>
                <w:iCs/>
                <w:sz w:val="18"/>
                <w:szCs w:val="18"/>
                <w:lang w:val="en-US"/>
              </w:rPr>
              <w:t xml:space="preserve">different </w:t>
            </w:r>
            <w:r w:rsidRPr="00476099">
              <w:rPr>
                <w:rFonts w:ascii="Calibri" w:hAnsi="Calibri"/>
                <w:sz w:val="18"/>
                <w:szCs w:val="18"/>
                <w:lang w:val="en-US"/>
              </w:rPr>
              <w:t>projects should be added up (provided that all projects receive support); this is not regarded as multiple counting.</w:t>
            </w:r>
          </w:p>
          <w:p w:rsidR="00496982" w:rsidRPr="00476099" w:rsidRDefault="00496982" w:rsidP="004074F7">
            <w:pPr>
              <w:spacing w:before="60" w:line="240" w:lineRule="auto"/>
              <w:jc w:val="both"/>
              <w:rPr>
                <w:rFonts w:ascii="Calibri" w:hAnsi="Calibri"/>
                <w:sz w:val="18"/>
                <w:szCs w:val="18"/>
                <w:lang w:val="en-US"/>
              </w:rPr>
            </w:pPr>
            <w:r w:rsidRPr="00476099">
              <w:rPr>
                <w:rFonts w:ascii="Calibri" w:hAnsi="Calibri"/>
                <w:sz w:val="18"/>
                <w:szCs w:val="18"/>
                <w:lang w:val="en-US"/>
              </w:rPr>
              <w:t xml:space="preserve">Research institution: an </w:t>
            </w:r>
            <w:proofErr w:type="spellStart"/>
            <w:r w:rsidRPr="00476099">
              <w:rPr>
                <w:rFonts w:ascii="Calibri" w:hAnsi="Calibri"/>
                <w:sz w:val="18"/>
                <w:szCs w:val="18"/>
                <w:lang w:val="en-US"/>
              </w:rPr>
              <w:t>organisation</w:t>
            </w:r>
            <w:proofErr w:type="spellEnd"/>
            <w:r w:rsidRPr="00476099">
              <w:rPr>
                <w:rFonts w:ascii="Calibri" w:hAnsi="Calibri"/>
                <w:sz w:val="18"/>
                <w:szCs w:val="18"/>
                <w:lang w:val="en-US"/>
              </w:rPr>
              <w:t xml:space="preserve"> of which R&amp;D is a primary activity.</w:t>
            </w:r>
          </w:p>
          <w:p w:rsidR="00496982" w:rsidRPr="00476099" w:rsidRDefault="00496982" w:rsidP="004074F7">
            <w:pPr>
              <w:pStyle w:val="Default"/>
              <w:jc w:val="both"/>
              <w:rPr>
                <w:rFonts w:ascii="Calibri" w:hAnsi="Calibri"/>
                <w:sz w:val="18"/>
                <w:szCs w:val="18"/>
                <w:lang w:val="en-US"/>
              </w:rPr>
            </w:pPr>
          </w:p>
          <w:p w:rsidR="00496982" w:rsidRPr="00476099" w:rsidRDefault="004074F7" w:rsidP="00476099">
            <w:pPr>
              <w:spacing w:before="0" w:line="240" w:lineRule="auto"/>
              <w:jc w:val="both"/>
              <w:rPr>
                <w:rFonts w:ascii="Calibri" w:hAnsi="Calibri" w:cs="Arial"/>
                <w:sz w:val="18"/>
                <w:szCs w:val="18"/>
              </w:rPr>
            </w:pPr>
            <w:r w:rsidRPr="00476099">
              <w:rPr>
                <w:rFonts w:ascii="Calibri" w:hAnsi="Calibri" w:cs="Arial"/>
                <w:sz w:val="18"/>
                <w:szCs w:val="18"/>
              </w:rPr>
              <w:t>Jako ośrodki badawcze należy wykazywać jednostki naukowe w rozumieniu ustawy o zasadach finansowania nauki.</w:t>
            </w:r>
          </w:p>
        </w:tc>
        <w:tc>
          <w:tcPr>
            <w:tcW w:w="1508" w:type="dxa"/>
            <w:vAlign w:val="center"/>
          </w:tcPr>
          <w:p w:rsidR="00496982" w:rsidRDefault="00496982" w:rsidP="00496982">
            <w:pPr>
              <w:spacing w:line="240" w:lineRule="auto"/>
              <w:jc w:val="center"/>
              <w:rPr>
                <w:rFonts w:asciiTheme="minorHAnsi" w:hAnsiTheme="minorHAnsi"/>
                <w:szCs w:val="22"/>
              </w:rPr>
            </w:pPr>
            <w:r>
              <w:rPr>
                <w:rFonts w:asciiTheme="minorHAnsi" w:hAnsiTheme="minorHAnsi"/>
                <w:szCs w:val="22"/>
              </w:rPr>
              <w:t>SZOOP RPO WD 2014-2020</w:t>
            </w:r>
          </w:p>
        </w:tc>
      </w:tr>
      <w:tr w:rsidR="00496982" w:rsidRPr="00911273" w:rsidTr="003F502A">
        <w:trPr>
          <w:trHeight w:val="20"/>
        </w:trPr>
        <w:tc>
          <w:tcPr>
            <w:tcW w:w="2266" w:type="dxa"/>
            <w:shd w:val="clear" w:color="auto" w:fill="auto"/>
            <w:vAlign w:val="center"/>
          </w:tcPr>
          <w:p w:rsidR="00496982" w:rsidRPr="00AA6B29" w:rsidRDefault="00496982" w:rsidP="00496982">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lastRenderedPageBreak/>
              <w:t>Liczba obiektów dostosowanych do potrzeb osób z niepełnosprawnościami</w:t>
            </w:r>
          </w:p>
        </w:tc>
        <w:tc>
          <w:tcPr>
            <w:tcW w:w="1508" w:type="dxa"/>
            <w:vAlign w:val="center"/>
          </w:tcPr>
          <w:p w:rsidR="00496982" w:rsidRPr="00AA6B29" w:rsidRDefault="00496982" w:rsidP="00496982">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szt.</w:t>
            </w:r>
          </w:p>
        </w:tc>
        <w:tc>
          <w:tcPr>
            <w:tcW w:w="4680" w:type="dxa"/>
            <w:shd w:val="clear" w:color="auto" w:fill="auto"/>
            <w:vAlign w:val="center"/>
          </w:tcPr>
          <w:p w:rsidR="00496982" w:rsidRPr="00476099" w:rsidRDefault="00496982" w:rsidP="00496982">
            <w:pPr>
              <w:spacing w:before="0" w:line="240" w:lineRule="auto"/>
              <w:jc w:val="both"/>
              <w:rPr>
                <w:rFonts w:asciiTheme="minorHAnsi" w:eastAsiaTheme="minorHAnsi" w:hAnsiTheme="minorHAnsi"/>
                <w:sz w:val="18"/>
                <w:szCs w:val="18"/>
                <w:lang w:eastAsia="en-US"/>
              </w:rPr>
            </w:pPr>
            <w:r w:rsidRPr="00476099">
              <w:rPr>
                <w:rFonts w:asciiTheme="minorHAnsi" w:eastAsiaTheme="minorHAnsi" w:hAnsiTheme="minorHAnsi"/>
                <w:sz w:val="18"/>
                <w:szCs w:val="18"/>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496982" w:rsidRPr="00476099" w:rsidRDefault="00496982" w:rsidP="00496982">
            <w:pPr>
              <w:spacing w:before="0" w:line="240" w:lineRule="auto"/>
              <w:jc w:val="both"/>
              <w:rPr>
                <w:rFonts w:asciiTheme="minorHAnsi" w:eastAsiaTheme="minorHAnsi" w:hAnsiTheme="minorHAnsi"/>
                <w:sz w:val="18"/>
                <w:szCs w:val="18"/>
                <w:lang w:eastAsia="en-US"/>
              </w:rPr>
            </w:pPr>
            <w:r w:rsidRPr="00476099">
              <w:rPr>
                <w:rFonts w:asciiTheme="minorHAnsi" w:eastAsiaTheme="minorHAnsi" w:hAnsiTheme="minorHAnsi"/>
                <w:sz w:val="18"/>
                <w:szCs w:val="18"/>
                <w:lang w:eastAsia="en-US"/>
              </w:rPr>
              <w:t>Jako obiekty budowlane należy rozumieć konstrukcje połączone z gruntem w sposób trwały, wykonane z materiałów budowlanych i elementów składowych, będące wynikiem prac budowlanych (wg. def. PKOB).</w:t>
            </w:r>
          </w:p>
          <w:p w:rsidR="00496982" w:rsidRPr="00476099" w:rsidRDefault="00496982" w:rsidP="00496982">
            <w:pPr>
              <w:spacing w:before="0" w:line="240" w:lineRule="auto"/>
              <w:jc w:val="both"/>
              <w:rPr>
                <w:rFonts w:asciiTheme="minorHAnsi" w:eastAsiaTheme="minorHAnsi" w:hAnsiTheme="minorHAnsi"/>
                <w:sz w:val="18"/>
                <w:szCs w:val="18"/>
                <w:lang w:eastAsia="en-US"/>
              </w:rPr>
            </w:pPr>
            <w:r w:rsidRPr="00476099">
              <w:rPr>
                <w:rFonts w:asciiTheme="minorHAnsi" w:eastAsiaTheme="minorHAnsi" w:hAnsiTheme="minorHAnsi"/>
                <w:sz w:val="18"/>
                <w:szCs w:val="18"/>
                <w:lang w:eastAsia="en-US"/>
              </w:rPr>
              <w:t>Należy podać liczbę obiektów, a nie sprzętów, urządzeń itp., w które obiekty zaopatrzono.</w:t>
            </w:r>
          </w:p>
          <w:p w:rsidR="00496982" w:rsidRPr="00476099" w:rsidRDefault="00496982" w:rsidP="00496982">
            <w:pPr>
              <w:spacing w:before="0" w:line="240" w:lineRule="auto"/>
              <w:jc w:val="both"/>
              <w:rPr>
                <w:rFonts w:asciiTheme="minorHAnsi" w:eastAsiaTheme="minorHAnsi" w:hAnsiTheme="minorHAnsi"/>
                <w:sz w:val="18"/>
                <w:szCs w:val="18"/>
                <w:lang w:eastAsia="en-US"/>
              </w:rPr>
            </w:pPr>
            <w:r w:rsidRPr="00476099">
              <w:rPr>
                <w:rFonts w:asciiTheme="minorHAnsi" w:eastAsiaTheme="minorHAnsi" w:hAnsiTheme="minorHAnsi"/>
                <w:sz w:val="18"/>
                <w:szCs w:val="18"/>
                <w:lang w:eastAsia="en-US"/>
              </w:rPr>
              <w:t>Jeśli instytucja, zakład itp. składa się z kilku obiektów, należy zliczyć wszystkie, które dostosowano do potrzeb osób niepełnosprawnych.</w:t>
            </w:r>
          </w:p>
        </w:tc>
        <w:tc>
          <w:tcPr>
            <w:tcW w:w="1508" w:type="dxa"/>
            <w:vAlign w:val="center"/>
          </w:tcPr>
          <w:p w:rsidR="00496982" w:rsidRPr="00AA6B29" w:rsidRDefault="00496982" w:rsidP="00496982">
            <w:pPr>
              <w:spacing w:line="240" w:lineRule="auto"/>
              <w:jc w:val="center"/>
              <w:rPr>
                <w:rFonts w:asciiTheme="minorHAnsi" w:hAnsiTheme="minorHAnsi"/>
                <w:szCs w:val="22"/>
              </w:rPr>
            </w:pPr>
            <w:r>
              <w:rPr>
                <w:rFonts w:asciiTheme="minorHAnsi" w:hAnsiTheme="minorHAnsi"/>
                <w:szCs w:val="22"/>
              </w:rPr>
              <w:t>h</w:t>
            </w:r>
            <w:r w:rsidRPr="00AA6B29">
              <w:rPr>
                <w:rFonts w:asciiTheme="minorHAnsi" w:hAnsiTheme="minorHAnsi"/>
                <w:szCs w:val="22"/>
              </w:rPr>
              <w:t>oryzontalny</w:t>
            </w:r>
          </w:p>
        </w:tc>
      </w:tr>
      <w:tr w:rsidR="00496982" w:rsidRPr="00911273" w:rsidTr="003F502A">
        <w:trPr>
          <w:trHeight w:val="3018"/>
        </w:trPr>
        <w:tc>
          <w:tcPr>
            <w:tcW w:w="2266" w:type="dxa"/>
            <w:shd w:val="clear" w:color="auto" w:fill="auto"/>
            <w:vAlign w:val="center"/>
          </w:tcPr>
          <w:p w:rsidR="00496982" w:rsidRPr="00AA6B29" w:rsidRDefault="00496982" w:rsidP="00496982">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Liczba podmiotów wykorzystujących technologie informacyjno-komunikacyjne (TIK)</w:t>
            </w:r>
          </w:p>
        </w:tc>
        <w:tc>
          <w:tcPr>
            <w:tcW w:w="1508" w:type="dxa"/>
            <w:vAlign w:val="center"/>
          </w:tcPr>
          <w:p w:rsidR="00496982" w:rsidRPr="00AA6B29" w:rsidRDefault="00496982" w:rsidP="00496982">
            <w:pPr>
              <w:spacing w:before="0" w:line="240" w:lineRule="auto"/>
              <w:jc w:val="center"/>
              <w:rPr>
                <w:rFonts w:asciiTheme="minorHAnsi" w:eastAsiaTheme="minorHAnsi" w:hAnsiTheme="minorHAnsi"/>
                <w:szCs w:val="22"/>
                <w:lang w:eastAsia="en-US"/>
              </w:rPr>
            </w:pPr>
            <w:r>
              <w:rPr>
                <w:rFonts w:asciiTheme="minorHAnsi" w:eastAsiaTheme="minorHAnsi" w:hAnsiTheme="minorHAnsi"/>
                <w:szCs w:val="22"/>
                <w:lang w:eastAsia="en-US"/>
              </w:rPr>
              <w:t>szt.</w:t>
            </w:r>
          </w:p>
        </w:tc>
        <w:tc>
          <w:tcPr>
            <w:tcW w:w="4680" w:type="dxa"/>
            <w:shd w:val="clear" w:color="auto" w:fill="auto"/>
            <w:vAlign w:val="center"/>
          </w:tcPr>
          <w:p w:rsidR="00496982" w:rsidRPr="00476099" w:rsidRDefault="00496982" w:rsidP="00496982">
            <w:pPr>
              <w:spacing w:before="0" w:line="240" w:lineRule="auto"/>
              <w:jc w:val="both"/>
              <w:rPr>
                <w:rFonts w:asciiTheme="minorHAnsi" w:eastAsiaTheme="minorHAnsi" w:hAnsiTheme="minorHAnsi"/>
                <w:sz w:val="18"/>
                <w:szCs w:val="18"/>
                <w:lang w:eastAsia="en-US"/>
              </w:rPr>
            </w:pPr>
            <w:r w:rsidRPr="00476099">
              <w:rPr>
                <w:rFonts w:asciiTheme="minorHAnsi" w:eastAsiaTheme="minorHAnsi" w:hAnsiTheme="minorHAnsi"/>
                <w:sz w:val="18"/>
                <w:szCs w:val="18"/>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96982" w:rsidRPr="00476099" w:rsidRDefault="00496982" w:rsidP="00496982">
            <w:pPr>
              <w:spacing w:before="0" w:line="240" w:lineRule="auto"/>
              <w:jc w:val="both"/>
              <w:rPr>
                <w:rFonts w:asciiTheme="minorHAnsi" w:eastAsiaTheme="minorHAnsi" w:hAnsiTheme="minorHAnsi"/>
                <w:sz w:val="18"/>
                <w:szCs w:val="18"/>
                <w:lang w:eastAsia="en-US"/>
              </w:rPr>
            </w:pPr>
          </w:p>
          <w:p w:rsidR="00496982" w:rsidRPr="00476099" w:rsidRDefault="00496982" w:rsidP="00496982">
            <w:pPr>
              <w:spacing w:before="0" w:line="240" w:lineRule="auto"/>
              <w:jc w:val="both"/>
              <w:rPr>
                <w:rFonts w:asciiTheme="minorHAnsi" w:eastAsiaTheme="minorHAnsi" w:hAnsiTheme="minorHAnsi"/>
                <w:sz w:val="18"/>
                <w:szCs w:val="18"/>
                <w:lang w:eastAsia="en-US"/>
              </w:rPr>
            </w:pPr>
            <w:r w:rsidRPr="00476099">
              <w:rPr>
                <w:rFonts w:asciiTheme="minorHAnsi" w:eastAsiaTheme="minorHAnsi" w:hAnsiTheme="minorHAnsi"/>
                <w:sz w:val="18"/>
                <w:szCs w:val="18"/>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496982" w:rsidRPr="00476099" w:rsidRDefault="00496982" w:rsidP="00496982">
            <w:pPr>
              <w:spacing w:before="0" w:line="240" w:lineRule="auto"/>
              <w:jc w:val="both"/>
              <w:rPr>
                <w:rFonts w:asciiTheme="minorHAnsi" w:eastAsiaTheme="minorHAnsi" w:hAnsiTheme="minorHAnsi"/>
                <w:sz w:val="18"/>
                <w:szCs w:val="18"/>
                <w:lang w:eastAsia="en-US"/>
              </w:rPr>
            </w:pPr>
          </w:p>
          <w:p w:rsidR="00496982" w:rsidRPr="00476099" w:rsidRDefault="00496982" w:rsidP="00496982">
            <w:pPr>
              <w:spacing w:before="0" w:line="240" w:lineRule="auto"/>
              <w:jc w:val="both"/>
              <w:rPr>
                <w:rFonts w:asciiTheme="minorHAnsi" w:eastAsiaTheme="minorHAnsi" w:hAnsiTheme="minorHAnsi"/>
                <w:sz w:val="18"/>
                <w:szCs w:val="18"/>
                <w:lang w:eastAsia="en-US"/>
              </w:rPr>
            </w:pPr>
          </w:p>
          <w:p w:rsidR="00496982" w:rsidRPr="00476099" w:rsidRDefault="00496982" w:rsidP="00496982">
            <w:pPr>
              <w:spacing w:before="0" w:line="240" w:lineRule="auto"/>
              <w:jc w:val="both"/>
              <w:rPr>
                <w:rFonts w:asciiTheme="minorHAnsi" w:eastAsiaTheme="minorHAnsi" w:hAnsiTheme="minorHAnsi"/>
                <w:sz w:val="18"/>
                <w:szCs w:val="18"/>
                <w:lang w:eastAsia="en-US"/>
              </w:rPr>
            </w:pPr>
            <w:r w:rsidRPr="00476099">
              <w:rPr>
                <w:rFonts w:asciiTheme="minorHAnsi" w:eastAsiaTheme="minorHAnsi" w:hAnsiTheme="minorHAnsi"/>
                <w:sz w:val="18"/>
                <w:szCs w:val="18"/>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496982" w:rsidRPr="00476099" w:rsidRDefault="00496982" w:rsidP="00496982">
            <w:pPr>
              <w:spacing w:before="0" w:line="240" w:lineRule="auto"/>
              <w:jc w:val="both"/>
              <w:rPr>
                <w:rFonts w:asciiTheme="minorHAnsi" w:eastAsiaTheme="minorHAnsi" w:hAnsiTheme="minorHAnsi"/>
                <w:sz w:val="18"/>
                <w:szCs w:val="18"/>
                <w:lang w:eastAsia="en-US"/>
              </w:rPr>
            </w:pPr>
          </w:p>
          <w:p w:rsidR="00496982" w:rsidRPr="00476099" w:rsidRDefault="00496982" w:rsidP="00496982">
            <w:pPr>
              <w:spacing w:before="0" w:line="240" w:lineRule="auto"/>
              <w:jc w:val="both"/>
              <w:rPr>
                <w:rFonts w:asciiTheme="minorHAnsi" w:eastAsiaTheme="minorHAnsi" w:hAnsiTheme="minorHAnsi"/>
                <w:sz w:val="18"/>
                <w:szCs w:val="18"/>
                <w:lang w:eastAsia="en-US"/>
              </w:rPr>
            </w:pPr>
            <w:r w:rsidRPr="00476099">
              <w:rPr>
                <w:rFonts w:asciiTheme="minorHAnsi" w:eastAsiaTheme="minorHAnsi" w:hAnsiTheme="minorHAnsi"/>
                <w:sz w:val="18"/>
                <w:szCs w:val="18"/>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1508" w:type="dxa"/>
            <w:vAlign w:val="center"/>
          </w:tcPr>
          <w:p w:rsidR="00496982" w:rsidRPr="00AA6B29" w:rsidRDefault="00496982" w:rsidP="00496982">
            <w:pPr>
              <w:spacing w:line="240" w:lineRule="auto"/>
              <w:jc w:val="center"/>
              <w:rPr>
                <w:rFonts w:asciiTheme="minorHAnsi" w:hAnsiTheme="minorHAnsi"/>
                <w:szCs w:val="22"/>
              </w:rPr>
            </w:pPr>
            <w:r>
              <w:rPr>
                <w:rFonts w:asciiTheme="minorHAnsi" w:hAnsiTheme="minorHAnsi"/>
                <w:szCs w:val="22"/>
              </w:rPr>
              <w:t>horyzontalny</w:t>
            </w:r>
          </w:p>
        </w:tc>
      </w:tr>
      <w:tr w:rsidR="00496982" w:rsidRPr="00911273" w:rsidTr="003F502A">
        <w:trPr>
          <w:trHeight w:val="3018"/>
        </w:trPr>
        <w:tc>
          <w:tcPr>
            <w:tcW w:w="2266" w:type="dxa"/>
            <w:shd w:val="clear" w:color="auto" w:fill="auto"/>
            <w:vAlign w:val="center"/>
          </w:tcPr>
          <w:p w:rsidR="00496982" w:rsidRPr="00AA6B29" w:rsidRDefault="00496982" w:rsidP="00496982">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Liczba osób objętych szkoleniami / doradztwem w zakresie kompetencji cyfrowych O/K/M</w:t>
            </w:r>
          </w:p>
        </w:tc>
        <w:tc>
          <w:tcPr>
            <w:tcW w:w="1508" w:type="dxa"/>
            <w:vAlign w:val="center"/>
          </w:tcPr>
          <w:p w:rsidR="00496982" w:rsidRPr="00AA6B29" w:rsidRDefault="00496982" w:rsidP="00496982">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t>osoby</w:t>
            </w:r>
          </w:p>
        </w:tc>
        <w:tc>
          <w:tcPr>
            <w:tcW w:w="4680" w:type="dxa"/>
            <w:shd w:val="clear" w:color="auto" w:fill="auto"/>
            <w:vAlign w:val="center"/>
          </w:tcPr>
          <w:p w:rsidR="00496982" w:rsidRPr="00476099" w:rsidRDefault="00496982" w:rsidP="00496982">
            <w:pPr>
              <w:spacing w:before="0" w:line="240" w:lineRule="auto"/>
              <w:jc w:val="both"/>
              <w:rPr>
                <w:rFonts w:asciiTheme="minorHAnsi" w:eastAsiaTheme="minorHAnsi" w:hAnsiTheme="minorHAnsi"/>
                <w:sz w:val="18"/>
                <w:szCs w:val="18"/>
                <w:lang w:eastAsia="en-US"/>
              </w:rPr>
            </w:pPr>
            <w:r w:rsidRPr="00476099">
              <w:rPr>
                <w:rFonts w:asciiTheme="minorHAnsi" w:eastAsiaTheme="minorHAnsi" w:hAnsiTheme="minorHAnsi"/>
                <w:sz w:val="18"/>
                <w:szCs w:val="18"/>
                <w:lang w:eastAsia="en-US"/>
              </w:rPr>
              <w:t>Wskaźnik mierzy liczbę osób objętych szkoleniami/doradztwem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tc>
        <w:tc>
          <w:tcPr>
            <w:tcW w:w="1508" w:type="dxa"/>
            <w:vAlign w:val="center"/>
          </w:tcPr>
          <w:p w:rsidR="00496982" w:rsidRPr="00AA6B29" w:rsidRDefault="00496982" w:rsidP="00496982">
            <w:pPr>
              <w:spacing w:line="240" w:lineRule="auto"/>
              <w:jc w:val="center"/>
              <w:rPr>
                <w:rFonts w:asciiTheme="minorHAnsi" w:hAnsiTheme="minorHAnsi"/>
                <w:szCs w:val="22"/>
              </w:rPr>
            </w:pPr>
            <w:r>
              <w:rPr>
                <w:rFonts w:asciiTheme="minorHAnsi" w:hAnsiTheme="minorHAnsi"/>
                <w:szCs w:val="22"/>
              </w:rPr>
              <w:t>h</w:t>
            </w:r>
            <w:r w:rsidRPr="00AA6B29">
              <w:rPr>
                <w:rFonts w:asciiTheme="minorHAnsi" w:hAnsiTheme="minorHAnsi"/>
                <w:szCs w:val="22"/>
              </w:rPr>
              <w:t>oryzontalny</w:t>
            </w:r>
          </w:p>
        </w:tc>
      </w:tr>
      <w:tr w:rsidR="00496982" w:rsidRPr="00911273" w:rsidTr="003F502A">
        <w:trPr>
          <w:trHeight w:val="20"/>
        </w:trPr>
        <w:tc>
          <w:tcPr>
            <w:tcW w:w="2266" w:type="dxa"/>
            <w:shd w:val="clear" w:color="auto" w:fill="auto"/>
            <w:vAlign w:val="center"/>
          </w:tcPr>
          <w:p w:rsidR="00496982" w:rsidRPr="00AA6B29" w:rsidRDefault="00496982" w:rsidP="00496982">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cs="Arial"/>
                <w:color w:val="000000"/>
                <w:szCs w:val="22"/>
                <w:lang w:eastAsia="en-US"/>
              </w:rPr>
              <w:t xml:space="preserve">Liczba projektów, w których sfinansowano koszty racjonalnych usprawnień dla osób z </w:t>
            </w:r>
            <w:r w:rsidRPr="00AA6B29">
              <w:rPr>
                <w:rFonts w:asciiTheme="minorHAnsi" w:eastAsiaTheme="minorHAnsi" w:hAnsiTheme="minorHAnsi" w:cs="Arial"/>
                <w:color w:val="000000"/>
                <w:szCs w:val="22"/>
                <w:lang w:eastAsia="en-US"/>
              </w:rPr>
              <w:lastRenderedPageBreak/>
              <w:t>niepełnosprawnościami</w:t>
            </w:r>
          </w:p>
        </w:tc>
        <w:tc>
          <w:tcPr>
            <w:tcW w:w="1508" w:type="dxa"/>
            <w:vAlign w:val="center"/>
          </w:tcPr>
          <w:p w:rsidR="00496982" w:rsidRPr="00AA6B29" w:rsidRDefault="00496982" w:rsidP="00496982">
            <w:pPr>
              <w:spacing w:before="0" w:line="240" w:lineRule="auto"/>
              <w:jc w:val="center"/>
              <w:rPr>
                <w:rFonts w:asciiTheme="minorHAnsi" w:eastAsiaTheme="minorHAnsi" w:hAnsiTheme="minorHAnsi"/>
                <w:szCs w:val="22"/>
                <w:lang w:eastAsia="en-US"/>
              </w:rPr>
            </w:pPr>
            <w:r w:rsidRPr="00AA6B29">
              <w:rPr>
                <w:rFonts w:asciiTheme="minorHAnsi" w:eastAsiaTheme="minorHAnsi" w:hAnsiTheme="minorHAnsi"/>
                <w:szCs w:val="22"/>
                <w:lang w:eastAsia="en-US"/>
              </w:rPr>
              <w:lastRenderedPageBreak/>
              <w:t>szt.</w:t>
            </w:r>
          </w:p>
        </w:tc>
        <w:tc>
          <w:tcPr>
            <w:tcW w:w="4680" w:type="dxa"/>
            <w:shd w:val="clear" w:color="auto" w:fill="auto"/>
            <w:vAlign w:val="center"/>
          </w:tcPr>
          <w:p w:rsidR="00496982" w:rsidRPr="00476099" w:rsidRDefault="00496982" w:rsidP="00496982">
            <w:pPr>
              <w:autoSpaceDE w:val="0"/>
              <w:autoSpaceDN w:val="0"/>
              <w:adjustRightInd w:val="0"/>
              <w:spacing w:before="0" w:line="240" w:lineRule="auto"/>
              <w:jc w:val="both"/>
              <w:rPr>
                <w:rFonts w:asciiTheme="minorHAnsi" w:eastAsiaTheme="minorHAnsi" w:hAnsiTheme="minorHAnsi" w:cs="Arial"/>
                <w:color w:val="000000"/>
                <w:sz w:val="18"/>
                <w:szCs w:val="18"/>
                <w:lang w:eastAsia="en-US"/>
              </w:rPr>
            </w:pPr>
            <w:r w:rsidRPr="00476099">
              <w:rPr>
                <w:rFonts w:asciiTheme="minorHAnsi" w:eastAsiaTheme="minorHAnsi" w:hAnsiTheme="minorHAnsi" w:cs="Arial"/>
                <w:color w:val="000000"/>
                <w:sz w:val="18"/>
                <w:szCs w:val="18"/>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w:t>
            </w:r>
            <w:r w:rsidRPr="00476099">
              <w:rPr>
                <w:rFonts w:asciiTheme="minorHAnsi" w:eastAsiaTheme="minorHAnsi" w:hAnsiTheme="minorHAnsi" w:cs="Arial"/>
                <w:color w:val="000000"/>
                <w:sz w:val="18"/>
                <w:szCs w:val="18"/>
                <w:lang w:eastAsia="en-US"/>
              </w:rPr>
              <w:lastRenderedPageBreak/>
              <w:t>możliwości korzystania z wszelkich praw człowieka i podstawowych wolności oraz ich wykonywania na zasadzie równości z innymi osobami. Wskaźnik mierzony w momencie rozliczenia wydatku związanego z racjonalnymi usprawnieniami.</w:t>
            </w:r>
          </w:p>
          <w:p w:rsidR="00496982" w:rsidRPr="00476099" w:rsidRDefault="00496982" w:rsidP="00496982">
            <w:pPr>
              <w:autoSpaceDE w:val="0"/>
              <w:autoSpaceDN w:val="0"/>
              <w:adjustRightInd w:val="0"/>
              <w:spacing w:before="0" w:line="240" w:lineRule="auto"/>
              <w:jc w:val="both"/>
              <w:rPr>
                <w:rFonts w:asciiTheme="minorHAnsi" w:eastAsiaTheme="minorHAnsi" w:hAnsiTheme="minorHAnsi" w:cs="Arial"/>
                <w:color w:val="000000"/>
                <w:sz w:val="18"/>
                <w:szCs w:val="18"/>
                <w:lang w:eastAsia="en-US"/>
              </w:rPr>
            </w:pPr>
            <w:r w:rsidRPr="00476099">
              <w:rPr>
                <w:rFonts w:asciiTheme="minorHAnsi" w:eastAsiaTheme="minorHAnsi" w:hAnsiTheme="minorHAnsi" w:cs="Arial"/>
                <w:color w:val="000000"/>
                <w:sz w:val="18"/>
                <w:szCs w:val="18"/>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496982" w:rsidRPr="00476099" w:rsidRDefault="00496982" w:rsidP="00496982">
            <w:pPr>
              <w:spacing w:before="0" w:line="240" w:lineRule="auto"/>
              <w:jc w:val="both"/>
              <w:rPr>
                <w:rFonts w:asciiTheme="minorHAnsi" w:eastAsiaTheme="minorHAnsi" w:hAnsiTheme="minorHAnsi"/>
                <w:sz w:val="18"/>
                <w:szCs w:val="18"/>
                <w:lang w:eastAsia="en-US"/>
              </w:rPr>
            </w:pPr>
            <w:r w:rsidRPr="00476099">
              <w:rPr>
                <w:rFonts w:asciiTheme="minorHAnsi" w:eastAsiaTheme="minorHAnsi" w:hAnsiTheme="minorHAnsi" w:cs="Arial"/>
                <w:color w:val="000000"/>
                <w:sz w:val="18"/>
                <w:szCs w:val="18"/>
                <w:lang w:eastAsia="en-US"/>
              </w:rPr>
              <w:t xml:space="preserve">Definicja na podstawie </w:t>
            </w:r>
            <w:r w:rsidRPr="00476099">
              <w:rPr>
                <w:rFonts w:asciiTheme="minorHAnsi" w:eastAsiaTheme="minorHAnsi" w:hAnsiTheme="minorHAnsi" w:cs="Arial"/>
                <w:i/>
                <w:iCs/>
                <w:color w:val="000000"/>
                <w:sz w:val="18"/>
                <w:szCs w:val="18"/>
                <w:lang w:eastAsia="en-US"/>
              </w:rPr>
              <w:t>Wytycznych w zakresie realizacji zasady równości szans i niedyskryminacji, w tym dostępności dla osób z niepełnosprawnościami oraz równości szans kobiet i mężczyzn w ramach funduszy unijnych na lata 2014-2020</w:t>
            </w:r>
            <w:r w:rsidRPr="00476099">
              <w:rPr>
                <w:rFonts w:asciiTheme="minorHAnsi" w:eastAsiaTheme="minorHAnsi" w:hAnsiTheme="minorHAnsi" w:cs="Arial"/>
                <w:color w:val="000000"/>
                <w:sz w:val="18"/>
                <w:szCs w:val="18"/>
                <w:lang w:eastAsia="en-US"/>
              </w:rPr>
              <w:t>.</w:t>
            </w:r>
          </w:p>
        </w:tc>
        <w:tc>
          <w:tcPr>
            <w:tcW w:w="1508" w:type="dxa"/>
            <w:vAlign w:val="center"/>
          </w:tcPr>
          <w:p w:rsidR="00496982" w:rsidRPr="0061737E" w:rsidRDefault="00496982" w:rsidP="00496982">
            <w:pPr>
              <w:spacing w:line="240" w:lineRule="auto"/>
              <w:jc w:val="center"/>
              <w:rPr>
                <w:rFonts w:asciiTheme="minorHAnsi" w:hAnsiTheme="minorHAnsi"/>
                <w:szCs w:val="22"/>
              </w:rPr>
            </w:pPr>
            <w:r>
              <w:rPr>
                <w:rFonts w:asciiTheme="minorHAnsi" w:hAnsiTheme="minorHAnsi"/>
                <w:szCs w:val="22"/>
              </w:rPr>
              <w:lastRenderedPageBreak/>
              <w:t>h</w:t>
            </w:r>
            <w:r w:rsidRPr="000B05C7">
              <w:rPr>
                <w:rFonts w:asciiTheme="minorHAnsi" w:hAnsiTheme="minorHAnsi"/>
                <w:szCs w:val="22"/>
              </w:rPr>
              <w:t>oryzontalny</w:t>
            </w:r>
          </w:p>
        </w:tc>
      </w:tr>
    </w:tbl>
    <w:p w:rsidR="009119D9" w:rsidRDefault="009119D9" w:rsidP="00B92427">
      <w:pPr>
        <w:pStyle w:val="Default"/>
        <w:spacing w:after="120"/>
        <w:jc w:val="both"/>
        <w:rPr>
          <w:rFonts w:asciiTheme="minorHAnsi" w:hAnsiTheme="minorHAnsi"/>
          <w:sz w:val="22"/>
          <w:szCs w:val="22"/>
        </w:rPr>
      </w:pPr>
    </w:p>
    <w:p w:rsidR="009119D9" w:rsidRPr="00E9798A" w:rsidRDefault="009119D9" w:rsidP="009119D9">
      <w:pPr>
        <w:spacing w:before="0" w:line="276" w:lineRule="auto"/>
        <w:jc w:val="both"/>
        <w:rPr>
          <w:rFonts w:asciiTheme="minorHAnsi" w:hAnsiTheme="minorHAnsi" w:cs="Arial"/>
          <w:szCs w:val="22"/>
        </w:rPr>
      </w:pPr>
    </w:p>
    <w:p w:rsidR="00912831" w:rsidRPr="00E313C3" w:rsidRDefault="002D4F22" w:rsidP="002D4F22">
      <w:pPr>
        <w:autoSpaceDE w:val="0"/>
        <w:autoSpaceDN w:val="0"/>
        <w:adjustRightInd w:val="0"/>
        <w:spacing w:before="0" w:line="240" w:lineRule="auto"/>
        <w:jc w:val="both"/>
        <w:rPr>
          <w:rFonts w:asciiTheme="minorHAnsi" w:hAnsiTheme="minorHAnsi"/>
          <w:b/>
          <w:szCs w:val="22"/>
        </w:rPr>
      </w:pPr>
      <w:r>
        <w:rPr>
          <w:rFonts w:ascii="Calibri" w:eastAsiaTheme="minorHAnsi" w:hAnsi="Calibri" w:cs="Calibri"/>
          <w:szCs w:val="22"/>
          <w:lang w:eastAsia="en-US"/>
        </w:rPr>
        <w:t xml:space="preserve"> </w:t>
      </w:r>
    </w:p>
    <w:p w:rsidR="002D4F22" w:rsidRPr="002D4F22" w:rsidRDefault="002D4F22" w:rsidP="002D4F22">
      <w:pPr>
        <w:spacing w:line="240" w:lineRule="auto"/>
        <w:jc w:val="both"/>
        <w:rPr>
          <w:rFonts w:asciiTheme="minorHAnsi" w:hAnsiTheme="minorHAnsi" w:cs="Arial"/>
          <w:szCs w:val="22"/>
        </w:rPr>
      </w:pPr>
      <w:r w:rsidRPr="002D4F22">
        <w:rPr>
          <w:rFonts w:asciiTheme="minorHAnsi" w:hAnsiTheme="minorHAnsi"/>
          <w:b/>
          <w:szCs w:val="22"/>
        </w:rPr>
        <w:t>Wskaźniki rezultatu bezpośredniego</w:t>
      </w:r>
      <w:r w:rsidRPr="002D4F22">
        <w:rPr>
          <w:rFonts w:asciiTheme="minorHAnsi" w:hAnsiTheme="minorHAnsi"/>
          <w:szCs w:val="22"/>
        </w:rPr>
        <w:t xml:space="preserve"> są to w</w:t>
      </w:r>
      <w:r w:rsidRPr="002D4F22">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2D4F22" w:rsidRPr="002D4F22" w:rsidRDefault="002D4F22" w:rsidP="002D4F22">
      <w:pPr>
        <w:autoSpaceDE w:val="0"/>
        <w:autoSpaceDN w:val="0"/>
        <w:adjustRightInd w:val="0"/>
        <w:spacing w:before="0" w:line="240" w:lineRule="auto"/>
        <w:jc w:val="both"/>
        <w:rPr>
          <w:rFonts w:ascii="TimesNewRoman,Bold" w:hAnsi="TimesNewRoman,Bold" w:cs="TimesNewRoman,Bold"/>
          <w:szCs w:val="22"/>
        </w:rPr>
      </w:pPr>
    </w:p>
    <w:p w:rsidR="002D4F22" w:rsidRPr="002D4F22" w:rsidRDefault="002D4F22" w:rsidP="002D4F22">
      <w:pPr>
        <w:autoSpaceDE w:val="0"/>
        <w:autoSpaceDN w:val="0"/>
        <w:adjustRightInd w:val="0"/>
        <w:spacing w:before="0" w:line="240" w:lineRule="auto"/>
        <w:jc w:val="both"/>
        <w:rPr>
          <w:rFonts w:asciiTheme="minorHAnsi" w:hAnsiTheme="minorHAnsi" w:cs="TimesNewRoman,Bold"/>
          <w:szCs w:val="22"/>
        </w:rPr>
      </w:pPr>
      <w:r w:rsidRPr="002D4F22">
        <w:rPr>
          <w:rFonts w:asciiTheme="minorHAnsi" w:hAnsiTheme="minorHAnsi" w:cs="TimesNewRoman,Bold"/>
          <w:szCs w:val="22"/>
        </w:rPr>
        <w:t xml:space="preserve">Dla każdego z wybranych wskaźników Wnioskodawca zobowiązany jest do wskazania </w:t>
      </w:r>
      <w:r w:rsidRPr="002D4F22">
        <w:rPr>
          <w:rFonts w:asciiTheme="minorHAnsi" w:hAnsiTheme="minorHAnsi" w:cs="TimesNewRoman,Bold"/>
          <w:i/>
          <w:szCs w:val="22"/>
        </w:rPr>
        <w:t>„Jednostki miary”</w:t>
      </w:r>
      <w:r w:rsidRPr="002D4F22">
        <w:rPr>
          <w:rFonts w:asciiTheme="minorHAnsi" w:hAnsiTheme="minorHAnsi" w:cs="TimesNewRoman,Bold"/>
          <w:szCs w:val="22"/>
        </w:rPr>
        <w:t xml:space="preserve">, </w:t>
      </w:r>
      <w:r w:rsidRPr="002D4F22">
        <w:rPr>
          <w:rFonts w:asciiTheme="minorHAnsi" w:hAnsiTheme="minorHAnsi" w:cs="TimesNewRoman,Bold"/>
          <w:i/>
          <w:szCs w:val="22"/>
        </w:rPr>
        <w:t>„Wartości bazowej”</w:t>
      </w:r>
      <w:r w:rsidRPr="002D4F22">
        <w:rPr>
          <w:rFonts w:asciiTheme="minorHAnsi" w:hAnsiTheme="minorHAnsi" w:cs="TimesNewRoman,Bold"/>
          <w:szCs w:val="22"/>
        </w:rPr>
        <w:t xml:space="preserve">, </w:t>
      </w:r>
      <w:r w:rsidRPr="002D4F22">
        <w:rPr>
          <w:rFonts w:asciiTheme="minorHAnsi" w:hAnsiTheme="minorHAnsi" w:cs="TimesNewRoman,Bold"/>
          <w:i/>
          <w:szCs w:val="22"/>
        </w:rPr>
        <w:t>„Wartości docelowej wskaźnika”</w:t>
      </w:r>
      <w:r w:rsidRPr="002D4F22">
        <w:rPr>
          <w:rFonts w:asciiTheme="minorHAnsi" w:hAnsiTheme="minorHAnsi" w:cs="TimesNewRoman,Bold"/>
          <w:szCs w:val="22"/>
        </w:rPr>
        <w:t xml:space="preserve">, a także </w:t>
      </w:r>
      <w:r w:rsidRPr="002D4F22">
        <w:rPr>
          <w:rFonts w:asciiTheme="minorHAnsi" w:hAnsiTheme="minorHAnsi" w:cs="TimesNewRoman,Bold"/>
          <w:i/>
          <w:szCs w:val="22"/>
        </w:rPr>
        <w:t>„Źródła informacji o wskaźniku”</w:t>
      </w:r>
      <w:r w:rsidRPr="002D4F22">
        <w:rPr>
          <w:rFonts w:asciiTheme="minorHAnsi" w:hAnsiTheme="minorHAnsi" w:cs="TimesNewRoman,Bold"/>
          <w:szCs w:val="22"/>
        </w:rPr>
        <w:t xml:space="preserve">. </w:t>
      </w:r>
    </w:p>
    <w:p w:rsidR="002D4F22" w:rsidRDefault="002D4F22" w:rsidP="002D4F22">
      <w:pPr>
        <w:autoSpaceDE w:val="0"/>
        <w:autoSpaceDN w:val="0"/>
        <w:adjustRightInd w:val="0"/>
        <w:spacing w:before="0" w:line="240" w:lineRule="auto"/>
        <w:jc w:val="both"/>
        <w:rPr>
          <w:rFonts w:asciiTheme="minorHAnsi" w:hAnsiTheme="minorHAnsi" w:cs="TimesNewRoman,Bold"/>
          <w:szCs w:val="22"/>
        </w:rPr>
      </w:pPr>
      <w:r w:rsidRPr="002D4F22">
        <w:rPr>
          <w:rFonts w:asciiTheme="minorHAnsi" w:hAnsiTheme="minorHAnsi" w:cs="TimesNewRoman,Bold"/>
          <w:szCs w:val="22"/>
        </w:rPr>
        <w:t xml:space="preserve">Wartość docelowa dla wskaźnika rezultatu to wyrażony liczbowo stan danego wskaźnika uzyskany w efekcie realizacji projektu </w:t>
      </w:r>
    </w:p>
    <w:p w:rsidR="009F264D" w:rsidRPr="002D4F22" w:rsidRDefault="009F264D" w:rsidP="002D4F22">
      <w:pPr>
        <w:autoSpaceDE w:val="0"/>
        <w:autoSpaceDN w:val="0"/>
        <w:adjustRightInd w:val="0"/>
        <w:spacing w:before="0" w:line="240" w:lineRule="auto"/>
        <w:jc w:val="both"/>
        <w:rPr>
          <w:rFonts w:asciiTheme="minorHAnsi" w:hAnsiTheme="minorHAnsi" w:cs="TimesNewRoman,Bold"/>
          <w:szCs w:val="22"/>
        </w:rPr>
      </w:pPr>
    </w:p>
    <w:p w:rsidR="002D4F22" w:rsidRDefault="002D4F22" w:rsidP="002D4F22">
      <w:pPr>
        <w:autoSpaceDE w:val="0"/>
        <w:autoSpaceDN w:val="0"/>
        <w:adjustRightInd w:val="0"/>
        <w:spacing w:before="0" w:line="240" w:lineRule="auto"/>
        <w:jc w:val="both"/>
        <w:rPr>
          <w:rFonts w:asciiTheme="minorHAnsi" w:hAnsiTheme="minorHAnsi"/>
        </w:rPr>
      </w:pPr>
      <w:r w:rsidRPr="00496982">
        <w:rPr>
          <w:rFonts w:asciiTheme="minorHAnsi" w:hAnsiTheme="minorHAnsi"/>
        </w:rPr>
        <w:t>Jako źródło informacji o wskaźniku wskazać należy odpowiedni dokument (np</w:t>
      </w:r>
      <w:r w:rsidR="00B93CD8" w:rsidRPr="00496982">
        <w:rPr>
          <w:rFonts w:asciiTheme="minorHAnsi" w:hAnsiTheme="minorHAnsi"/>
        </w:rPr>
        <w:t xml:space="preserve">. umowy współpracy, zlecenia na przeprowadzenie badań, protokoły z prowadzonych badań </w:t>
      </w:r>
      <w:r w:rsidRPr="00496982">
        <w:rPr>
          <w:rFonts w:asciiTheme="minorHAnsi" w:hAnsiTheme="minorHAnsi"/>
        </w:rPr>
        <w:t>).</w:t>
      </w:r>
    </w:p>
    <w:p w:rsidR="007B0EF9" w:rsidRDefault="007B0EF9" w:rsidP="002D4F22">
      <w:pPr>
        <w:autoSpaceDE w:val="0"/>
        <w:autoSpaceDN w:val="0"/>
        <w:adjustRightInd w:val="0"/>
        <w:spacing w:before="0" w:line="240" w:lineRule="auto"/>
        <w:jc w:val="both"/>
        <w:rPr>
          <w:rFonts w:asciiTheme="minorHAnsi" w:hAnsiTheme="minorHAnsi"/>
        </w:rPr>
      </w:pPr>
    </w:p>
    <w:p w:rsidR="007B0EF9" w:rsidRDefault="007B0EF9" w:rsidP="002D4F22">
      <w:pPr>
        <w:autoSpaceDE w:val="0"/>
        <w:autoSpaceDN w:val="0"/>
        <w:adjustRightInd w:val="0"/>
        <w:spacing w:before="120" w:after="120" w:line="240" w:lineRule="auto"/>
        <w:jc w:val="both"/>
        <w:rPr>
          <w:rFonts w:asciiTheme="minorHAnsi" w:hAnsiTheme="minorHAnsi"/>
          <w:b/>
          <w:szCs w:val="22"/>
        </w:rPr>
      </w:pPr>
    </w:p>
    <w:p w:rsidR="00BF31BD" w:rsidRDefault="00BF31BD" w:rsidP="002D4F22">
      <w:pPr>
        <w:autoSpaceDE w:val="0"/>
        <w:autoSpaceDN w:val="0"/>
        <w:adjustRightInd w:val="0"/>
        <w:spacing w:before="120" w:after="120" w:line="240" w:lineRule="auto"/>
        <w:jc w:val="both"/>
        <w:rPr>
          <w:rFonts w:asciiTheme="minorHAnsi" w:hAnsiTheme="minorHAnsi"/>
          <w:b/>
          <w:szCs w:val="22"/>
        </w:rPr>
      </w:pPr>
    </w:p>
    <w:p w:rsidR="00BF31BD" w:rsidRDefault="00BF31BD" w:rsidP="002D4F22">
      <w:pPr>
        <w:autoSpaceDE w:val="0"/>
        <w:autoSpaceDN w:val="0"/>
        <w:adjustRightInd w:val="0"/>
        <w:spacing w:before="120" w:after="120" w:line="240" w:lineRule="auto"/>
        <w:jc w:val="both"/>
        <w:rPr>
          <w:rFonts w:asciiTheme="minorHAnsi" w:hAnsiTheme="minorHAnsi"/>
          <w:b/>
          <w:szCs w:val="22"/>
        </w:rPr>
      </w:pPr>
    </w:p>
    <w:p w:rsidR="00BF31BD" w:rsidRDefault="00BF31BD" w:rsidP="002D4F22">
      <w:pPr>
        <w:autoSpaceDE w:val="0"/>
        <w:autoSpaceDN w:val="0"/>
        <w:adjustRightInd w:val="0"/>
        <w:spacing w:before="120" w:after="120" w:line="240" w:lineRule="auto"/>
        <w:jc w:val="both"/>
        <w:rPr>
          <w:rFonts w:asciiTheme="minorHAnsi" w:hAnsiTheme="minorHAnsi"/>
          <w:b/>
          <w:szCs w:val="22"/>
        </w:rPr>
      </w:pPr>
    </w:p>
    <w:p w:rsidR="00BF31BD" w:rsidRDefault="00BF31BD" w:rsidP="002D4F22">
      <w:pPr>
        <w:autoSpaceDE w:val="0"/>
        <w:autoSpaceDN w:val="0"/>
        <w:adjustRightInd w:val="0"/>
        <w:spacing w:before="120" w:after="120" w:line="240" w:lineRule="auto"/>
        <w:jc w:val="both"/>
        <w:rPr>
          <w:rFonts w:asciiTheme="minorHAnsi" w:hAnsiTheme="minorHAnsi"/>
          <w:b/>
          <w:szCs w:val="22"/>
        </w:rPr>
      </w:pPr>
    </w:p>
    <w:p w:rsidR="00BF31BD" w:rsidRDefault="00BF31BD" w:rsidP="002D4F22">
      <w:pPr>
        <w:autoSpaceDE w:val="0"/>
        <w:autoSpaceDN w:val="0"/>
        <w:adjustRightInd w:val="0"/>
        <w:spacing w:before="120" w:after="120" w:line="240" w:lineRule="auto"/>
        <w:jc w:val="both"/>
        <w:rPr>
          <w:rFonts w:asciiTheme="minorHAnsi" w:hAnsiTheme="minorHAnsi"/>
          <w:b/>
          <w:szCs w:val="22"/>
        </w:rPr>
      </w:pPr>
    </w:p>
    <w:p w:rsidR="00BF31BD" w:rsidRDefault="00BF31BD" w:rsidP="002D4F22">
      <w:pPr>
        <w:autoSpaceDE w:val="0"/>
        <w:autoSpaceDN w:val="0"/>
        <w:adjustRightInd w:val="0"/>
        <w:spacing w:before="120" w:after="120" w:line="240" w:lineRule="auto"/>
        <w:jc w:val="both"/>
        <w:rPr>
          <w:rFonts w:asciiTheme="minorHAnsi" w:hAnsiTheme="minorHAnsi"/>
          <w:b/>
          <w:szCs w:val="22"/>
        </w:rPr>
      </w:pPr>
    </w:p>
    <w:p w:rsidR="00BF31BD" w:rsidRDefault="00BF31BD" w:rsidP="002D4F22">
      <w:pPr>
        <w:autoSpaceDE w:val="0"/>
        <w:autoSpaceDN w:val="0"/>
        <w:adjustRightInd w:val="0"/>
        <w:spacing w:before="120" w:after="120" w:line="240" w:lineRule="auto"/>
        <w:jc w:val="both"/>
        <w:rPr>
          <w:rFonts w:asciiTheme="minorHAnsi" w:hAnsiTheme="minorHAnsi"/>
          <w:b/>
          <w:szCs w:val="22"/>
        </w:rPr>
      </w:pPr>
    </w:p>
    <w:p w:rsidR="00BF31BD" w:rsidRDefault="00BF31BD" w:rsidP="002D4F22">
      <w:pPr>
        <w:autoSpaceDE w:val="0"/>
        <w:autoSpaceDN w:val="0"/>
        <w:adjustRightInd w:val="0"/>
        <w:spacing w:before="120" w:after="120" w:line="240" w:lineRule="auto"/>
        <w:jc w:val="both"/>
        <w:rPr>
          <w:rFonts w:asciiTheme="minorHAnsi" w:hAnsiTheme="minorHAnsi"/>
          <w:b/>
          <w:szCs w:val="22"/>
        </w:rPr>
      </w:pPr>
    </w:p>
    <w:p w:rsidR="00BF31BD" w:rsidRDefault="00BF31BD" w:rsidP="002D4F22">
      <w:pPr>
        <w:autoSpaceDE w:val="0"/>
        <w:autoSpaceDN w:val="0"/>
        <w:adjustRightInd w:val="0"/>
        <w:spacing w:before="120" w:after="120" w:line="240" w:lineRule="auto"/>
        <w:jc w:val="both"/>
        <w:rPr>
          <w:rFonts w:asciiTheme="minorHAnsi" w:hAnsiTheme="minorHAnsi"/>
          <w:b/>
          <w:szCs w:val="22"/>
        </w:rPr>
      </w:pPr>
    </w:p>
    <w:p w:rsidR="00BF31BD" w:rsidRDefault="00BF31BD" w:rsidP="002D4F22">
      <w:pPr>
        <w:autoSpaceDE w:val="0"/>
        <w:autoSpaceDN w:val="0"/>
        <w:adjustRightInd w:val="0"/>
        <w:spacing w:before="120" w:after="120" w:line="240" w:lineRule="auto"/>
        <w:jc w:val="both"/>
        <w:rPr>
          <w:rFonts w:asciiTheme="minorHAnsi" w:hAnsiTheme="minorHAnsi"/>
          <w:b/>
          <w:szCs w:val="22"/>
        </w:rPr>
      </w:pPr>
    </w:p>
    <w:p w:rsidR="00BF31BD" w:rsidRDefault="00BF31BD" w:rsidP="002D4F22">
      <w:pPr>
        <w:autoSpaceDE w:val="0"/>
        <w:autoSpaceDN w:val="0"/>
        <w:adjustRightInd w:val="0"/>
        <w:spacing w:before="120" w:after="120" w:line="240" w:lineRule="auto"/>
        <w:jc w:val="both"/>
        <w:rPr>
          <w:rFonts w:asciiTheme="minorHAnsi" w:hAnsiTheme="minorHAnsi"/>
          <w:b/>
          <w:szCs w:val="22"/>
        </w:rPr>
      </w:pPr>
    </w:p>
    <w:p w:rsidR="002D4F22" w:rsidRPr="002D4F22" w:rsidRDefault="000132CC" w:rsidP="002D4F22">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lastRenderedPageBreak/>
        <w:t xml:space="preserve">W ramach Działania 1.1 </w:t>
      </w:r>
      <w:r w:rsidRPr="000132CC">
        <w:rPr>
          <w:rFonts w:asciiTheme="minorHAnsi" w:hAnsiTheme="minorHAnsi" w:cs="Arial"/>
          <w:b/>
          <w:bCs/>
          <w:iCs/>
          <w:szCs w:val="22"/>
        </w:rPr>
        <w:t xml:space="preserve">Wzmacnianie potencjału B+R i wdrożeniowego uczelni i jednostek naukowych </w:t>
      </w:r>
      <w:r w:rsidRPr="000132CC">
        <w:rPr>
          <w:rFonts w:ascii="Calibri" w:hAnsi="Calibri" w:cs="Calibri"/>
          <w:b/>
          <w:color w:val="000000"/>
          <w:szCs w:val="22"/>
        </w:rPr>
        <w:t>w ramach RPO WD 2014-2020</w:t>
      </w:r>
      <w:r>
        <w:rPr>
          <w:rFonts w:ascii="Calibri" w:hAnsi="Calibri" w:cs="Calibri"/>
          <w:b/>
          <w:color w:val="000000"/>
          <w:sz w:val="24"/>
          <w:szCs w:val="24"/>
        </w:rPr>
        <w:t xml:space="preserve"> </w:t>
      </w:r>
      <w:r w:rsidR="002D4F22" w:rsidRPr="002D4F22">
        <w:rPr>
          <w:rFonts w:asciiTheme="minorHAnsi" w:hAnsiTheme="minorHAnsi"/>
          <w:b/>
          <w:szCs w:val="22"/>
        </w:rPr>
        <w:t>określono poniższe wskaźniki rezultatu bezpośredniego:</w:t>
      </w:r>
    </w:p>
    <w:p w:rsidR="00D80B00" w:rsidRPr="00DC184F" w:rsidRDefault="00D80B00" w:rsidP="008554A8">
      <w:pPr>
        <w:autoSpaceDE w:val="0"/>
        <w:autoSpaceDN w:val="0"/>
        <w:adjustRightInd w:val="0"/>
        <w:spacing w:before="120" w:after="120" w:line="240" w:lineRule="auto"/>
        <w:jc w:val="both"/>
        <w:rPr>
          <w:rFonts w:asciiTheme="minorHAnsi" w:hAnsiTheme="minorHAnsi"/>
          <w:b/>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D80B00" w:rsidRPr="003C55C7" w:rsidTr="0022625B">
        <w:trPr>
          <w:trHeight w:val="20"/>
          <w:jc w:val="center"/>
        </w:trPr>
        <w:tc>
          <w:tcPr>
            <w:tcW w:w="1189" w:type="pct"/>
            <w:shd w:val="clear" w:color="auto" w:fill="auto"/>
            <w:vAlign w:val="center"/>
          </w:tcPr>
          <w:p w:rsidR="00D80B00" w:rsidRPr="00911273" w:rsidRDefault="00D80B00" w:rsidP="00BA4FB4">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D80B00" w:rsidRPr="00911273" w:rsidRDefault="00D80B00" w:rsidP="00BA4FB4">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D80B00" w:rsidRPr="00911273" w:rsidRDefault="00D80B00" w:rsidP="00BA4FB4">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D80B00" w:rsidRPr="00911273" w:rsidRDefault="00D80B00" w:rsidP="00BA4FB4">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0B3116" w:rsidRPr="003C55C7" w:rsidTr="00496982">
        <w:trPr>
          <w:trHeight w:val="4098"/>
          <w:jc w:val="center"/>
        </w:trPr>
        <w:tc>
          <w:tcPr>
            <w:tcW w:w="1189" w:type="pct"/>
            <w:shd w:val="clear" w:color="auto" w:fill="auto"/>
          </w:tcPr>
          <w:p w:rsidR="000B3116" w:rsidRPr="003C55C7" w:rsidRDefault="006B261B" w:rsidP="00CF19D1">
            <w:pPr>
              <w:pStyle w:val="Default"/>
              <w:rPr>
                <w:rFonts w:asciiTheme="minorHAnsi" w:hAnsiTheme="minorHAnsi" w:cs="ArialNarrow"/>
                <w:sz w:val="22"/>
                <w:szCs w:val="22"/>
              </w:rPr>
            </w:pPr>
            <w:r w:rsidRPr="00C904D5">
              <w:rPr>
                <w:rFonts w:asciiTheme="minorHAnsi" w:hAnsiTheme="minorHAnsi" w:cs="Arial"/>
                <w:sz w:val="22"/>
                <w:szCs w:val="22"/>
              </w:rPr>
              <w:t>Liczba przedsiębiorstw korzystających ze wspartej infrastruktury badawczej</w:t>
            </w:r>
          </w:p>
        </w:tc>
        <w:tc>
          <w:tcPr>
            <w:tcW w:w="701" w:type="pct"/>
          </w:tcPr>
          <w:p w:rsidR="000B3116" w:rsidRPr="003C55C7" w:rsidRDefault="004118E5" w:rsidP="00EE47C4">
            <w:pPr>
              <w:spacing w:before="0" w:line="240" w:lineRule="auto"/>
              <w:jc w:val="center"/>
              <w:rPr>
                <w:rFonts w:asciiTheme="minorHAnsi" w:hAnsiTheme="minorHAnsi" w:cs="ArialNarrow"/>
                <w:szCs w:val="22"/>
              </w:rPr>
            </w:pPr>
            <w:r>
              <w:rPr>
                <w:rFonts w:asciiTheme="minorHAnsi" w:hAnsiTheme="minorHAnsi" w:cs="ArialNarrow"/>
                <w:szCs w:val="22"/>
              </w:rPr>
              <w:t>szt.</w:t>
            </w:r>
          </w:p>
        </w:tc>
        <w:tc>
          <w:tcPr>
            <w:tcW w:w="2061" w:type="pct"/>
            <w:tcBorders>
              <w:bottom w:val="single" w:sz="6" w:space="0" w:color="000000" w:themeColor="text1"/>
            </w:tcBorders>
            <w:shd w:val="clear" w:color="auto" w:fill="auto"/>
            <w:vAlign w:val="center"/>
          </w:tcPr>
          <w:p w:rsidR="00A536E6" w:rsidRPr="00BF31BD" w:rsidRDefault="00A536E6" w:rsidP="00D96D24">
            <w:pPr>
              <w:spacing w:line="240" w:lineRule="auto"/>
              <w:jc w:val="both"/>
              <w:rPr>
                <w:rFonts w:asciiTheme="minorHAnsi" w:hAnsiTheme="minorHAnsi"/>
                <w:sz w:val="18"/>
                <w:szCs w:val="18"/>
              </w:rPr>
            </w:pPr>
            <w:r w:rsidRPr="00BF31BD">
              <w:rPr>
                <w:rFonts w:asciiTheme="minorHAnsi" w:hAnsiTheme="minorHAnsi"/>
                <w:sz w:val="18"/>
                <w:szCs w:val="18"/>
              </w:rPr>
              <w:t>Liczba przedsiębiorstw, które w ramach działalności B+R skorzystały (samodzielnie, we współpracy z</w:t>
            </w:r>
            <w:r w:rsidR="00B93CD8" w:rsidRPr="00BF31BD">
              <w:rPr>
                <w:rFonts w:asciiTheme="minorHAnsi" w:hAnsiTheme="minorHAnsi"/>
                <w:sz w:val="18"/>
                <w:szCs w:val="18"/>
              </w:rPr>
              <w:t> </w:t>
            </w:r>
            <w:r w:rsidRPr="00BF31BD">
              <w:rPr>
                <w:rFonts w:asciiTheme="minorHAnsi" w:hAnsiTheme="minorHAnsi"/>
                <w:sz w:val="18"/>
                <w:szCs w:val="18"/>
              </w:rPr>
              <w:t xml:space="preserve">jednostką naukową, przez jednostkę naukową </w:t>
            </w:r>
            <w:r w:rsidR="00EE47C4" w:rsidRPr="00BF31BD">
              <w:rPr>
                <w:rFonts w:asciiTheme="minorHAnsi" w:hAnsiTheme="minorHAnsi"/>
                <w:sz w:val="18"/>
                <w:szCs w:val="18"/>
              </w:rPr>
              <w:t>na zlecenie przedsiębiorstwa) ze wspartej infrastruktury badawczej, niezależnie od tego, kto był beneficjentem zrealizowanego projektu.</w:t>
            </w:r>
          </w:p>
          <w:p w:rsidR="00EE47C4" w:rsidRPr="00BF31BD" w:rsidRDefault="00EE47C4" w:rsidP="00D96D24">
            <w:pPr>
              <w:spacing w:line="240" w:lineRule="auto"/>
              <w:jc w:val="both"/>
              <w:rPr>
                <w:rFonts w:asciiTheme="minorHAnsi" w:hAnsiTheme="minorHAnsi"/>
                <w:sz w:val="18"/>
                <w:szCs w:val="18"/>
              </w:rPr>
            </w:pPr>
            <w:r w:rsidRPr="00BF31BD">
              <w:rPr>
                <w:rFonts w:asciiTheme="minorHAnsi" w:hAnsiTheme="minorHAnsi"/>
                <w:sz w:val="18"/>
                <w:szCs w:val="18"/>
              </w:rPr>
              <w:t xml:space="preserve">Przedsiębiorstwo wykazywane jest jeden raz niezależnie od tego, ile projektów zrealizowało przy wykorzystaniu wspartej infrastruktury badawczej. </w:t>
            </w:r>
          </w:p>
          <w:p w:rsidR="004118E5" w:rsidRPr="00BF31BD" w:rsidRDefault="004118E5" w:rsidP="00B93CD8">
            <w:pPr>
              <w:spacing w:line="240" w:lineRule="auto"/>
              <w:jc w:val="both"/>
              <w:rPr>
                <w:rFonts w:asciiTheme="minorHAnsi" w:hAnsiTheme="minorHAnsi"/>
                <w:sz w:val="18"/>
                <w:szCs w:val="18"/>
              </w:rPr>
            </w:pPr>
          </w:p>
        </w:tc>
        <w:tc>
          <w:tcPr>
            <w:tcW w:w="1049" w:type="pct"/>
          </w:tcPr>
          <w:p w:rsidR="000B3116" w:rsidRPr="003C55C7" w:rsidRDefault="004118E5" w:rsidP="00BA4FB4">
            <w:pPr>
              <w:spacing w:line="240" w:lineRule="auto"/>
              <w:jc w:val="both"/>
              <w:rPr>
                <w:rFonts w:asciiTheme="minorHAnsi" w:hAnsiTheme="minorHAnsi"/>
                <w:szCs w:val="22"/>
              </w:rPr>
            </w:pPr>
            <w:r>
              <w:rPr>
                <w:rFonts w:asciiTheme="minorHAnsi" w:hAnsiTheme="minorHAnsi"/>
                <w:szCs w:val="22"/>
              </w:rPr>
              <w:t>SZOOP RPO WD 2014-2020</w:t>
            </w:r>
          </w:p>
        </w:tc>
      </w:tr>
      <w:tr w:rsidR="000B3116" w:rsidRPr="003C55C7" w:rsidTr="00CF19D1">
        <w:trPr>
          <w:trHeight w:val="1970"/>
          <w:jc w:val="center"/>
        </w:trPr>
        <w:tc>
          <w:tcPr>
            <w:tcW w:w="1189" w:type="pct"/>
            <w:shd w:val="clear" w:color="auto" w:fill="auto"/>
          </w:tcPr>
          <w:p w:rsidR="000B3116" w:rsidRPr="003C55C7" w:rsidRDefault="004118E5" w:rsidP="00CF19D1">
            <w:pPr>
              <w:pStyle w:val="Default"/>
              <w:rPr>
                <w:rFonts w:asciiTheme="minorHAnsi" w:hAnsiTheme="minorHAnsi" w:cs="ArialNarrow"/>
                <w:sz w:val="22"/>
                <w:szCs w:val="22"/>
              </w:rPr>
            </w:pPr>
            <w:r w:rsidRPr="00C904D5">
              <w:rPr>
                <w:rFonts w:asciiTheme="minorHAnsi" w:hAnsiTheme="minorHAnsi" w:cs="Arial"/>
                <w:sz w:val="22"/>
                <w:szCs w:val="22"/>
              </w:rPr>
              <w:t>Liczba projektów B+R realizowanych przy wykorzystaniu wspartej infrastruktury badawczej</w:t>
            </w:r>
          </w:p>
        </w:tc>
        <w:tc>
          <w:tcPr>
            <w:tcW w:w="701" w:type="pct"/>
          </w:tcPr>
          <w:p w:rsidR="000B3116" w:rsidRPr="003C55C7" w:rsidRDefault="004118E5" w:rsidP="00496982">
            <w:pPr>
              <w:spacing w:before="0" w:line="240" w:lineRule="auto"/>
              <w:jc w:val="center"/>
              <w:rPr>
                <w:rFonts w:asciiTheme="minorHAnsi" w:hAnsiTheme="minorHAnsi" w:cs="ArialNarrow"/>
                <w:szCs w:val="22"/>
              </w:rPr>
            </w:pPr>
            <w:r>
              <w:rPr>
                <w:rFonts w:asciiTheme="minorHAnsi" w:hAnsiTheme="minorHAnsi" w:cs="ArialNarrow"/>
                <w:szCs w:val="22"/>
              </w:rPr>
              <w:t>szt.</w:t>
            </w:r>
          </w:p>
        </w:tc>
        <w:tc>
          <w:tcPr>
            <w:tcW w:w="2061" w:type="pct"/>
            <w:tcBorders>
              <w:top w:val="single" w:sz="6" w:space="0" w:color="000000" w:themeColor="text1"/>
              <w:bottom w:val="single" w:sz="4" w:space="0" w:color="auto"/>
            </w:tcBorders>
            <w:shd w:val="clear" w:color="auto" w:fill="auto"/>
            <w:vAlign w:val="center"/>
          </w:tcPr>
          <w:p w:rsidR="00EE47C4" w:rsidRPr="00BF31BD" w:rsidRDefault="00EE47C4" w:rsidP="00B93CD8">
            <w:pPr>
              <w:spacing w:before="0" w:line="240" w:lineRule="auto"/>
              <w:jc w:val="both"/>
              <w:rPr>
                <w:rFonts w:asciiTheme="minorHAnsi" w:hAnsiTheme="minorHAnsi"/>
                <w:sz w:val="18"/>
                <w:szCs w:val="18"/>
              </w:rPr>
            </w:pPr>
            <w:r w:rsidRPr="00BF31BD">
              <w:rPr>
                <w:rFonts w:asciiTheme="minorHAnsi" w:hAnsiTheme="minorHAnsi"/>
                <w:sz w:val="18"/>
                <w:szCs w:val="18"/>
              </w:rPr>
              <w:t xml:space="preserve">Liczba projektów obejmujących prace B+R, przy realizacji których wykorzystana została wsparta infrastruktura badawcza. </w:t>
            </w:r>
          </w:p>
          <w:p w:rsidR="00EE47C4" w:rsidRPr="00BF31BD" w:rsidRDefault="00EE47C4" w:rsidP="00B93CD8">
            <w:pPr>
              <w:spacing w:before="0" w:line="240" w:lineRule="auto"/>
              <w:jc w:val="both"/>
              <w:rPr>
                <w:rFonts w:asciiTheme="minorHAnsi" w:hAnsiTheme="minorHAnsi"/>
                <w:sz w:val="18"/>
                <w:szCs w:val="18"/>
              </w:rPr>
            </w:pPr>
            <w:r w:rsidRPr="00BF31BD">
              <w:rPr>
                <w:rFonts w:asciiTheme="minorHAnsi" w:hAnsiTheme="minorHAnsi"/>
                <w:sz w:val="18"/>
                <w:szCs w:val="18"/>
              </w:rPr>
              <w:t xml:space="preserve">Uwzględnia się wszystkie projekty B+R realizowane przy wykorzystaniu wspartej infrastruktury badawczej także inne podmioty. </w:t>
            </w:r>
          </w:p>
          <w:p w:rsidR="00B93CD8" w:rsidRPr="00BF31BD" w:rsidRDefault="00B93CD8" w:rsidP="00CF19D1">
            <w:pPr>
              <w:spacing w:before="0" w:line="240" w:lineRule="auto"/>
              <w:rPr>
                <w:rFonts w:asciiTheme="minorHAnsi" w:hAnsiTheme="minorHAnsi"/>
                <w:sz w:val="18"/>
                <w:szCs w:val="18"/>
              </w:rPr>
            </w:pPr>
          </w:p>
          <w:p w:rsidR="000B3116" w:rsidRPr="00BF31BD" w:rsidRDefault="000B3116" w:rsidP="00CF19D1">
            <w:pPr>
              <w:spacing w:before="0" w:line="240" w:lineRule="auto"/>
              <w:rPr>
                <w:rFonts w:asciiTheme="minorHAnsi" w:hAnsiTheme="minorHAnsi"/>
                <w:sz w:val="18"/>
                <w:szCs w:val="18"/>
              </w:rPr>
            </w:pPr>
          </w:p>
        </w:tc>
        <w:tc>
          <w:tcPr>
            <w:tcW w:w="1049" w:type="pct"/>
          </w:tcPr>
          <w:p w:rsidR="000B3116" w:rsidRPr="003C55C7" w:rsidRDefault="004118E5" w:rsidP="00BA4FB4">
            <w:pPr>
              <w:spacing w:line="240" w:lineRule="auto"/>
              <w:jc w:val="both"/>
              <w:rPr>
                <w:rFonts w:asciiTheme="minorHAnsi" w:hAnsiTheme="minorHAnsi"/>
                <w:szCs w:val="22"/>
              </w:rPr>
            </w:pPr>
            <w:r>
              <w:rPr>
                <w:rFonts w:asciiTheme="minorHAnsi" w:hAnsiTheme="minorHAnsi"/>
                <w:szCs w:val="22"/>
              </w:rPr>
              <w:t>SZOOP RPO WD 2014-2020</w:t>
            </w:r>
          </w:p>
        </w:tc>
      </w:tr>
      <w:tr w:rsidR="00CF19D1" w:rsidRPr="003C55C7" w:rsidTr="00CF19D1">
        <w:trPr>
          <w:trHeight w:val="5230"/>
          <w:jc w:val="center"/>
        </w:trPr>
        <w:tc>
          <w:tcPr>
            <w:tcW w:w="1189" w:type="pct"/>
            <w:shd w:val="clear" w:color="auto" w:fill="auto"/>
          </w:tcPr>
          <w:p w:rsidR="00CF19D1" w:rsidRPr="00CF19D1" w:rsidRDefault="00CF19D1" w:rsidP="00BA4FB4">
            <w:pPr>
              <w:pStyle w:val="Default"/>
              <w:rPr>
                <w:rFonts w:asciiTheme="minorHAnsi" w:hAnsiTheme="minorHAnsi" w:cs="ArialNarrow"/>
                <w:sz w:val="22"/>
                <w:szCs w:val="22"/>
              </w:rPr>
            </w:pPr>
            <w:r w:rsidRPr="00CF19D1">
              <w:rPr>
                <w:rFonts w:asciiTheme="minorHAnsi" w:hAnsiTheme="minorHAnsi" w:cs="ArialNarrow"/>
                <w:sz w:val="22"/>
                <w:szCs w:val="22"/>
              </w:rPr>
              <w:t>Wzrost zatrudnienia we wspieranych przedsiębiorstwach O/K/M</w:t>
            </w:r>
          </w:p>
        </w:tc>
        <w:tc>
          <w:tcPr>
            <w:tcW w:w="701" w:type="pct"/>
          </w:tcPr>
          <w:p w:rsidR="00CF19D1" w:rsidRPr="003C55C7" w:rsidRDefault="00CF19D1" w:rsidP="00BA4FB4">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tcBorders>
              <w:top w:val="single" w:sz="4" w:space="0" w:color="auto"/>
            </w:tcBorders>
            <w:shd w:val="clear" w:color="auto" w:fill="auto"/>
            <w:vAlign w:val="center"/>
          </w:tcPr>
          <w:p w:rsidR="00CF19D1" w:rsidRPr="00BF31BD" w:rsidRDefault="00CF19D1" w:rsidP="00CF19D1">
            <w:pPr>
              <w:spacing w:before="0" w:line="240" w:lineRule="auto"/>
              <w:jc w:val="both"/>
              <w:rPr>
                <w:rFonts w:asciiTheme="minorHAnsi" w:hAnsiTheme="minorHAnsi"/>
                <w:sz w:val="18"/>
                <w:szCs w:val="18"/>
                <w:lang w:val="en-US"/>
              </w:rPr>
            </w:pPr>
            <w:r w:rsidRPr="00BF31BD">
              <w:rPr>
                <w:rFonts w:asciiTheme="minorHAnsi" w:hAnsiTheme="minorHAnsi"/>
                <w:sz w:val="18"/>
                <w:szCs w:val="18"/>
                <w:lang w:val="en-US"/>
              </w:rPr>
              <w:t xml:space="preserve">Gross new working positions in supported enterprises in full time equivalents (FTE). </w:t>
            </w:r>
          </w:p>
          <w:p w:rsidR="00CF19D1" w:rsidRPr="00BF31BD" w:rsidRDefault="00CF19D1" w:rsidP="00EE47C4">
            <w:pPr>
              <w:spacing w:before="0" w:line="240" w:lineRule="auto"/>
              <w:jc w:val="both"/>
              <w:rPr>
                <w:rFonts w:asciiTheme="minorHAnsi" w:hAnsiTheme="minorHAnsi"/>
                <w:sz w:val="18"/>
                <w:szCs w:val="18"/>
                <w:lang w:val="en-US"/>
              </w:rPr>
            </w:pPr>
            <w:r w:rsidRPr="00BF31BD">
              <w:rPr>
                <w:rFonts w:asciiTheme="minorHAnsi" w:hAnsiTheme="minorHAnsi"/>
                <w:sz w:val="18"/>
                <w:szCs w:val="18"/>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CF19D1" w:rsidRPr="00BF31BD" w:rsidRDefault="00CF19D1" w:rsidP="00CF19D1">
            <w:pPr>
              <w:spacing w:line="240" w:lineRule="auto"/>
              <w:jc w:val="both"/>
              <w:rPr>
                <w:rFonts w:asciiTheme="minorHAnsi" w:hAnsiTheme="minorHAnsi"/>
                <w:sz w:val="18"/>
                <w:szCs w:val="18"/>
                <w:lang w:val="en-US"/>
              </w:rPr>
            </w:pPr>
            <w:r w:rsidRPr="00BF31BD">
              <w:rPr>
                <w:rFonts w:asciiTheme="minorHAnsi" w:hAnsiTheme="minorHAnsi"/>
                <w:sz w:val="18"/>
                <w:szCs w:val="18"/>
                <w:lang w:val="en-US"/>
              </w:rPr>
              <w:t xml:space="preserve">Gross: Not counting the origin of the jobholder as long as it directly contributes to the increase of total jobs in the </w:t>
            </w:r>
            <w:proofErr w:type="spellStart"/>
            <w:r w:rsidRPr="00BF31BD">
              <w:rPr>
                <w:rFonts w:asciiTheme="minorHAnsi" w:hAnsiTheme="minorHAnsi"/>
                <w:sz w:val="18"/>
                <w:szCs w:val="18"/>
                <w:lang w:val="en-US"/>
              </w:rPr>
              <w:t>organisation</w:t>
            </w:r>
            <w:proofErr w:type="spellEnd"/>
            <w:r w:rsidRPr="00BF31BD">
              <w:rPr>
                <w:rFonts w:asciiTheme="minorHAnsi" w:hAnsiTheme="minorHAnsi"/>
                <w:sz w:val="18"/>
                <w:szCs w:val="18"/>
                <w:lang w:val="en-US"/>
              </w:rPr>
              <w:t xml:space="preserve">. The indicator should be used if the employment increase can plausibly be attributed to the support. </w:t>
            </w:r>
          </w:p>
          <w:p w:rsidR="00CF19D1" w:rsidRPr="00BF31BD" w:rsidRDefault="00CF19D1" w:rsidP="00CF19D1">
            <w:pPr>
              <w:spacing w:line="240" w:lineRule="auto"/>
              <w:jc w:val="both"/>
              <w:rPr>
                <w:rFonts w:asciiTheme="minorHAnsi" w:hAnsiTheme="minorHAnsi"/>
                <w:sz w:val="18"/>
                <w:szCs w:val="18"/>
                <w:lang w:val="en-US"/>
              </w:rPr>
            </w:pPr>
            <w:r w:rsidRPr="00BF31BD">
              <w:rPr>
                <w:rFonts w:asciiTheme="minorHAnsi" w:hAnsiTheme="minorHAnsi"/>
                <w:sz w:val="18"/>
                <w:szCs w:val="18"/>
                <w:lang w:val="en-US"/>
              </w:rPr>
              <w:t xml:space="preserve">Full-time equivalent: Jobs can be full time, </w:t>
            </w:r>
            <w:proofErr w:type="spellStart"/>
            <w:r w:rsidRPr="00BF31BD">
              <w:rPr>
                <w:rFonts w:asciiTheme="minorHAnsi" w:hAnsiTheme="minorHAnsi"/>
                <w:sz w:val="18"/>
                <w:szCs w:val="18"/>
                <w:lang w:val="en-US"/>
              </w:rPr>
              <w:t>parttime</w:t>
            </w:r>
            <w:proofErr w:type="spellEnd"/>
            <w:r w:rsidRPr="00BF31BD">
              <w:rPr>
                <w:rFonts w:asciiTheme="minorHAnsi" w:hAnsiTheme="minorHAnsi"/>
                <w:sz w:val="18"/>
                <w:szCs w:val="18"/>
                <w:lang w:val="en-US"/>
              </w:rPr>
              <w:t xml:space="preserve"> or seasonal. Seasonal and part time jobs are to be converted to FTE using ILO/statistical/other standards. </w:t>
            </w:r>
          </w:p>
          <w:p w:rsidR="00CF19D1" w:rsidRPr="00BF31BD" w:rsidRDefault="00CF19D1" w:rsidP="00CF19D1">
            <w:pPr>
              <w:spacing w:line="240" w:lineRule="auto"/>
              <w:jc w:val="both"/>
              <w:rPr>
                <w:rFonts w:asciiTheme="minorHAnsi" w:hAnsiTheme="minorHAnsi"/>
                <w:sz w:val="18"/>
                <w:szCs w:val="18"/>
              </w:rPr>
            </w:pPr>
            <w:r w:rsidRPr="00BF31BD">
              <w:rPr>
                <w:rFonts w:asciiTheme="minorHAnsi" w:hAnsiTheme="minorHAnsi"/>
                <w:sz w:val="18"/>
                <w:szCs w:val="18"/>
              </w:rPr>
              <w:lastRenderedPageBreak/>
              <w:t xml:space="preserve">Tłumaczenie robocze: Nowe miejsca pracy brutto we wspartych  przedsiębiorstwach wyrażone w ekwiwalencie pełnego czasu pracy (EPC). </w:t>
            </w:r>
          </w:p>
          <w:p w:rsidR="00CF19D1" w:rsidRPr="00BF31BD" w:rsidRDefault="00CF19D1" w:rsidP="00EE47C4">
            <w:pPr>
              <w:spacing w:before="0" w:line="240" w:lineRule="auto"/>
              <w:jc w:val="both"/>
              <w:rPr>
                <w:rFonts w:asciiTheme="minorHAnsi" w:hAnsiTheme="minorHAnsi"/>
                <w:sz w:val="18"/>
                <w:szCs w:val="18"/>
              </w:rPr>
            </w:pPr>
            <w:r w:rsidRPr="00BF31BD">
              <w:rPr>
                <w:rFonts w:asciiTheme="minorHAnsi" w:hAnsiTheme="minorHAnsi"/>
                <w:sz w:val="18"/>
                <w:szCs w:val="18"/>
              </w:rPr>
              <w:t>Wska</w:t>
            </w:r>
            <w:r w:rsidR="00901793" w:rsidRPr="00BF31BD">
              <w:rPr>
                <w:rFonts w:asciiTheme="minorHAnsi" w:hAnsiTheme="minorHAnsi"/>
                <w:sz w:val="18"/>
                <w:szCs w:val="18"/>
              </w:rPr>
              <w:t xml:space="preserve">źnik ukazuje zmianę "przed-po" </w:t>
            </w:r>
            <w:r w:rsidRPr="00BF31BD">
              <w:rPr>
                <w:rFonts w:asciiTheme="minorHAnsi" w:hAnsiTheme="minorHAnsi"/>
                <w:sz w:val="18"/>
                <w:szCs w:val="18"/>
              </w:rPr>
              <w:t>i obejm</w:t>
            </w:r>
            <w:r w:rsidR="00901793" w:rsidRPr="00BF31BD">
              <w:rPr>
                <w:rFonts w:asciiTheme="minorHAnsi" w:hAnsiTheme="minorHAnsi"/>
                <w:sz w:val="18"/>
                <w:szCs w:val="18"/>
              </w:rPr>
              <w:t xml:space="preserve">uje część wzrostu zatrudnienia </w:t>
            </w:r>
            <w:r w:rsidRPr="00BF31BD">
              <w:rPr>
                <w:rFonts w:asciiTheme="minorHAnsi" w:hAnsiTheme="minorHAnsi"/>
                <w:sz w:val="18"/>
                <w:szCs w:val="18"/>
              </w:rPr>
              <w:t xml:space="preserve">w przedsiębiorstwie będącego bezpośrednim skutkiem zakończenia realizacji projektu (nie są wliczani pracownicy zatrudnieni do realizacji projektu). </w:t>
            </w:r>
          </w:p>
          <w:p w:rsidR="00CF19D1" w:rsidRPr="00BF31BD" w:rsidRDefault="00CF19D1" w:rsidP="00CF19D1">
            <w:pPr>
              <w:spacing w:line="240" w:lineRule="auto"/>
              <w:jc w:val="both"/>
              <w:rPr>
                <w:rFonts w:asciiTheme="minorHAnsi" w:hAnsiTheme="minorHAnsi"/>
                <w:sz w:val="18"/>
                <w:szCs w:val="18"/>
              </w:rPr>
            </w:pPr>
            <w:r w:rsidRPr="00BF31BD">
              <w:rPr>
                <w:rFonts w:asciiTheme="minorHAnsi" w:hAnsiTheme="minorHAnsi"/>
                <w:sz w:val="18"/>
                <w:szCs w:val="18"/>
              </w:rPr>
              <w:t>Uwzględnia się obsadzone miejsca pracy (wakaty nie są liczone), które zwiększ</w:t>
            </w:r>
            <w:r w:rsidR="00901793" w:rsidRPr="00BF31BD">
              <w:rPr>
                <w:rFonts w:asciiTheme="minorHAnsi" w:hAnsiTheme="minorHAnsi"/>
                <w:sz w:val="18"/>
                <w:szCs w:val="18"/>
              </w:rPr>
              <w:t xml:space="preserve">ają łączną liczbę miejsc pracy </w:t>
            </w:r>
            <w:r w:rsidRPr="00BF31BD">
              <w:rPr>
                <w:rFonts w:asciiTheme="minorHAnsi" w:hAnsiTheme="minorHAnsi"/>
                <w:sz w:val="18"/>
                <w:szCs w:val="18"/>
              </w:rPr>
              <w:t>w p</w:t>
            </w:r>
            <w:r w:rsidR="00901793" w:rsidRPr="00BF31BD">
              <w:rPr>
                <w:rFonts w:asciiTheme="minorHAnsi" w:hAnsiTheme="minorHAnsi"/>
                <w:sz w:val="18"/>
                <w:szCs w:val="18"/>
              </w:rPr>
              <w:t xml:space="preserve">rzedsiębiorstwie. Brak wzrostu </w:t>
            </w:r>
            <w:r w:rsidRPr="00BF31BD">
              <w:rPr>
                <w:rFonts w:asciiTheme="minorHAnsi" w:hAnsiTheme="minorHAnsi"/>
                <w:sz w:val="18"/>
                <w:szCs w:val="18"/>
              </w:rPr>
              <w:t>w całkowitym zatrudnieniu w przedsiębiorstwie oznacza, że wartość wskaźnika jest równa zero, co traktuje się jako wyrównanie miejsc pracy, a nie wzrost. Nie wlicza się miejsc pracy, np. utrzymanych dzięki realizacji projektu.</w:t>
            </w:r>
          </w:p>
          <w:p w:rsidR="00CF19D1" w:rsidRPr="00BF31BD" w:rsidRDefault="00CF19D1" w:rsidP="00CF19D1">
            <w:pPr>
              <w:spacing w:line="240" w:lineRule="auto"/>
              <w:jc w:val="both"/>
              <w:rPr>
                <w:rFonts w:asciiTheme="minorHAnsi" w:hAnsiTheme="minorHAnsi"/>
                <w:sz w:val="18"/>
                <w:szCs w:val="18"/>
              </w:rPr>
            </w:pPr>
            <w:r w:rsidRPr="00BF31BD">
              <w:rPr>
                <w:rFonts w:asciiTheme="minorHAnsi" w:hAnsiTheme="minorHAnsi"/>
                <w:sz w:val="18"/>
                <w:szCs w:val="18"/>
              </w:rPr>
              <w:t>Brutto: Nie uwzględniamy miejsca pracy otrzymanego w wyniku zmian wewnątrz przedsiębiorstwa, dopóki nie przyczyni się to do całkowitego wzrostu liczby miejsc pracy w przedsiębiorstwie. Wskaźnik powinien być zastosowany, jeżeli wzrost zatrudnienia może być wiar</w:t>
            </w:r>
            <w:r w:rsidR="00901793" w:rsidRPr="00BF31BD">
              <w:rPr>
                <w:rFonts w:asciiTheme="minorHAnsi" w:hAnsiTheme="minorHAnsi"/>
                <w:sz w:val="18"/>
                <w:szCs w:val="18"/>
              </w:rPr>
              <w:t xml:space="preserve">ygodnie przypisany do wsparcia </w:t>
            </w:r>
            <w:r w:rsidRPr="00BF31BD">
              <w:rPr>
                <w:rFonts w:asciiTheme="minorHAnsi" w:hAnsiTheme="minorHAnsi"/>
                <w:sz w:val="18"/>
                <w:szCs w:val="18"/>
              </w:rPr>
              <w:t>w ramach projektu.</w:t>
            </w:r>
          </w:p>
          <w:p w:rsidR="00CF19D1" w:rsidRPr="00BF31BD" w:rsidRDefault="00CF19D1" w:rsidP="00CF19D1">
            <w:pPr>
              <w:spacing w:line="240" w:lineRule="auto"/>
              <w:jc w:val="both"/>
              <w:rPr>
                <w:rFonts w:asciiTheme="minorHAnsi" w:hAnsiTheme="minorHAnsi"/>
                <w:sz w:val="18"/>
                <w:szCs w:val="18"/>
              </w:rPr>
            </w:pPr>
            <w:r w:rsidRPr="00BF31BD">
              <w:rPr>
                <w:rFonts w:asciiTheme="minorHAnsi" w:hAnsiTheme="minorHAnsi"/>
                <w:sz w:val="18"/>
                <w:szCs w:val="18"/>
              </w:rPr>
              <w:t>Ekwiwalent pełnego czasu pracy: miejsca pracy mogą być pełnoetatowe, na część etatu lub sezonowe, przy czym etaty częściowe podlegają sumowaniu lecz nie są zaokrąglane do pełnych jednostek. Zatrudnienie sezonowe i na część etatu przelicza się na EPC z wykorzystaniem standardów ILO (Międzynarodowa Organizacja Pracy)/ statystycznych/innych.</w:t>
            </w:r>
          </w:p>
        </w:tc>
        <w:tc>
          <w:tcPr>
            <w:tcW w:w="1049" w:type="pct"/>
          </w:tcPr>
          <w:p w:rsidR="00CF19D1" w:rsidRPr="00901793" w:rsidRDefault="00901793" w:rsidP="00BA4FB4">
            <w:pPr>
              <w:spacing w:line="240" w:lineRule="auto"/>
              <w:jc w:val="both"/>
              <w:rPr>
                <w:rFonts w:asciiTheme="minorHAnsi" w:hAnsiTheme="minorHAnsi"/>
                <w:szCs w:val="22"/>
              </w:rPr>
            </w:pPr>
            <w:r w:rsidRPr="00901793">
              <w:rPr>
                <w:rFonts w:asciiTheme="minorHAnsi" w:hAnsiTheme="minorHAnsi"/>
              </w:rPr>
              <w:lastRenderedPageBreak/>
              <w:t>RPO WD 2014-2020</w:t>
            </w:r>
          </w:p>
        </w:tc>
      </w:tr>
      <w:tr w:rsidR="00D80B00" w:rsidRPr="003C55C7" w:rsidTr="00BF31BD">
        <w:trPr>
          <w:trHeight w:val="3808"/>
          <w:jc w:val="center"/>
        </w:trPr>
        <w:tc>
          <w:tcPr>
            <w:tcW w:w="1189" w:type="pct"/>
            <w:shd w:val="clear" w:color="auto" w:fill="auto"/>
          </w:tcPr>
          <w:p w:rsidR="00D80B00" w:rsidRDefault="00D80B00" w:rsidP="00BA4FB4">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D80B00" w:rsidRPr="003C55C7" w:rsidRDefault="00D80B00" w:rsidP="00BA4FB4">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Pr>
          <w:p w:rsidR="00D80B00" w:rsidRPr="003C55C7" w:rsidRDefault="00D80B00" w:rsidP="00BA4FB4">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4" w:space="0" w:color="auto"/>
            </w:tcBorders>
            <w:shd w:val="clear" w:color="auto" w:fill="auto"/>
            <w:vAlign w:val="center"/>
          </w:tcPr>
          <w:p w:rsidR="00D96D24" w:rsidRPr="00BF31BD" w:rsidRDefault="00D96D24" w:rsidP="00D96D24">
            <w:pPr>
              <w:spacing w:line="240" w:lineRule="auto"/>
              <w:jc w:val="both"/>
              <w:rPr>
                <w:rFonts w:asciiTheme="minorHAnsi" w:hAnsiTheme="minorHAnsi"/>
                <w:sz w:val="18"/>
                <w:szCs w:val="18"/>
              </w:rPr>
            </w:pPr>
            <w:r w:rsidRPr="00BF31BD">
              <w:rPr>
                <w:rFonts w:asciiTheme="minorHAnsi" w:hAnsiTheme="minorHAnsi"/>
                <w:sz w:val="18"/>
                <w:szCs w:val="18"/>
              </w:rPr>
              <w:t>Nowe miejsca pracy brutto we wspartych  podmiotach</w:t>
            </w:r>
            <w:r w:rsidRPr="00BF31BD">
              <w:rPr>
                <w:rFonts w:asciiTheme="minorHAnsi" w:hAnsiTheme="minorHAnsi" w:cs="ArialNarrow"/>
                <w:sz w:val="18"/>
                <w:szCs w:val="18"/>
              </w:rPr>
              <w:t xml:space="preserve"> (innych niż przedsiębiorstwa) </w:t>
            </w:r>
            <w:r w:rsidRPr="00BF31BD">
              <w:rPr>
                <w:rFonts w:asciiTheme="minorHAnsi" w:hAnsiTheme="minorHAnsi"/>
                <w:sz w:val="18"/>
                <w:szCs w:val="18"/>
              </w:rPr>
              <w:t xml:space="preserve">wyrażone w ekwiwalencie pełnego czasu pracy (EPC). </w:t>
            </w:r>
          </w:p>
          <w:p w:rsidR="00D96D24" w:rsidRPr="00BF31BD" w:rsidRDefault="00D96D24" w:rsidP="00D96D24">
            <w:pPr>
              <w:spacing w:line="240" w:lineRule="auto"/>
              <w:jc w:val="both"/>
              <w:rPr>
                <w:rFonts w:asciiTheme="minorHAnsi" w:hAnsiTheme="minorHAnsi"/>
                <w:sz w:val="18"/>
                <w:szCs w:val="18"/>
              </w:rPr>
            </w:pPr>
            <w:r w:rsidRPr="00BF31BD">
              <w:rPr>
                <w:rFonts w:asciiTheme="minorHAnsi" w:hAnsiTheme="minorHAnsi"/>
                <w:sz w:val="18"/>
                <w:szCs w:val="18"/>
              </w:rPr>
              <w:t xml:space="preserve">Wskaźnik ukazuje zmianę "przed-po" </w:t>
            </w:r>
            <w:r w:rsidRPr="00BF31BD">
              <w:rPr>
                <w:rFonts w:asciiTheme="minorHAnsi" w:hAnsiTheme="minorHAnsi"/>
                <w:sz w:val="18"/>
                <w:szCs w:val="18"/>
              </w:rPr>
              <w:br/>
              <w:t xml:space="preserve">i obejmuje część wzrostu zatrudnienia </w:t>
            </w:r>
            <w:r w:rsidRPr="00BF31BD">
              <w:rPr>
                <w:rFonts w:asciiTheme="minorHAnsi" w:hAnsiTheme="minorHAnsi"/>
                <w:sz w:val="18"/>
                <w:szCs w:val="18"/>
              </w:rPr>
              <w:br/>
              <w:t xml:space="preserve">w podmiocie będącego bezpośrednim skutkiem zakończenia realizacji projektu (nie są wliczani pracownicy zatrudnieni do realizacji projektu). </w:t>
            </w:r>
          </w:p>
          <w:p w:rsidR="00D96D24" w:rsidRPr="00BF31BD" w:rsidRDefault="00D96D24" w:rsidP="00D96D24">
            <w:pPr>
              <w:spacing w:after="240" w:line="240" w:lineRule="auto"/>
              <w:jc w:val="both"/>
              <w:rPr>
                <w:rFonts w:asciiTheme="minorHAnsi" w:hAnsiTheme="minorHAnsi"/>
                <w:sz w:val="18"/>
                <w:szCs w:val="18"/>
              </w:rPr>
            </w:pPr>
            <w:r w:rsidRPr="00BF31BD">
              <w:rPr>
                <w:rFonts w:asciiTheme="minorHAnsi" w:hAnsiTheme="minorHAnsi"/>
                <w:sz w:val="18"/>
                <w:szCs w:val="18"/>
              </w:rPr>
              <w:t xml:space="preserve">Uwzględnia się obsadzone miejsca pracy (wakaty nie są liczone), które zwiększają łączną liczbę miejsc pracy </w:t>
            </w:r>
            <w:r w:rsidRPr="00BF31BD">
              <w:rPr>
                <w:rFonts w:asciiTheme="minorHAnsi" w:hAnsiTheme="minorHAnsi"/>
                <w:sz w:val="18"/>
                <w:szCs w:val="18"/>
              </w:rPr>
              <w:br/>
              <w:t xml:space="preserve">w podmiocie </w:t>
            </w:r>
            <w:r w:rsidRPr="00BF31BD">
              <w:rPr>
                <w:rFonts w:asciiTheme="minorHAnsi" w:hAnsiTheme="minorHAnsi" w:cs="ArialNarrow"/>
                <w:sz w:val="18"/>
                <w:szCs w:val="18"/>
              </w:rPr>
              <w:t xml:space="preserve">(innym niż przedsiębiorstwa) </w:t>
            </w:r>
            <w:r w:rsidRPr="00BF31BD">
              <w:rPr>
                <w:rFonts w:asciiTheme="minorHAnsi" w:hAnsiTheme="minorHAnsi"/>
                <w:sz w:val="18"/>
                <w:szCs w:val="18"/>
              </w:rPr>
              <w:t xml:space="preserve">  . Brak wzrostu </w:t>
            </w:r>
            <w:r w:rsidRPr="00BF31BD">
              <w:rPr>
                <w:rFonts w:asciiTheme="minorHAnsi" w:hAnsiTheme="minorHAnsi"/>
                <w:sz w:val="18"/>
                <w:szCs w:val="18"/>
              </w:rPr>
              <w:br/>
              <w:t xml:space="preserve">w całkowitym zatrudnieniu </w:t>
            </w:r>
            <w:r w:rsidRPr="00BF31BD">
              <w:rPr>
                <w:rFonts w:asciiTheme="minorHAnsi" w:hAnsiTheme="minorHAnsi"/>
                <w:sz w:val="18"/>
                <w:szCs w:val="18"/>
              </w:rPr>
              <w:br/>
              <w:t xml:space="preserve">w podmiocie </w:t>
            </w:r>
            <w:r w:rsidRPr="00BF31BD">
              <w:rPr>
                <w:rFonts w:asciiTheme="minorHAnsi" w:hAnsiTheme="minorHAnsi" w:cs="ArialNarrow"/>
                <w:sz w:val="18"/>
                <w:szCs w:val="18"/>
              </w:rPr>
              <w:t xml:space="preserve">(innym niż przedsiębiorstwa) </w:t>
            </w:r>
            <w:r w:rsidRPr="00BF31BD">
              <w:rPr>
                <w:rFonts w:asciiTheme="minorHAnsi" w:hAnsiTheme="minorHAnsi"/>
                <w:sz w:val="18"/>
                <w:szCs w:val="18"/>
              </w:rPr>
              <w:t xml:space="preserve">  oznacza, że wartość wskaźnika jest równa zero, co traktuje się jako wyrównanie miejsc pracy, a nie wzrost. Nie wlicza się miejsc pracy, np. utrzymanych dzięki realizacji projektu.</w:t>
            </w:r>
          </w:p>
          <w:p w:rsidR="00D96D24" w:rsidRPr="00BF31BD" w:rsidRDefault="00D96D24" w:rsidP="00D96D24">
            <w:pPr>
              <w:spacing w:after="240" w:line="240" w:lineRule="auto"/>
              <w:jc w:val="both"/>
              <w:rPr>
                <w:rFonts w:asciiTheme="minorHAnsi" w:hAnsiTheme="minorHAnsi"/>
                <w:sz w:val="18"/>
                <w:szCs w:val="18"/>
              </w:rPr>
            </w:pPr>
            <w:r w:rsidRPr="00BF31BD">
              <w:rPr>
                <w:rFonts w:asciiTheme="minorHAnsi" w:hAnsiTheme="minorHAnsi"/>
                <w:sz w:val="18"/>
                <w:szCs w:val="18"/>
              </w:rPr>
              <w:t xml:space="preserve">Brutto: Nie uwzględniamy miejsca pracy otrzymanego w wyniku zmian wewnątrz podmiotu </w:t>
            </w:r>
            <w:r w:rsidRPr="00BF31BD">
              <w:rPr>
                <w:rFonts w:asciiTheme="minorHAnsi" w:hAnsiTheme="minorHAnsi" w:cs="ArialNarrow"/>
                <w:sz w:val="18"/>
                <w:szCs w:val="18"/>
              </w:rPr>
              <w:t>(innego niż przedsiębiorstwa)</w:t>
            </w:r>
            <w:r w:rsidRPr="00BF31BD">
              <w:rPr>
                <w:rFonts w:asciiTheme="minorHAnsi" w:hAnsiTheme="minorHAnsi"/>
                <w:sz w:val="18"/>
                <w:szCs w:val="18"/>
              </w:rPr>
              <w:t xml:space="preserve">, dopóki nie przyczyni się to do całkowitego wzrostu liczby </w:t>
            </w:r>
            <w:r w:rsidRPr="00BF31BD">
              <w:rPr>
                <w:rFonts w:asciiTheme="minorHAnsi" w:hAnsiTheme="minorHAnsi"/>
                <w:sz w:val="18"/>
                <w:szCs w:val="18"/>
              </w:rPr>
              <w:lastRenderedPageBreak/>
              <w:t>miejsc pracy w podmiocie. Wskaźnik powinien być zastosowany, jeżeli wzrost zatrudnienia może być wiarygodnie przypisany do wsparcia w ramach projektu.</w:t>
            </w:r>
          </w:p>
          <w:p w:rsidR="00D80B00" w:rsidRPr="00BF31BD" w:rsidRDefault="00D96D24" w:rsidP="00BA4FB4">
            <w:pPr>
              <w:spacing w:line="240" w:lineRule="auto"/>
              <w:jc w:val="both"/>
              <w:rPr>
                <w:rFonts w:asciiTheme="minorHAnsi" w:hAnsiTheme="minorHAnsi"/>
                <w:i/>
                <w:sz w:val="18"/>
                <w:szCs w:val="18"/>
              </w:rPr>
            </w:pPr>
            <w:r w:rsidRPr="00BF31BD">
              <w:rPr>
                <w:rFonts w:asciiTheme="minorHAnsi" w:hAnsiTheme="minorHAnsi"/>
                <w:sz w:val="18"/>
                <w:szCs w:val="18"/>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BF31BD">
              <w:rPr>
                <w:rFonts w:asciiTheme="minorHAnsi" w:hAnsiTheme="minorHAnsi"/>
                <w:sz w:val="18"/>
                <w:szCs w:val="18"/>
              </w:rPr>
              <w:br/>
              <w:t>z wykorzystaniem standardów ILO (Międzynarodowa Organizacja</w:t>
            </w:r>
            <w:r w:rsidR="00BF31BD">
              <w:rPr>
                <w:rFonts w:asciiTheme="minorHAnsi" w:hAnsiTheme="minorHAnsi"/>
                <w:sz w:val="18"/>
                <w:szCs w:val="18"/>
              </w:rPr>
              <w:t xml:space="preserve"> Pracy)/ statysty</w:t>
            </w:r>
            <w:bookmarkStart w:id="3" w:name="_GoBack"/>
            <w:bookmarkEnd w:id="3"/>
            <w:r w:rsidR="00BF31BD">
              <w:rPr>
                <w:rFonts w:asciiTheme="minorHAnsi" w:hAnsiTheme="minorHAnsi"/>
                <w:sz w:val="18"/>
                <w:szCs w:val="18"/>
              </w:rPr>
              <w:t>cznych/innych.</w:t>
            </w:r>
          </w:p>
        </w:tc>
        <w:tc>
          <w:tcPr>
            <w:tcW w:w="1049" w:type="pct"/>
          </w:tcPr>
          <w:p w:rsidR="00D80B00" w:rsidRPr="003C55C7" w:rsidRDefault="00D80B00" w:rsidP="00BA4FB4">
            <w:pPr>
              <w:spacing w:line="240" w:lineRule="auto"/>
              <w:jc w:val="both"/>
              <w:rPr>
                <w:rFonts w:asciiTheme="minorHAnsi" w:hAnsiTheme="minorHAnsi"/>
                <w:szCs w:val="22"/>
              </w:rPr>
            </w:pPr>
            <w:r w:rsidRPr="003C55C7">
              <w:rPr>
                <w:rFonts w:asciiTheme="minorHAnsi" w:hAnsiTheme="minorHAnsi"/>
                <w:szCs w:val="22"/>
              </w:rPr>
              <w:lastRenderedPageBreak/>
              <w:t>horyzontalny</w:t>
            </w:r>
          </w:p>
        </w:tc>
      </w:tr>
      <w:tr w:rsidR="00D80B00" w:rsidRPr="003C55C7" w:rsidTr="00BA4FB4">
        <w:trPr>
          <w:trHeight w:val="20"/>
          <w:jc w:val="center"/>
        </w:trPr>
        <w:tc>
          <w:tcPr>
            <w:tcW w:w="1189" w:type="pct"/>
            <w:shd w:val="clear" w:color="auto" w:fill="auto"/>
          </w:tcPr>
          <w:p w:rsidR="00D80B00" w:rsidRPr="003C55C7" w:rsidRDefault="00D80B00" w:rsidP="00BA4FB4">
            <w:pPr>
              <w:pStyle w:val="Default"/>
              <w:rPr>
                <w:rFonts w:asciiTheme="minorHAnsi" w:hAnsiTheme="minorHAnsi" w:cs="ArialNarrow"/>
                <w:sz w:val="22"/>
                <w:szCs w:val="22"/>
              </w:rPr>
            </w:pPr>
            <w:r w:rsidRPr="003C55C7">
              <w:rPr>
                <w:rFonts w:asciiTheme="minorHAnsi" w:hAnsiTheme="minorHAnsi" w:cs="ArialNarrow"/>
                <w:sz w:val="22"/>
                <w:szCs w:val="22"/>
              </w:rPr>
              <w:lastRenderedPageBreak/>
              <w:t>Liczba utrzymanych miejsc pracy</w:t>
            </w:r>
          </w:p>
        </w:tc>
        <w:tc>
          <w:tcPr>
            <w:tcW w:w="701" w:type="pct"/>
          </w:tcPr>
          <w:p w:rsidR="00D80B00" w:rsidRPr="003C55C7" w:rsidRDefault="00D80B00" w:rsidP="00BA4FB4">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D80B00" w:rsidRPr="00BF31BD" w:rsidRDefault="00D80B00" w:rsidP="00BA4FB4">
            <w:pPr>
              <w:autoSpaceDE w:val="0"/>
              <w:autoSpaceDN w:val="0"/>
              <w:adjustRightInd w:val="0"/>
              <w:spacing w:before="0" w:line="240" w:lineRule="auto"/>
              <w:jc w:val="both"/>
              <w:rPr>
                <w:rFonts w:asciiTheme="minorHAnsi" w:eastAsiaTheme="minorHAnsi" w:hAnsiTheme="minorHAnsi" w:cstheme="minorBidi"/>
                <w:sz w:val="18"/>
                <w:szCs w:val="18"/>
                <w:lang w:eastAsia="en-US"/>
              </w:rPr>
            </w:pPr>
            <w:r w:rsidRPr="00BF31BD">
              <w:rPr>
                <w:rFonts w:asciiTheme="minorHAnsi" w:eastAsiaTheme="minorHAnsi" w:hAnsiTheme="minorHAnsi" w:cstheme="minorBidi"/>
                <w:sz w:val="18"/>
                <w:szCs w:val="18"/>
                <w:lang w:eastAsia="en-US"/>
              </w:rPr>
              <w:t>Miejsca pracy utworzone w wyniku realizacji projektu, lecz nie powodują wzrostu zatrudnienia w organizacji</w:t>
            </w:r>
          </w:p>
          <w:p w:rsidR="00D80B00" w:rsidRPr="00BF31BD" w:rsidRDefault="00D80B00" w:rsidP="00BA4FB4">
            <w:pPr>
              <w:spacing w:line="240" w:lineRule="auto"/>
              <w:jc w:val="both"/>
              <w:rPr>
                <w:rFonts w:ascii="Arial Narrow" w:hAnsi="Arial Narrow"/>
                <w:color w:val="333399"/>
                <w:sz w:val="18"/>
                <w:szCs w:val="18"/>
              </w:rPr>
            </w:pPr>
          </w:p>
        </w:tc>
        <w:tc>
          <w:tcPr>
            <w:tcW w:w="1049" w:type="pct"/>
          </w:tcPr>
          <w:p w:rsidR="00D80B00" w:rsidRPr="003C55C7" w:rsidRDefault="00D80B00" w:rsidP="00BA4FB4">
            <w:pPr>
              <w:spacing w:line="240" w:lineRule="auto"/>
              <w:jc w:val="both"/>
              <w:rPr>
                <w:rFonts w:asciiTheme="minorHAnsi" w:hAnsiTheme="minorHAnsi"/>
                <w:szCs w:val="22"/>
              </w:rPr>
            </w:pPr>
            <w:r w:rsidRPr="003C55C7">
              <w:rPr>
                <w:rFonts w:asciiTheme="minorHAnsi" w:hAnsiTheme="minorHAnsi"/>
                <w:szCs w:val="22"/>
              </w:rPr>
              <w:t>horyzontalny</w:t>
            </w:r>
          </w:p>
        </w:tc>
      </w:tr>
      <w:tr w:rsidR="00D80B00" w:rsidRPr="003C55C7" w:rsidTr="00BA4FB4">
        <w:trPr>
          <w:trHeight w:val="20"/>
          <w:jc w:val="center"/>
        </w:trPr>
        <w:tc>
          <w:tcPr>
            <w:tcW w:w="1189" w:type="pct"/>
            <w:shd w:val="clear" w:color="auto" w:fill="auto"/>
          </w:tcPr>
          <w:p w:rsidR="00D80B00" w:rsidRPr="003C55C7" w:rsidRDefault="00D80B00" w:rsidP="00BA4FB4">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Pr>
          <w:p w:rsidR="00D80B00" w:rsidRPr="003C55C7" w:rsidRDefault="00D80B00" w:rsidP="00BA4FB4">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D80B00" w:rsidRPr="00BF31BD" w:rsidRDefault="00D80B00" w:rsidP="00BA4FB4">
            <w:pPr>
              <w:autoSpaceDE w:val="0"/>
              <w:autoSpaceDN w:val="0"/>
              <w:adjustRightInd w:val="0"/>
              <w:spacing w:before="0" w:line="240" w:lineRule="auto"/>
              <w:jc w:val="both"/>
              <w:rPr>
                <w:rFonts w:asciiTheme="minorHAnsi" w:eastAsiaTheme="minorHAnsi" w:hAnsiTheme="minorHAnsi" w:cs="Verdana"/>
                <w:sz w:val="18"/>
                <w:szCs w:val="18"/>
                <w:lang w:eastAsia="en-US"/>
              </w:rPr>
            </w:pPr>
            <w:r w:rsidRPr="00BF31BD">
              <w:rPr>
                <w:rFonts w:asciiTheme="minorHAnsi" w:eastAsiaTheme="minorHAnsi" w:hAnsiTheme="minorHAnsi" w:cstheme="minorBidi"/>
                <w:iCs/>
                <w:sz w:val="18"/>
                <w:szCs w:val="18"/>
                <w:lang w:eastAsia="en-US"/>
              </w:rPr>
              <w:t>Pozostałe formy</w:t>
            </w:r>
            <w:r w:rsidRPr="00BF31BD">
              <w:rPr>
                <w:rFonts w:asciiTheme="minorHAnsi" w:eastAsiaTheme="minorHAnsi" w:hAnsiTheme="minorHAnsi" w:cs="Verdana"/>
                <w:sz w:val="18"/>
                <w:szCs w:val="18"/>
                <w:lang w:eastAsia="en-US"/>
              </w:rPr>
              <w:t xml:space="preserve">, np. umowy cywilnoprawne, miejsca pracy do obsługi projektu, nietrwałe miejsca pracy </w:t>
            </w:r>
          </w:p>
          <w:p w:rsidR="00D80B00" w:rsidRPr="00BF31BD" w:rsidRDefault="00D80B00" w:rsidP="00BA4FB4">
            <w:pPr>
              <w:spacing w:line="240" w:lineRule="auto"/>
              <w:jc w:val="both"/>
              <w:rPr>
                <w:rFonts w:ascii="Arial Narrow" w:hAnsi="Arial Narrow"/>
                <w:color w:val="333399"/>
                <w:sz w:val="18"/>
                <w:szCs w:val="18"/>
              </w:rPr>
            </w:pPr>
          </w:p>
        </w:tc>
        <w:tc>
          <w:tcPr>
            <w:tcW w:w="1049" w:type="pct"/>
          </w:tcPr>
          <w:p w:rsidR="00D80B00" w:rsidRPr="003C55C7" w:rsidRDefault="00D80B00" w:rsidP="00BA4FB4">
            <w:pPr>
              <w:spacing w:line="240" w:lineRule="auto"/>
              <w:jc w:val="both"/>
              <w:rPr>
                <w:rFonts w:asciiTheme="minorHAnsi" w:hAnsiTheme="minorHAnsi"/>
                <w:szCs w:val="22"/>
              </w:rPr>
            </w:pPr>
            <w:r w:rsidRPr="003C55C7">
              <w:rPr>
                <w:rFonts w:asciiTheme="minorHAnsi" w:hAnsiTheme="minorHAnsi"/>
                <w:szCs w:val="22"/>
              </w:rPr>
              <w:t>horyzontalny</w:t>
            </w:r>
          </w:p>
        </w:tc>
      </w:tr>
    </w:tbl>
    <w:p w:rsidR="00335935"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AA6B29"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 </w:t>
      </w:r>
    </w:p>
    <w:p w:rsidR="00415E92" w:rsidRPr="0044238B" w:rsidRDefault="00415E92" w:rsidP="00415E92">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Pr>
          <w:rFonts w:asciiTheme="minorHAnsi" w:eastAsiaTheme="minorHAnsi" w:hAnsiTheme="minorHAnsi" w:cs="Arial"/>
          <w:szCs w:val="22"/>
          <w:lang w:eastAsia="en-US"/>
        </w:rPr>
        <w:t xml:space="preserve">oraz </w:t>
      </w:r>
      <w:r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t>
      </w:r>
      <w:r>
        <w:rPr>
          <w:rFonts w:asciiTheme="minorHAnsi" w:eastAsiaTheme="minorHAnsi" w:hAnsiTheme="minorHAnsi" w:cs="Arial"/>
          <w:szCs w:val="22"/>
          <w:lang w:eastAsia="en-US"/>
        </w:rPr>
        <w:t xml:space="preserve"> </w:t>
      </w:r>
      <w:r w:rsidRPr="00911273">
        <w:rPr>
          <w:rFonts w:asciiTheme="minorHAnsi" w:eastAsiaTheme="minorHAnsi" w:hAnsiTheme="minorHAnsi" w:cs="Arial"/>
          <w:szCs w:val="22"/>
          <w:lang w:eastAsia="en-US"/>
        </w:rPr>
        <w:t xml:space="preserve">w powyższych tabelach, odpowiadające </w:t>
      </w:r>
      <w:r>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415E92" w:rsidRPr="0044238B" w:rsidRDefault="00415E92" w:rsidP="00415E92">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 przypadku każdego wskaźnika powinna być wykazana na poziomie „0”.</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a) w przypadku wskaźników produktu – w okresie od podpisania umowy o dofinansowanie, przy czym osiągnięte wartości powinny zostać wykazane najpóźniej we wniosku o płatność końcową, </w:t>
      </w:r>
    </w:p>
    <w:p w:rsidR="00415E92" w:rsidRPr="00340A6B" w:rsidRDefault="00415E92" w:rsidP="00415E92">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415E92" w:rsidRPr="00340A6B" w:rsidRDefault="00415E92" w:rsidP="00415E92">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32765F" w:rsidRPr="00911273" w:rsidRDefault="0032765F" w:rsidP="00415E92">
      <w:pPr>
        <w:autoSpaceDE w:val="0"/>
        <w:autoSpaceDN w:val="0"/>
        <w:adjustRightInd w:val="0"/>
        <w:spacing w:before="120" w:after="120" w:line="240" w:lineRule="auto"/>
        <w:jc w:val="both"/>
        <w:rPr>
          <w:szCs w:val="22"/>
        </w:rPr>
      </w:pPr>
    </w:p>
    <w:sectPr w:rsidR="0032765F" w:rsidRPr="00911273" w:rsidSect="003F502A">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24" w:rsidRDefault="00A81824" w:rsidP="008C495E">
      <w:pPr>
        <w:spacing w:before="0" w:line="240" w:lineRule="auto"/>
      </w:pPr>
      <w:r>
        <w:separator/>
      </w:r>
    </w:p>
  </w:endnote>
  <w:endnote w:type="continuationSeparator" w:id="0">
    <w:p w:rsidR="00A81824" w:rsidRDefault="00A81824"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017"/>
      <w:docPartObj>
        <w:docPartGallery w:val="Page Numbers (Bottom of Page)"/>
        <w:docPartUnique/>
      </w:docPartObj>
    </w:sdtPr>
    <w:sdtEndPr/>
    <w:sdtContent>
      <w:p w:rsidR="00A66C0C" w:rsidRDefault="009843C6">
        <w:pPr>
          <w:pStyle w:val="Stopka"/>
          <w:jc w:val="right"/>
        </w:pPr>
        <w:r>
          <w:fldChar w:fldCharType="begin"/>
        </w:r>
        <w:r w:rsidR="00A66C0C">
          <w:instrText>PAGE   \* MERGEFORMAT</w:instrText>
        </w:r>
        <w:r>
          <w:fldChar w:fldCharType="separate"/>
        </w:r>
        <w:r w:rsidR="00BF31BD">
          <w:rPr>
            <w:noProof/>
          </w:rPr>
          <w:t>9</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2018"/>
      <w:docPartObj>
        <w:docPartGallery w:val="Page Numbers (Bottom of Page)"/>
        <w:docPartUnique/>
      </w:docPartObj>
    </w:sdtPr>
    <w:sdtEndPr/>
    <w:sdtContent>
      <w:p w:rsidR="00B33F83" w:rsidRDefault="009843C6">
        <w:pPr>
          <w:pStyle w:val="Stopka"/>
          <w:jc w:val="right"/>
        </w:pPr>
        <w:r>
          <w:fldChar w:fldCharType="begin"/>
        </w:r>
        <w:r w:rsidR="00B7566F">
          <w:instrText xml:space="preserve"> PAGE   \* MERGEFORMAT </w:instrText>
        </w:r>
        <w:r>
          <w:fldChar w:fldCharType="separate"/>
        </w:r>
        <w:r w:rsidR="00476099">
          <w:rPr>
            <w:noProof/>
          </w:rPr>
          <w:t>1</w:t>
        </w:r>
        <w:r>
          <w:rPr>
            <w:noProof/>
          </w:rPr>
          <w:fldChar w:fldCharType="end"/>
        </w:r>
      </w:p>
    </w:sdtContent>
  </w:sdt>
  <w:p w:rsidR="00B33F83" w:rsidRDefault="00B33F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24" w:rsidRDefault="00A81824" w:rsidP="008C495E">
      <w:pPr>
        <w:spacing w:before="0" w:line="240" w:lineRule="auto"/>
      </w:pPr>
      <w:r>
        <w:separator/>
      </w:r>
    </w:p>
  </w:footnote>
  <w:footnote w:type="continuationSeparator" w:id="0">
    <w:p w:rsidR="00A81824" w:rsidRDefault="00A81824"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83" w:rsidRDefault="00B33F83" w:rsidP="00B33F83">
    <w:pPr>
      <w:pStyle w:val="Nagwek"/>
      <w:tabs>
        <w:tab w:val="left" w:pos="6602"/>
      </w:tabs>
      <w:rPr>
        <w:noProof/>
        <w:sz w:val="16"/>
        <w:szCs w:val="16"/>
      </w:rPr>
    </w:pPr>
    <w:r>
      <w:rPr>
        <w:noProof/>
        <w:sz w:val="16"/>
        <w:szCs w:val="16"/>
      </w:rPr>
      <w:tab/>
    </w:r>
    <w:r>
      <w:rPr>
        <w:noProof/>
        <w:sz w:val="16"/>
        <w:szCs w:val="16"/>
      </w:rPr>
      <w:tab/>
    </w:r>
    <w:r w:rsidRPr="00B33F83">
      <w:rPr>
        <w:noProof/>
        <w:sz w:val="16"/>
        <w:szCs w:val="16"/>
      </w:rPr>
      <w:drawing>
        <wp:anchor distT="0" distB="0" distL="114300" distR="114300" simplePos="0" relativeHeight="251660800" behindDoc="1" locked="0" layoutInCell="1" allowOverlap="1" wp14:anchorId="5833AC73" wp14:editId="516B8D6C">
          <wp:simplePos x="0" y="0"/>
          <wp:positionH relativeFrom="column">
            <wp:posOffset>347980</wp:posOffset>
          </wp:positionH>
          <wp:positionV relativeFrom="paragraph">
            <wp:posOffset>-137795</wp:posOffset>
          </wp:positionV>
          <wp:extent cx="4971415" cy="619125"/>
          <wp:effectExtent l="0" t="0" r="635" b="9525"/>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sz w:val="16"/>
        <w:szCs w:val="16"/>
      </w:rPr>
      <w:tab/>
    </w:r>
  </w:p>
  <w:p w:rsidR="00B33F83" w:rsidRDefault="00B33F83" w:rsidP="003A3F65">
    <w:pPr>
      <w:pStyle w:val="Nagwek"/>
      <w:jc w:val="right"/>
      <w:rPr>
        <w:noProof/>
        <w:sz w:val="16"/>
        <w:szCs w:val="16"/>
      </w:rPr>
    </w:pPr>
  </w:p>
  <w:p w:rsidR="00B33F83" w:rsidRDefault="00B33F83" w:rsidP="003A3F65">
    <w:pPr>
      <w:pStyle w:val="Nagwek"/>
      <w:jc w:val="right"/>
      <w:rPr>
        <w:noProof/>
        <w:sz w:val="16"/>
        <w:szCs w:val="16"/>
      </w:rPr>
    </w:pPr>
  </w:p>
  <w:p w:rsidR="00B33F83" w:rsidRDefault="00B33F83" w:rsidP="003A3F65">
    <w:pPr>
      <w:pStyle w:val="Nagwek"/>
      <w:jc w:val="right"/>
      <w:rPr>
        <w:noProof/>
        <w:sz w:val="16"/>
        <w:szCs w:val="16"/>
      </w:rPr>
    </w:pPr>
  </w:p>
  <w:p w:rsidR="00E313C3" w:rsidRPr="00FD21DC" w:rsidRDefault="00E313C3" w:rsidP="00E313C3">
    <w:pPr>
      <w:tabs>
        <w:tab w:val="center" w:pos="4536"/>
        <w:tab w:val="right" w:pos="9072"/>
      </w:tabs>
      <w:spacing w:before="0" w:line="240" w:lineRule="auto"/>
      <w:jc w:val="right"/>
      <w:rPr>
        <w:rFonts w:asciiTheme="minorHAnsi" w:hAnsiTheme="minorHAnsi"/>
        <w:sz w:val="18"/>
        <w:szCs w:val="18"/>
      </w:rPr>
    </w:pPr>
    <w:r w:rsidRPr="00FD21DC">
      <w:rPr>
        <w:rFonts w:asciiTheme="minorHAnsi" w:hAnsiTheme="minorHAnsi"/>
        <w:sz w:val="18"/>
        <w:szCs w:val="18"/>
      </w:rPr>
      <w:t>Załącz</w:t>
    </w:r>
    <w:r w:rsidR="00EB63F1">
      <w:rPr>
        <w:rFonts w:asciiTheme="minorHAnsi" w:hAnsiTheme="minorHAnsi"/>
        <w:sz w:val="18"/>
        <w:szCs w:val="18"/>
      </w:rPr>
      <w:t>nik  nr 2 do Regulaminu konkursu</w:t>
    </w:r>
  </w:p>
  <w:p w:rsidR="00E313C3" w:rsidRPr="00FD21DC" w:rsidRDefault="00EB63F1" w:rsidP="00E313C3">
    <w:pPr>
      <w:spacing w:before="0" w:line="240" w:lineRule="auto"/>
      <w:jc w:val="right"/>
      <w:rPr>
        <w:rFonts w:asciiTheme="minorHAnsi" w:hAnsiTheme="minorHAnsi"/>
        <w:sz w:val="18"/>
        <w:szCs w:val="18"/>
      </w:rPr>
    </w:pPr>
    <w:r>
      <w:rPr>
        <w:rFonts w:asciiTheme="minorHAnsi" w:hAnsiTheme="minorHAnsi"/>
        <w:sz w:val="18"/>
        <w:szCs w:val="18"/>
      </w:rPr>
      <w:t>Nr naboru RPDS.01</w:t>
    </w:r>
    <w:r w:rsidR="00E313C3" w:rsidRPr="00FD21DC">
      <w:rPr>
        <w:rFonts w:asciiTheme="minorHAnsi" w:hAnsiTheme="minorHAnsi"/>
        <w:sz w:val="18"/>
        <w:szCs w:val="18"/>
      </w:rPr>
      <w:t>.01</w:t>
    </w:r>
    <w:r w:rsidR="00191695">
      <w:rPr>
        <w:rFonts w:asciiTheme="minorHAnsi" w:hAnsiTheme="minorHAnsi"/>
        <w:sz w:val="18"/>
        <w:szCs w:val="18"/>
      </w:rPr>
      <w:t>.00</w:t>
    </w:r>
    <w:r w:rsidR="00E313C3" w:rsidRPr="00FD21DC">
      <w:rPr>
        <w:rFonts w:asciiTheme="minorHAnsi" w:hAnsiTheme="minorHAnsi"/>
        <w:sz w:val="18"/>
        <w:szCs w:val="18"/>
      </w:rPr>
      <w:t>-IZ.00-02-</w:t>
    </w:r>
    <w:r w:rsidR="00191695" w:rsidRPr="00191695">
      <w:rPr>
        <w:rFonts w:asciiTheme="minorHAnsi" w:hAnsiTheme="minorHAnsi"/>
        <w:sz w:val="18"/>
        <w:szCs w:val="18"/>
      </w:rPr>
      <w:t>156</w:t>
    </w:r>
    <w:r w:rsidR="00E313C3" w:rsidRPr="00191695">
      <w:rPr>
        <w:rFonts w:asciiTheme="minorHAnsi" w:hAnsiTheme="minorHAnsi"/>
        <w:sz w:val="18"/>
        <w:szCs w:val="18"/>
      </w:rPr>
      <w:t>/16</w:t>
    </w:r>
  </w:p>
  <w:p w:rsidR="00E313C3" w:rsidRPr="00FD21DC" w:rsidRDefault="00E313C3" w:rsidP="00EB63F1">
    <w:pPr>
      <w:spacing w:before="0" w:line="240" w:lineRule="auto"/>
      <w:jc w:val="right"/>
      <w:rPr>
        <w:rFonts w:asciiTheme="minorHAnsi" w:hAnsiTheme="minorHAnsi"/>
        <w:sz w:val="18"/>
        <w:szCs w:val="18"/>
      </w:rPr>
    </w:pPr>
  </w:p>
  <w:p w:rsidR="0083253A" w:rsidRPr="003A3F65" w:rsidRDefault="0083253A" w:rsidP="00E313C3">
    <w:pPr>
      <w:pStyle w:val="Nagwek"/>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2E70"/>
    <w:rsid w:val="0000550C"/>
    <w:rsid w:val="000132CC"/>
    <w:rsid w:val="000215F0"/>
    <w:rsid w:val="000253C7"/>
    <w:rsid w:val="000350F4"/>
    <w:rsid w:val="0006430D"/>
    <w:rsid w:val="00094C3F"/>
    <w:rsid w:val="000972D6"/>
    <w:rsid w:val="000B05C7"/>
    <w:rsid w:val="000B3116"/>
    <w:rsid w:val="000C0A4C"/>
    <w:rsid w:val="000D7D03"/>
    <w:rsid w:val="000E4543"/>
    <w:rsid w:val="000E7DD8"/>
    <w:rsid w:val="000F2AC0"/>
    <w:rsid w:val="000F2F7C"/>
    <w:rsid w:val="000F5C98"/>
    <w:rsid w:val="00122EE4"/>
    <w:rsid w:val="001375BD"/>
    <w:rsid w:val="00140414"/>
    <w:rsid w:val="00141571"/>
    <w:rsid w:val="001437C9"/>
    <w:rsid w:val="0015486C"/>
    <w:rsid w:val="00162039"/>
    <w:rsid w:val="00175453"/>
    <w:rsid w:val="00184A53"/>
    <w:rsid w:val="00191605"/>
    <w:rsid w:val="00191695"/>
    <w:rsid w:val="001A47D2"/>
    <w:rsid w:val="001A7F85"/>
    <w:rsid w:val="001C4F9E"/>
    <w:rsid w:val="001F684D"/>
    <w:rsid w:val="00222A42"/>
    <w:rsid w:val="00225820"/>
    <w:rsid w:val="002261A4"/>
    <w:rsid w:val="002302E0"/>
    <w:rsid w:val="00237177"/>
    <w:rsid w:val="002408B0"/>
    <w:rsid w:val="00246DFA"/>
    <w:rsid w:val="00253FAA"/>
    <w:rsid w:val="00266D58"/>
    <w:rsid w:val="002672DD"/>
    <w:rsid w:val="002855F7"/>
    <w:rsid w:val="002972E4"/>
    <w:rsid w:val="002A7D28"/>
    <w:rsid w:val="002B5DA0"/>
    <w:rsid w:val="002B7D42"/>
    <w:rsid w:val="002D4F22"/>
    <w:rsid w:val="002D5507"/>
    <w:rsid w:val="002F6273"/>
    <w:rsid w:val="00303242"/>
    <w:rsid w:val="0032765F"/>
    <w:rsid w:val="00335935"/>
    <w:rsid w:val="00340A6B"/>
    <w:rsid w:val="003517C9"/>
    <w:rsid w:val="00370466"/>
    <w:rsid w:val="00380060"/>
    <w:rsid w:val="00380861"/>
    <w:rsid w:val="00381C30"/>
    <w:rsid w:val="00396F3C"/>
    <w:rsid w:val="003A3F65"/>
    <w:rsid w:val="003A6137"/>
    <w:rsid w:val="003A6859"/>
    <w:rsid w:val="003C55C7"/>
    <w:rsid w:val="003D2C3D"/>
    <w:rsid w:val="003D3BC5"/>
    <w:rsid w:val="003F502A"/>
    <w:rsid w:val="003F6A6D"/>
    <w:rsid w:val="004074F7"/>
    <w:rsid w:val="004118E5"/>
    <w:rsid w:val="0041446A"/>
    <w:rsid w:val="00415E92"/>
    <w:rsid w:val="00421C29"/>
    <w:rsid w:val="00422DE9"/>
    <w:rsid w:val="00440A48"/>
    <w:rsid w:val="0044238B"/>
    <w:rsid w:val="00443051"/>
    <w:rsid w:val="00461301"/>
    <w:rsid w:val="0046263E"/>
    <w:rsid w:val="0046493A"/>
    <w:rsid w:val="00471B0C"/>
    <w:rsid w:val="00476099"/>
    <w:rsid w:val="00476947"/>
    <w:rsid w:val="00485CDD"/>
    <w:rsid w:val="00496982"/>
    <w:rsid w:val="004B1B27"/>
    <w:rsid w:val="004B2948"/>
    <w:rsid w:val="004B303A"/>
    <w:rsid w:val="004E49D6"/>
    <w:rsid w:val="00506413"/>
    <w:rsid w:val="00516B06"/>
    <w:rsid w:val="00522930"/>
    <w:rsid w:val="00530E5D"/>
    <w:rsid w:val="005358BE"/>
    <w:rsid w:val="00535E8F"/>
    <w:rsid w:val="005506E5"/>
    <w:rsid w:val="00555321"/>
    <w:rsid w:val="005615C8"/>
    <w:rsid w:val="005657D8"/>
    <w:rsid w:val="00572667"/>
    <w:rsid w:val="005A1857"/>
    <w:rsid w:val="005B4ADE"/>
    <w:rsid w:val="0060140B"/>
    <w:rsid w:val="0061737E"/>
    <w:rsid w:val="00620A45"/>
    <w:rsid w:val="00620B41"/>
    <w:rsid w:val="00635DB0"/>
    <w:rsid w:val="00640270"/>
    <w:rsid w:val="00664321"/>
    <w:rsid w:val="0067179E"/>
    <w:rsid w:val="00677786"/>
    <w:rsid w:val="006A09F0"/>
    <w:rsid w:val="006B05A8"/>
    <w:rsid w:val="006B261B"/>
    <w:rsid w:val="006C3827"/>
    <w:rsid w:val="006C652C"/>
    <w:rsid w:val="006D667F"/>
    <w:rsid w:val="006E31F1"/>
    <w:rsid w:val="00701E65"/>
    <w:rsid w:val="00704B1F"/>
    <w:rsid w:val="00726AC4"/>
    <w:rsid w:val="007300ED"/>
    <w:rsid w:val="00741B27"/>
    <w:rsid w:val="00752B4A"/>
    <w:rsid w:val="007650AC"/>
    <w:rsid w:val="00770BD0"/>
    <w:rsid w:val="0077760A"/>
    <w:rsid w:val="007805BC"/>
    <w:rsid w:val="00785C6B"/>
    <w:rsid w:val="00787387"/>
    <w:rsid w:val="00790ED5"/>
    <w:rsid w:val="007B0EF9"/>
    <w:rsid w:val="007D0939"/>
    <w:rsid w:val="007D1CF1"/>
    <w:rsid w:val="007D7DE7"/>
    <w:rsid w:val="007E025A"/>
    <w:rsid w:val="007E26CB"/>
    <w:rsid w:val="007E6D53"/>
    <w:rsid w:val="007F2ECD"/>
    <w:rsid w:val="00801AE5"/>
    <w:rsid w:val="00811F4D"/>
    <w:rsid w:val="0083253A"/>
    <w:rsid w:val="008554A8"/>
    <w:rsid w:val="0085713F"/>
    <w:rsid w:val="008A09D1"/>
    <w:rsid w:val="008A195C"/>
    <w:rsid w:val="008B21E1"/>
    <w:rsid w:val="008B673D"/>
    <w:rsid w:val="008C495E"/>
    <w:rsid w:val="008D1389"/>
    <w:rsid w:val="008E3F0D"/>
    <w:rsid w:val="008E5735"/>
    <w:rsid w:val="00901793"/>
    <w:rsid w:val="009024D3"/>
    <w:rsid w:val="00911273"/>
    <w:rsid w:val="009119D9"/>
    <w:rsid w:val="00912831"/>
    <w:rsid w:val="00916677"/>
    <w:rsid w:val="009449EE"/>
    <w:rsid w:val="009456DB"/>
    <w:rsid w:val="00946665"/>
    <w:rsid w:val="00957260"/>
    <w:rsid w:val="009609F6"/>
    <w:rsid w:val="00972EB7"/>
    <w:rsid w:val="00982504"/>
    <w:rsid w:val="009843C6"/>
    <w:rsid w:val="009926BE"/>
    <w:rsid w:val="009B52F7"/>
    <w:rsid w:val="009D3C56"/>
    <w:rsid w:val="009E65D0"/>
    <w:rsid w:val="009F264D"/>
    <w:rsid w:val="00A11346"/>
    <w:rsid w:val="00A318E7"/>
    <w:rsid w:val="00A44A6F"/>
    <w:rsid w:val="00A459F4"/>
    <w:rsid w:val="00A536E6"/>
    <w:rsid w:val="00A656DD"/>
    <w:rsid w:val="00A66C0C"/>
    <w:rsid w:val="00A7445E"/>
    <w:rsid w:val="00A7475A"/>
    <w:rsid w:val="00A804DB"/>
    <w:rsid w:val="00A81824"/>
    <w:rsid w:val="00A91D14"/>
    <w:rsid w:val="00A92980"/>
    <w:rsid w:val="00A955A8"/>
    <w:rsid w:val="00AA6B29"/>
    <w:rsid w:val="00AB774D"/>
    <w:rsid w:val="00AC1F0B"/>
    <w:rsid w:val="00AD2437"/>
    <w:rsid w:val="00B145AE"/>
    <w:rsid w:val="00B17F26"/>
    <w:rsid w:val="00B204DD"/>
    <w:rsid w:val="00B235B0"/>
    <w:rsid w:val="00B25C8B"/>
    <w:rsid w:val="00B32BB7"/>
    <w:rsid w:val="00B33F83"/>
    <w:rsid w:val="00B37870"/>
    <w:rsid w:val="00B40F0F"/>
    <w:rsid w:val="00B61B7A"/>
    <w:rsid w:val="00B7566F"/>
    <w:rsid w:val="00B80AE7"/>
    <w:rsid w:val="00B840A9"/>
    <w:rsid w:val="00B92427"/>
    <w:rsid w:val="00B93CD8"/>
    <w:rsid w:val="00BC03CE"/>
    <w:rsid w:val="00BC1E2B"/>
    <w:rsid w:val="00BC6350"/>
    <w:rsid w:val="00BE198A"/>
    <w:rsid w:val="00BF31BD"/>
    <w:rsid w:val="00BF5C51"/>
    <w:rsid w:val="00C0278F"/>
    <w:rsid w:val="00C10532"/>
    <w:rsid w:val="00C3556E"/>
    <w:rsid w:val="00C40E8D"/>
    <w:rsid w:val="00C528BA"/>
    <w:rsid w:val="00C77744"/>
    <w:rsid w:val="00C90F5E"/>
    <w:rsid w:val="00C9174F"/>
    <w:rsid w:val="00C92D25"/>
    <w:rsid w:val="00C96A75"/>
    <w:rsid w:val="00CA1C6D"/>
    <w:rsid w:val="00CB1388"/>
    <w:rsid w:val="00CB645C"/>
    <w:rsid w:val="00CC7758"/>
    <w:rsid w:val="00CC7DD5"/>
    <w:rsid w:val="00CF19D1"/>
    <w:rsid w:val="00CF5466"/>
    <w:rsid w:val="00CF57DB"/>
    <w:rsid w:val="00CF69D1"/>
    <w:rsid w:val="00D03CAB"/>
    <w:rsid w:val="00D11CB4"/>
    <w:rsid w:val="00D11E26"/>
    <w:rsid w:val="00D25D17"/>
    <w:rsid w:val="00D35714"/>
    <w:rsid w:val="00D5098A"/>
    <w:rsid w:val="00D579C5"/>
    <w:rsid w:val="00D57D29"/>
    <w:rsid w:val="00D80B00"/>
    <w:rsid w:val="00D879B6"/>
    <w:rsid w:val="00D93881"/>
    <w:rsid w:val="00D96D24"/>
    <w:rsid w:val="00DA2DDC"/>
    <w:rsid w:val="00DB4502"/>
    <w:rsid w:val="00DB617A"/>
    <w:rsid w:val="00DC184F"/>
    <w:rsid w:val="00DE6DC1"/>
    <w:rsid w:val="00DE6EF3"/>
    <w:rsid w:val="00E03CFC"/>
    <w:rsid w:val="00E232BD"/>
    <w:rsid w:val="00E313C3"/>
    <w:rsid w:val="00E32822"/>
    <w:rsid w:val="00E32B6F"/>
    <w:rsid w:val="00E33D9D"/>
    <w:rsid w:val="00E4135C"/>
    <w:rsid w:val="00E6017F"/>
    <w:rsid w:val="00E61834"/>
    <w:rsid w:val="00E72468"/>
    <w:rsid w:val="00E80EDC"/>
    <w:rsid w:val="00E90CA0"/>
    <w:rsid w:val="00E9798A"/>
    <w:rsid w:val="00EA265F"/>
    <w:rsid w:val="00EB63F1"/>
    <w:rsid w:val="00EB6EFA"/>
    <w:rsid w:val="00EC53D2"/>
    <w:rsid w:val="00EE1015"/>
    <w:rsid w:val="00EE47C4"/>
    <w:rsid w:val="00EE68A6"/>
    <w:rsid w:val="00EF50B5"/>
    <w:rsid w:val="00F02218"/>
    <w:rsid w:val="00F11106"/>
    <w:rsid w:val="00F17083"/>
    <w:rsid w:val="00F56AFD"/>
    <w:rsid w:val="00F66AA4"/>
    <w:rsid w:val="00F72230"/>
    <w:rsid w:val="00F72342"/>
    <w:rsid w:val="00F72CDD"/>
    <w:rsid w:val="00FC6B1D"/>
    <w:rsid w:val="00FD21DC"/>
    <w:rsid w:val="00FD40E1"/>
    <w:rsid w:val="00FF5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paragraph" w:styleId="Tekstprzypisukocowego">
    <w:name w:val="endnote text"/>
    <w:basedOn w:val="Normalny"/>
    <w:link w:val="TekstprzypisukocowegoZnak"/>
    <w:uiPriority w:val="99"/>
    <w:semiHidden/>
    <w:unhideWhenUsed/>
    <w:rsid w:val="00CC7DD5"/>
    <w:pPr>
      <w:spacing w:before="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CC7DD5"/>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CC7DD5"/>
    <w:rPr>
      <w:vertAlign w:val="superscript"/>
    </w:rPr>
  </w:style>
  <w:style w:type="paragraph" w:customStyle="1" w:styleId="TableParagraph">
    <w:name w:val="Table Paragraph"/>
    <w:basedOn w:val="Normalny"/>
    <w:uiPriority w:val="1"/>
    <w:qFormat/>
    <w:rsid w:val="00DE6DC1"/>
    <w:pPr>
      <w:widowControl w:val="0"/>
      <w:spacing w:before="0" w:line="240" w:lineRule="auto"/>
    </w:pPr>
    <w:rPr>
      <w:rFonts w:asciiTheme="minorHAnsi" w:eastAsiaTheme="minorHAnsi" w:hAnsiTheme="minorHAnsi" w:cstheme="minorBidi"/>
      <w:szCs w:val="22"/>
      <w:lang w:bidi="pl-PL"/>
    </w:rPr>
  </w:style>
  <w:style w:type="paragraph" w:styleId="Nagwekspisutreci">
    <w:name w:val="TOC Heading"/>
    <w:basedOn w:val="Nagwek1"/>
    <w:next w:val="Normalny"/>
    <w:uiPriority w:val="39"/>
    <w:semiHidden/>
    <w:unhideWhenUsed/>
    <w:qFormat/>
    <w:rsid w:val="004074F7"/>
    <w:pPr>
      <w:keepLines/>
      <w:spacing w:before="480" w:after="0"/>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paragraph" w:styleId="Tekstprzypisukocowego">
    <w:name w:val="endnote text"/>
    <w:basedOn w:val="Normalny"/>
    <w:link w:val="TekstprzypisukocowegoZnak"/>
    <w:uiPriority w:val="99"/>
    <w:semiHidden/>
    <w:unhideWhenUsed/>
    <w:rsid w:val="00CC7DD5"/>
    <w:pPr>
      <w:spacing w:before="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CC7DD5"/>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CC7DD5"/>
    <w:rPr>
      <w:vertAlign w:val="superscript"/>
    </w:rPr>
  </w:style>
  <w:style w:type="paragraph" w:customStyle="1" w:styleId="TableParagraph">
    <w:name w:val="Table Paragraph"/>
    <w:basedOn w:val="Normalny"/>
    <w:uiPriority w:val="1"/>
    <w:qFormat/>
    <w:rsid w:val="00DE6DC1"/>
    <w:pPr>
      <w:widowControl w:val="0"/>
      <w:spacing w:before="0" w:line="240" w:lineRule="auto"/>
    </w:pPr>
    <w:rPr>
      <w:rFonts w:asciiTheme="minorHAnsi" w:eastAsiaTheme="minorHAnsi" w:hAnsiTheme="minorHAnsi" w:cstheme="minorBidi"/>
      <w:szCs w:val="22"/>
      <w:lang w:bidi="pl-PL"/>
    </w:rPr>
  </w:style>
  <w:style w:type="paragraph" w:styleId="Nagwekspisutreci">
    <w:name w:val="TOC Heading"/>
    <w:basedOn w:val="Nagwek1"/>
    <w:next w:val="Normalny"/>
    <w:uiPriority w:val="39"/>
    <w:semiHidden/>
    <w:unhideWhenUsed/>
    <w:qFormat/>
    <w:rsid w:val="004074F7"/>
    <w:pPr>
      <w:keepLines/>
      <w:spacing w:before="480" w:after="0"/>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7837">
      <w:bodyDiv w:val="1"/>
      <w:marLeft w:val="0"/>
      <w:marRight w:val="0"/>
      <w:marTop w:val="0"/>
      <w:marBottom w:val="0"/>
      <w:divBdr>
        <w:top w:val="none" w:sz="0" w:space="0" w:color="auto"/>
        <w:left w:val="none" w:sz="0" w:space="0" w:color="auto"/>
        <w:bottom w:val="none" w:sz="0" w:space="0" w:color="auto"/>
        <w:right w:val="none" w:sz="0" w:space="0" w:color="auto"/>
      </w:divBdr>
      <w:divsChild>
        <w:div w:id="915241168">
          <w:marLeft w:val="0"/>
          <w:marRight w:val="0"/>
          <w:marTop w:val="0"/>
          <w:marBottom w:val="0"/>
          <w:divBdr>
            <w:top w:val="none" w:sz="0" w:space="0" w:color="auto"/>
            <w:left w:val="none" w:sz="0" w:space="0" w:color="auto"/>
            <w:bottom w:val="none" w:sz="0" w:space="0" w:color="auto"/>
            <w:right w:val="none" w:sz="0" w:space="0" w:color="auto"/>
          </w:divBdr>
        </w:div>
        <w:div w:id="1896045693">
          <w:marLeft w:val="0"/>
          <w:marRight w:val="0"/>
          <w:marTop w:val="0"/>
          <w:marBottom w:val="0"/>
          <w:divBdr>
            <w:top w:val="none" w:sz="0" w:space="0" w:color="auto"/>
            <w:left w:val="none" w:sz="0" w:space="0" w:color="auto"/>
            <w:bottom w:val="none" w:sz="0" w:space="0" w:color="auto"/>
            <w:right w:val="none" w:sz="0" w:space="0" w:color="auto"/>
          </w:divBdr>
        </w:div>
        <w:div w:id="1507474739">
          <w:marLeft w:val="0"/>
          <w:marRight w:val="0"/>
          <w:marTop w:val="0"/>
          <w:marBottom w:val="0"/>
          <w:divBdr>
            <w:top w:val="none" w:sz="0" w:space="0" w:color="auto"/>
            <w:left w:val="none" w:sz="0" w:space="0" w:color="auto"/>
            <w:bottom w:val="none" w:sz="0" w:space="0" w:color="auto"/>
            <w:right w:val="none" w:sz="0" w:space="0" w:color="auto"/>
          </w:divBdr>
        </w:div>
        <w:div w:id="1642075904">
          <w:marLeft w:val="0"/>
          <w:marRight w:val="0"/>
          <w:marTop w:val="0"/>
          <w:marBottom w:val="0"/>
          <w:divBdr>
            <w:top w:val="none" w:sz="0" w:space="0" w:color="auto"/>
            <w:left w:val="none" w:sz="0" w:space="0" w:color="auto"/>
            <w:bottom w:val="none" w:sz="0" w:space="0" w:color="auto"/>
            <w:right w:val="none" w:sz="0" w:space="0" w:color="auto"/>
          </w:divBdr>
        </w:div>
        <w:div w:id="2057970665">
          <w:marLeft w:val="0"/>
          <w:marRight w:val="0"/>
          <w:marTop w:val="0"/>
          <w:marBottom w:val="0"/>
          <w:divBdr>
            <w:top w:val="none" w:sz="0" w:space="0" w:color="auto"/>
            <w:left w:val="none" w:sz="0" w:space="0" w:color="auto"/>
            <w:bottom w:val="none" w:sz="0" w:space="0" w:color="auto"/>
            <w:right w:val="none" w:sz="0" w:space="0" w:color="auto"/>
          </w:divBdr>
        </w:div>
        <w:div w:id="994721528">
          <w:marLeft w:val="0"/>
          <w:marRight w:val="0"/>
          <w:marTop w:val="0"/>
          <w:marBottom w:val="0"/>
          <w:divBdr>
            <w:top w:val="none" w:sz="0" w:space="0" w:color="auto"/>
            <w:left w:val="none" w:sz="0" w:space="0" w:color="auto"/>
            <w:bottom w:val="none" w:sz="0" w:space="0" w:color="auto"/>
            <w:right w:val="none" w:sz="0" w:space="0" w:color="auto"/>
          </w:divBdr>
        </w:div>
        <w:div w:id="1016075988">
          <w:marLeft w:val="0"/>
          <w:marRight w:val="0"/>
          <w:marTop w:val="0"/>
          <w:marBottom w:val="0"/>
          <w:divBdr>
            <w:top w:val="none" w:sz="0" w:space="0" w:color="auto"/>
            <w:left w:val="none" w:sz="0" w:space="0" w:color="auto"/>
            <w:bottom w:val="none" w:sz="0" w:space="0" w:color="auto"/>
            <w:right w:val="none" w:sz="0" w:space="0" w:color="auto"/>
          </w:divBdr>
        </w:div>
        <w:div w:id="1106922684">
          <w:marLeft w:val="0"/>
          <w:marRight w:val="0"/>
          <w:marTop w:val="0"/>
          <w:marBottom w:val="0"/>
          <w:divBdr>
            <w:top w:val="none" w:sz="0" w:space="0" w:color="auto"/>
            <w:left w:val="none" w:sz="0" w:space="0" w:color="auto"/>
            <w:bottom w:val="none" w:sz="0" w:space="0" w:color="auto"/>
            <w:right w:val="none" w:sz="0" w:space="0" w:color="auto"/>
          </w:divBdr>
        </w:div>
        <w:div w:id="1925147110">
          <w:marLeft w:val="0"/>
          <w:marRight w:val="0"/>
          <w:marTop w:val="0"/>
          <w:marBottom w:val="0"/>
          <w:divBdr>
            <w:top w:val="none" w:sz="0" w:space="0" w:color="auto"/>
            <w:left w:val="none" w:sz="0" w:space="0" w:color="auto"/>
            <w:bottom w:val="none" w:sz="0" w:space="0" w:color="auto"/>
            <w:right w:val="none" w:sz="0" w:space="0" w:color="auto"/>
          </w:divBdr>
        </w:div>
        <w:div w:id="845484269">
          <w:marLeft w:val="0"/>
          <w:marRight w:val="0"/>
          <w:marTop w:val="0"/>
          <w:marBottom w:val="0"/>
          <w:divBdr>
            <w:top w:val="none" w:sz="0" w:space="0" w:color="auto"/>
            <w:left w:val="none" w:sz="0" w:space="0" w:color="auto"/>
            <w:bottom w:val="none" w:sz="0" w:space="0" w:color="auto"/>
            <w:right w:val="none" w:sz="0" w:space="0" w:color="auto"/>
          </w:divBdr>
        </w:div>
        <w:div w:id="1374159220">
          <w:marLeft w:val="0"/>
          <w:marRight w:val="0"/>
          <w:marTop w:val="0"/>
          <w:marBottom w:val="0"/>
          <w:divBdr>
            <w:top w:val="none" w:sz="0" w:space="0" w:color="auto"/>
            <w:left w:val="none" w:sz="0" w:space="0" w:color="auto"/>
            <w:bottom w:val="none" w:sz="0" w:space="0" w:color="auto"/>
            <w:right w:val="none" w:sz="0" w:space="0" w:color="auto"/>
          </w:divBdr>
        </w:div>
        <w:div w:id="1367565769">
          <w:marLeft w:val="0"/>
          <w:marRight w:val="0"/>
          <w:marTop w:val="0"/>
          <w:marBottom w:val="0"/>
          <w:divBdr>
            <w:top w:val="none" w:sz="0" w:space="0" w:color="auto"/>
            <w:left w:val="none" w:sz="0" w:space="0" w:color="auto"/>
            <w:bottom w:val="none" w:sz="0" w:space="0" w:color="auto"/>
            <w:right w:val="none" w:sz="0" w:space="0" w:color="auto"/>
          </w:divBdr>
        </w:div>
      </w:divsChild>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80367470">
      <w:bodyDiv w:val="1"/>
      <w:marLeft w:val="0"/>
      <w:marRight w:val="0"/>
      <w:marTop w:val="0"/>
      <w:marBottom w:val="0"/>
      <w:divBdr>
        <w:top w:val="none" w:sz="0" w:space="0" w:color="auto"/>
        <w:left w:val="none" w:sz="0" w:space="0" w:color="auto"/>
        <w:bottom w:val="none" w:sz="0" w:space="0" w:color="auto"/>
        <w:right w:val="none" w:sz="0" w:space="0" w:color="auto"/>
      </w:divBdr>
      <w:divsChild>
        <w:div w:id="18313886">
          <w:marLeft w:val="0"/>
          <w:marRight w:val="0"/>
          <w:marTop w:val="0"/>
          <w:marBottom w:val="0"/>
          <w:divBdr>
            <w:top w:val="none" w:sz="0" w:space="0" w:color="auto"/>
            <w:left w:val="none" w:sz="0" w:space="0" w:color="auto"/>
            <w:bottom w:val="none" w:sz="0" w:space="0" w:color="auto"/>
            <w:right w:val="none" w:sz="0" w:space="0" w:color="auto"/>
          </w:divBdr>
        </w:div>
        <w:div w:id="1404643645">
          <w:marLeft w:val="0"/>
          <w:marRight w:val="0"/>
          <w:marTop w:val="0"/>
          <w:marBottom w:val="0"/>
          <w:divBdr>
            <w:top w:val="none" w:sz="0" w:space="0" w:color="auto"/>
            <w:left w:val="none" w:sz="0" w:space="0" w:color="auto"/>
            <w:bottom w:val="none" w:sz="0" w:space="0" w:color="auto"/>
            <w:right w:val="none" w:sz="0" w:space="0" w:color="auto"/>
          </w:divBdr>
        </w:div>
        <w:div w:id="486169227">
          <w:marLeft w:val="0"/>
          <w:marRight w:val="0"/>
          <w:marTop w:val="0"/>
          <w:marBottom w:val="0"/>
          <w:divBdr>
            <w:top w:val="none" w:sz="0" w:space="0" w:color="auto"/>
            <w:left w:val="none" w:sz="0" w:space="0" w:color="auto"/>
            <w:bottom w:val="none" w:sz="0" w:space="0" w:color="auto"/>
            <w:right w:val="none" w:sz="0" w:space="0" w:color="auto"/>
          </w:divBdr>
        </w:div>
        <w:div w:id="557134450">
          <w:marLeft w:val="0"/>
          <w:marRight w:val="0"/>
          <w:marTop w:val="0"/>
          <w:marBottom w:val="0"/>
          <w:divBdr>
            <w:top w:val="none" w:sz="0" w:space="0" w:color="auto"/>
            <w:left w:val="none" w:sz="0" w:space="0" w:color="auto"/>
            <w:bottom w:val="none" w:sz="0" w:space="0" w:color="auto"/>
            <w:right w:val="none" w:sz="0" w:space="0" w:color="auto"/>
          </w:divBdr>
        </w:div>
        <w:div w:id="1388064561">
          <w:marLeft w:val="0"/>
          <w:marRight w:val="0"/>
          <w:marTop w:val="0"/>
          <w:marBottom w:val="0"/>
          <w:divBdr>
            <w:top w:val="none" w:sz="0" w:space="0" w:color="auto"/>
            <w:left w:val="none" w:sz="0" w:space="0" w:color="auto"/>
            <w:bottom w:val="none" w:sz="0" w:space="0" w:color="auto"/>
            <w:right w:val="none" w:sz="0" w:space="0" w:color="auto"/>
          </w:divBdr>
        </w:div>
        <w:div w:id="2013872451">
          <w:marLeft w:val="0"/>
          <w:marRight w:val="0"/>
          <w:marTop w:val="0"/>
          <w:marBottom w:val="0"/>
          <w:divBdr>
            <w:top w:val="none" w:sz="0" w:space="0" w:color="auto"/>
            <w:left w:val="none" w:sz="0" w:space="0" w:color="auto"/>
            <w:bottom w:val="none" w:sz="0" w:space="0" w:color="auto"/>
            <w:right w:val="none" w:sz="0" w:space="0" w:color="auto"/>
          </w:divBdr>
        </w:div>
        <w:div w:id="1404329656">
          <w:marLeft w:val="0"/>
          <w:marRight w:val="0"/>
          <w:marTop w:val="0"/>
          <w:marBottom w:val="0"/>
          <w:divBdr>
            <w:top w:val="none" w:sz="0" w:space="0" w:color="auto"/>
            <w:left w:val="none" w:sz="0" w:space="0" w:color="auto"/>
            <w:bottom w:val="none" w:sz="0" w:space="0" w:color="auto"/>
            <w:right w:val="none" w:sz="0" w:space="0" w:color="auto"/>
          </w:divBdr>
        </w:div>
        <w:div w:id="1674182671">
          <w:marLeft w:val="0"/>
          <w:marRight w:val="0"/>
          <w:marTop w:val="0"/>
          <w:marBottom w:val="0"/>
          <w:divBdr>
            <w:top w:val="none" w:sz="0" w:space="0" w:color="auto"/>
            <w:left w:val="none" w:sz="0" w:space="0" w:color="auto"/>
            <w:bottom w:val="none" w:sz="0" w:space="0" w:color="auto"/>
            <w:right w:val="none" w:sz="0" w:space="0" w:color="auto"/>
          </w:divBdr>
        </w:div>
        <w:div w:id="1170943384">
          <w:marLeft w:val="0"/>
          <w:marRight w:val="0"/>
          <w:marTop w:val="0"/>
          <w:marBottom w:val="0"/>
          <w:divBdr>
            <w:top w:val="none" w:sz="0" w:space="0" w:color="auto"/>
            <w:left w:val="none" w:sz="0" w:space="0" w:color="auto"/>
            <w:bottom w:val="none" w:sz="0" w:space="0" w:color="auto"/>
            <w:right w:val="none" w:sz="0" w:space="0" w:color="auto"/>
          </w:divBdr>
        </w:div>
        <w:div w:id="758477695">
          <w:marLeft w:val="0"/>
          <w:marRight w:val="0"/>
          <w:marTop w:val="0"/>
          <w:marBottom w:val="0"/>
          <w:divBdr>
            <w:top w:val="none" w:sz="0" w:space="0" w:color="auto"/>
            <w:left w:val="none" w:sz="0" w:space="0" w:color="auto"/>
            <w:bottom w:val="none" w:sz="0" w:space="0" w:color="auto"/>
            <w:right w:val="none" w:sz="0" w:space="0" w:color="auto"/>
          </w:divBdr>
        </w:div>
        <w:div w:id="1818525052">
          <w:marLeft w:val="0"/>
          <w:marRight w:val="0"/>
          <w:marTop w:val="0"/>
          <w:marBottom w:val="0"/>
          <w:divBdr>
            <w:top w:val="none" w:sz="0" w:space="0" w:color="auto"/>
            <w:left w:val="none" w:sz="0" w:space="0" w:color="auto"/>
            <w:bottom w:val="none" w:sz="0" w:space="0" w:color="auto"/>
            <w:right w:val="none" w:sz="0" w:space="0" w:color="auto"/>
          </w:divBdr>
        </w:div>
        <w:div w:id="747580095">
          <w:marLeft w:val="0"/>
          <w:marRight w:val="0"/>
          <w:marTop w:val="0"/>
          <w:marBottom w:val="0"/>
          <w:divBdr>
            <w:top w:val="none" w:sz="0" w:space="0" w:color="auto"/>
            <w:left w:val="none" w:sz="0" w:space="0" w:color="auto"/>
            <w:bottom w:val="none" w:sz="0" w:space="0" w:color="auto"/>
            <w:right w:val="none" w:sz="0" w:space="0" w:color="auto"/>
          </w:divBdr>
        </w:div>
        <w:div w:id="105124312">
          <w:marLeft w:val="0"/>
          <w:marRight w:val="0"/>
          <w:marTop w:val="0"/>
          <w:marBottom w:val="0"/>
          <w:divBdr>
            <w:top w:val="none" w:sz="0" w:space="0" w:color="auto"/>
            <w:left w:val="none" w:sz="0" w:space="0" w:color="auto"/>
            <w:bottom w:val="none" w:sz="0" w:space="0" w:color="auto"/>
            <w:right w:val="none" w:sz="0" w:space="0" w:color="auto"/>
          </w:divBdr>
        </w:div>
        <w:div w:id="195696628">
          <w:marLeft w:val="0"/>
          <w:marRight w:val="0"/>
          <w:marTop w:val="0"/>
          <w:marBottom w:val="0"/>
          <w:divBdr>
            <w:top w:val="none" w:sz="0" w:space="0" w:color="auto"/>
            <w:left w:val="none" w:sz="0" w:space="0" w:color="auto"/>
            <w:bottom w:val="none" w:sz="0" w:space="0" w:color="auto"/>
            <w:right w:val="none" w:sz="0" w:space="0" w:color="auto"/>
          </w:divBdr>
        </w:div>
        <w:div w:id="2111126373">
          <w:marLeft w:val="0"/>
          <w:marRight w:val="0"/>
          <w:marTop w:val="0"/>
          <w:marBottom w:val="0"/>
          <w:divBdr>
            <w:top w:val="none" w:sz="0" w:space="0" w:color="auto"/>
            <w:left w:val="none" w:sz="0" w:space="0" w:color="auto"/>
            <w:bottom w:val="none" w:sz="0" w:space="0" w:color="auto"/>
            <w:right w:val="none" w:sz="0" w:space="0" w:color="auto"/>
          </w:divBdr>
        </w:div>
        <w:div w:id="510919384">
          <w:marLeft w:val="0"/>
          <w:marRight w:val="0"/>
          <w:marTop w:val="0"/>
          <w:marBottom w:val="0"/>
          <w:divBdr>
            <w:top w:val="none" w:sz="0" w:space="0" w:color="auto"/>
            <w:left w:val="none" w:sz="0" w:space="0" w:color="auto"/>
            <w:bottom w:val="none" w:sz="0" w:space="0" w:color="auto"/>
            <w:right w:val="none" w:sz="0" w:space="0" w:color="auto"/>
          </w:divBdr>
        </w:div>
        <w:div w:id="465128510">
          <w:marLeft w:val="0"/>
          <w:marRight w:val="0"/>
          <w:marTop w:val="0"/>
          <w:marBottom w:val="0"/>
          <w:divBdr>
            <w:top w:val="none" w:sz="0" w:space="0" w:color="auto"/>
            <w:left w:val="none" w:sz="0" w:space="0" w:color="auto"/>
            <w:bottom w:val="none" w:sz="0" w:space="0" w:color="auto"/>
            <w:right w:val="none" w:sz="0" w:space="0" w:color="auto"/>
          </w:divBdr>
        </w:div>
        <w:div w:id="2033803317">
          <w:marLeft w:val="0"/>
          <w:marRight w:val="0"/>
          <w:marTop w:val="0"/>
          <w:marBottom w:val="0"/>
          <w:divBdr>
            <w:top w:val="none" w:sz="0" w:space="0" w:color="auto"/>
            <w:left w:val="none" w:sz="0" w:space="0" w:color="auto"/>
            <w:bottom w:val="none" w:sz="0" w:space="0" w:color="auto"/>
            <w:right w:val="none" w:sz="0" w:space="0" w:color="auto"/>
          </w:divBdr>
        </w:div>
        <w:div w:id="2004430163">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 w:id="2003851767">
      <w:bodyDiv w:val="1"/>
      <w:marLeft w:val="0"/>
      <w:marRight w:val="0"/>
      <w:marTop w:val="0"/>
      <w:marBottom w:val="0"/>
      <w:divBdr>
        <w:top w:val="none" w:sz="0" w:space="0" w:color="auto"/>
        <w:left w:val="none" w:sz="0" w:space="0" w:color="auto"/>
        <w:bottom w:val="none" w:sz="0" w:space="0" w:color="auto"/>
        <w:right w:val="none" w:sz="0" w:space="0" w:color="auto"/>
      </w:divBdr>
      <w:divsChild>
        <w:div w:id="1006513659">
          <w:marLeft w:val="0"/>
          <w:marRight w:val="0"/>
          <w:marTop w:val="0"/>
          <w:marBottom w:val="0"/>
          <w:divBdr>
            <w:top w:val="none" w:sz="0" w:space="0" w:color="auto"/>
            <w:left w:val="none" w:sz="0" w:space="0" w:color="auto"/>
            <w:bottom w:val="none" w:sz="0" w:space="0" w:color="auto"/>
            <w:right w:val="none" w:sz="0" w:space="0" w:color="auto"/>
          </w:divBdr>
        </w:div>
        <w:div w:id="516620719">
          <w:marLeft w:val="0"/>
          <w:marRight w:val="0"/>
          <w:marTop w:val="0"/>
          <w:marBottom w:val="0"/>
          <w:divBdr>
            <w:top w:val="none" w:sz="0" w:space="0" w:color="auto"/>
            <w:left w:val="none" w:sz="0" w:space="0" w:color="auto"/>
            <w:bottom w:val="none" w:sz="0" w:space="0" w:color="auto"/>
            <w:right w:val="none" w:sz="0" w:space="0" w:color="auto"/>
          </w:divBdr>
        </w:div>
        <w:div w:id="265236361">
          <w:marLeft w:val="0"/>
          <w:marRight w:val="0"/>
          <w:marTop w:val="0"/>
          <w:marBottom w:val="0"/>
          <w:divBdr>
            <w:top w:val="none" w:sz="0" w:space="0" w:color="auto"/>
            <w:left w:val="none" w:sz="0" w:space="0" w:color="auto"/>
            <w:bottom w:val="none" w:sz="0" w:space="0" w:color="auto"/>
            <w:right w:val="none" w:sz="0" w:space="0" w:color="auto"/>
          </w:divBdr>
        </w:div>
        <w:div w:id="521169902">
          <w:marLeft w:val="0"/>
          <w:marRight w:val="0"/>
          <w:marTop w:val="0"/>
          <w:marBottom w:val="0"/>
          <w:divBdr>
            <w:top w:val="none" w:sz="0" w:space="0" w:color="auto"/>
            <w:left w:val="none" w:sz="0" w:space="0" w:color="auto"/>
            <w:bottom w:val="none" w:sz="0" w:space="0" w:color="auto"/>
            <w:right w:val="none" w:sz="0" w:space="0" w:color="auto"/>
          </w:divBdr>
        </w:div>
        <w:div w:id="586184391">
          <w:marLeft w:val="0"/>
          <w:marRight w:val="0"/>
          <w:marTop w:val="0"/>
          <w:marBottom w:val="0"/>
          <w:divBdr>
            <w:top w:val="none" w:sz="0" w:space="0" w:color="auto"/>
            <w:left w:val="none" w:sz="0" w:space="0" w:color="auto"/>
            <w:bottom w:val="none" w:sz="0" w:space="0" w:color="auto"/>
            <w:right w:val="none" w:sz="0" w:space="0" w:color="auto"/>
          </w:divBdr>
        </w:div>
        <w:div w:id="1241595340">
          <w:marLeft w:val="0"/>
          <w:marRight w:val="0"/>
          <w:marTop w:val="0"/>
          <w:marBottom w:val="0"/>
          <w:divBdr>
            <w:top w:val="none" w:sz="0" w:space="0" w:color="auto"/>
            <w:left w:val="none" w:sz="0" w:space="0" w:color="auto"/>
            <w:bottom w:val="none" w:sz="0" w:space="0" w:color="auto"/>
            <w:right w:val="none" w:sz="0" w:space="0" w:color="auto"/>
          </w:divBdr>
        </w:div>
        <w:div w:id="1327900764">
          <w:marLeft w:val="0"/>
          <w:marRight w:val="0"/>
          <w:marTop w:val="0"/>
          <w:marBottom w:val="0"/>
          <w:divBdr>
            <w:top w:val="none" w:sz="0" w:space="0" w:color="auto"/>
            <w:left w:val="none" w:sz="0" w:space="0" w:color="auto"/>
            <w:bottom w:val="none" w:sz="0" w:space="0" w:color="auto"/>
            <w:right w:val="none" w:sz="0" w:space="0" w:color="auto"/>
          </w:divBdr>
        </w:div>
        <w:div w:id="1869482992">
          <w:marLeft w:val="0"/>
          <w:marRight w:val="0"/>
          <w:marTop w:val="0"/>
          <w:marBottom w:val="0"/>
          <w:divBdr>
            <w:top w:val="none" w:sz="0" w:space="0" w:color="auto"/>
            <w:left w:val="none" w:sz="0" w:space="0" w:color="auto"/>
            <w:bottom w:val="none" w:sz="0" w:space="0" w:color="auto"/>
            <w:right w:val="none" w:sz="0" w:space="0" w:color="auto"/>
          </w:divBdr>
        </w:div>
        <w:div w:id="2039621408">
          <w:marLeft w:val="0"/>
          <w:marRight w:val="0"/>
          <w:marTop w:val="0"/>
          <w:marBottom w:val="0"/>
          <w:divBdr>
            <w:top w:val="none" w:sz="0" w:space="0" w:color="auto"/>
            <w:left w:val="none" w:sz="0" w:space="0" w:color="auto"/>
            <w:bottom w:val="none" w:sz="0" w:space="0" w:color="auto"/>
            <w:right w:val="none" w:sz="0" w:space="0" w:color="auto"/>
          </w:divBdr>
        </w:div>
        <w:div w:id="2114090959">
          <w:marLeft w:val="0"/>
          <w:marRight w:val="0"/>
          <w:marTop w:val="0"/>
          <w:marBottom w:val="0"/>
          <w:divBdr>
            <w:top w:val="none" w:sz="0" w:space="0" w:color="auto"/>
            <w:left w:val="none" w:sz="0" w:space="0" w:color="auto"/>
            <w:bottom w:val="none" w:sz="0" w:space="0" w:color="auto"/>
            <w:right w:val="none" w:sz="0" w:space="0" w:color="auto"/>
          </w:divBdr>
        </w:div>
        <w:div w:id="1961103633">
          <w:marLeft w:val="0"/>
          <w:marRight w:val="0"/>
          <w:marTop w:val="0"/>
          <w:marBottom w:val="0"/>
          <w:divBdr>
            <w:top w:val="none" w:sz="0" w:space="0" w:color="auto"/>
            <w:left w:val="none" w:sz="0" w:space="0" w:color="auto"/>
            <w:bottom w:val="none" w:sz="0" w:space="0" w:color="auto"/>
            <w:right w:val="none" w:sz="0" w:space="0" w:color="auto"/>
          </w:divBdr>
        </w:div>
        <w:div w:id="135950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44DC0-6043-4C6C-8878-36011439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3377</Words>
  <Characters>20263</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4</cp:revision>
  <cp:lastPrinted>2016-08-02T10:12:00Z</cp:lastPrinted>
  <dcterms:created xsi:type="dcterms:W3CDTF">2016-08-03T08:28:00Z</dcterms:created>
  <dcterms:modified xsi:type="dcterms:W3CDTF">2016-08-03T08:35:00Z</dcterms:modified>
</cp:coreProperties>
</file>