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2E5EE746" wp14:editId="09DB344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7D3AFA" w:rsidP="00E1750F">
      <w:pPr>
        <w:pStyle w:val="Gwka"/>
        <w:spacing w:before="120" w:line="240" w:lineRule="auto"/>
        <w:ind w:left="4963"/>
        <w:rPr>
          <w:sz w:val="24"/>
          <w:szCs w:val="24"/>
        </w:rPr>
      </w:pPr>
      <w:r w:rsidRPr="00B27059">
        <w:rPr>
          <w:sz w:val="24"/>
          <w:szCs w:val="24"/>
        </w:rPr>
        <w:t xml:space="preserve">Załącznik nr </w:t>
      </w:r>
      <w:r w:rsidR="00C9294F">
        <w:rPr>
          <w:sz w:val="24"/>
          <w:szCs w:val="24"/>
        </w:rPr>
        <w:t>1</w:t>
      </w:r>
      <w:r w:rsidRPr="00B27059">
        <w:rPr>
          <w:sz w:val="24"/>
          <w:szCs w:val="24"/>
        </w:rPr>
        <w:t xml:space="preserve">do Uchwały nr </w:t>
      </w:r>
      <w:r w:rsidR="00E1750F" w:rsidRPr="00B27059">
        <w:rPr>
          <w:sz w:val="24"/>
          <w:szCs w:val="24"/>
        </w:rPr>
        <w:t xml:space="preserve">                                                                </w:t>
      </w:r>
      <w:r w:rsidR="00E1750F" w:rsidRPr="00B27059">
        <w:rPr>
          <w:sz w:val="24"/>
          <w:szCs w:val="24"/>
        </w:rPr>
        <w:br/>
        <w:t xml:space="preserve">Zarządu Województwa Dolnośląskiego                                               </w:t>
      </w:r>
    </w:p>
    <w:p w:rsidR="00E1750F" w:rsidRPr="00B27059" w:rsidRDefault="00E1750F" w:rsidP="00E1750F">
      <w:pPr>
        <w:pStyle w:val="Gwka"/>
        <w:spacing w:after="120" w:line="240" w:lineRule="auto"/>
        <w:ind w:left="4962"/>
        <w:rPr>
          <w:sz w:val="24"/>
          <w:szCs w:val="24"/>
        </w:rPr>
      </w:pPr>
      <w:r w:rsidRPr="00B27059">
        <w:rPr>
          <w:sz w:val="24"/>
          <w:szCs w:val="24"/>
        </w:rPr>
        <w:t>z dnia ....................................</w:t>
      </w:r>
    </w:p>
    <w:p w:rsidR="00E873C4" w:rsidRPr="00B27059" w:rsidRDefault="00E873C4" w:rsidP="00E1750F">
      <w:pPr>
        <w:pStyle w:val="Nagwek"/>
        <w:jc w:val="center"/>
      </w:pPr>
    </w:p>
    <w:p w:rsidR="00E873C4" w:rsidRPr="00B27059" w:rsidRDefault="00E873C4" w:rsidP="00480411">
      <w:pPr>
        <w:spacing w:line="240" w:lineRule="auto"/>
      </w:pPr>
    </w:p>
    <w:p w:rsidR="00E873C4" w:rsidRPr="00B27059" w:rsidRDefault="00E873C4" w:rsidP="00480411">
      <w:pPr>
        <w:pStyle w:val="Nagwek"/>
        <w:spacing w:before="120" w:after="120"/>
        <w:jc w:val="center"/>
        <w:rPr>
          <w:rFonts w:cs="Arial"/>
          <w:b/>
          <w:sz w:val="52"/>
          <w:szCs w:val="52"/>
          <w:u w:val="single"/>
        </w:rPr>
      </w:pPr>
      <w:r w:rsidRPr="00B27059">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DA4A3C" w:rsidRPr="00B27059" w:rsidRDefault="00DA4A3C"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E873C4" w:rsidRPr="00B27059" w:rsidRDefault="00E873C4" w:rsidP="00480411">
      <w:pPr>
        <w:pStyle w:val="Nagwek"/>
        <w:spacing w:before="120" w:after="120"/>
        <w:jc w:val="center"/>
        <w:rPr>
          <w:rFonts w:cs="Arial"/>
          <w:sz w:val="32"/>
          <w:szCs w:val="32"/>
        </w:rPr>
      </w:pPr>
    </w:p>
    <w:p w:rsidR="00E873C4" w:rsidRPr="00B27059" w:rsidRDefault="006A2DD1" w:rsidP="00480411">
      <w:pPr>
        <w:pStyle w:val="Nagwek"/>
        <w:spacing w:before="120" w:after="120"/>
        <w:jc w:val="center"/>
        <w:rPr>
          <w:rFonts w:cs="Arial"/>
          <w:b/>
          <w:sz w:val="32"/>
          <w:szCs w:val="32"/>
        </w:rPr>
      </w:pPr>
      <w:r w:rsidRPr="00B27059">
        <w:rPr>
          <w:rFonts w:cs="Arial"/>
          <w:b/>
          <w:sz w:val="32"/>
          <w:szCs w:val="32"/>
        </w:rPr>
        <w:t>Oś priorytetowa 4  Środowisko i zasoby</w:t>
      </w:r>
    </w:p>
    <w:p w:rsidR="00A74C6A" w:rsidRPr="00B27059" w:rsidRDefault="00A74C6A" w:rsidP="00480411">
      <w:pPr>
        <w:pStyle w:val="Nagwek"/>
        <w:spacing w:before="120" w:after="120"/>
        <w:jc w:val="center"/>
        <w:rPr>
          <w:rFonts w:cs="Arial"/>
          <w:b/>
          <w:sz w:val="32"/>
          <w:szCs w:val="32"/>
        </w:rPr>
      </w:pPr>
    </w:p>
    <w:p w:rsidR="00B72DBF" w:rsidRDefault="00B72DBF" w:rsidP="00B72DBF">
      <w:pPr>
        <w:pStyle w:val="Nagwek"/>
        <w:spacing w:before="120" w:after="120"/>
        <w:jc w:val="center"/>
        <w:rPr>
          <w:rFonts w:cs="Arial"/>
          <w:b/>
          <w:sz w:val="32"/>
          <w:szCs w:val="32"/>
          <w:u w:val="single"/>
        </w:rPr>
      </w:pPr>
    </w:p>
    <w:p w:rsidR="00B72DBF" w:rsidRDefault="00BA06EA" w:rsidP="00B72DBF">
      <w:pPr>
        <w:pStyle w:val="Nagwek"/>
        <w:spacing w:before="120" w:after="120"/>
        <w:jc w:val="center"/>
        <w:rPr>
          <w:rFonts w:cs="Arial"/>
          <w:b/>
          <w:sz w:val="36"/>
          <w:szCs w:val="36"/>
          <w:u w:val="single"/>
        </w:rPr>
      </w:pPr>
      <w:bookmarkStart w:id="0" w:name="_Toc422949625"/>
      <w:bookmarkStart w:id="1" w:name="_Toc430826812"/>
      <w:r w:rsidRPr="00BA06EA">
        <w:rPr>
          <w:rFonts w:cs="Arial"/>
          <w:b/>
          <w:sz w:val="36"/>
          <w:szCs w:val="36"/>
          <w:u w:val="single"/>
        </w:rPr>
        <w:t>Działanie 4.5 Bezpieczeństwo</w:t>
      </w:r>
    </w:p>
    <w:p w:rsidR="00B72DBF" w:rsidRPr="00B72DBF" w:rsidRDefault="00B72DBF" w:rsidP="00B72DBF">
      <w:pPr>
        <w:pStyle w:val="Nagwek"/>
        <w:spacing w:before="120" w:after="120"/>
        <w:jc w:val="center"/>
        <w:rPr>
          <w:rFonts w:cs="Arial"/>
          <w:b/>
          <w:sz w:val="36"/>
          <w:szCs w:val="36"/>
          <w:u w:val="single"/>
        </w:rPr>
      </w:pPr>
    </w:p>
    <w:p w:rsidR="00B72DBF" w:rsidRPr="00B72DBF" w:rsidRDefault="00B72DBF" w:rsidP="00B72DBF">
      <w:pPr>
        <w:pStyle w:val="Nagwek"/>
        <w:spacing w:before="120" w:after="120"/>
        <w:jc w:val="center"/>
        <w:rPr>
          <w:rFonts w:cs="Arial"/>
          <w:b/>
          <w:sz w:val="36"/>
          <w:szCs w:val="36"/>
        </w:rPr>
      </w:pPr>
      <w:r w:rsidRPr="00B72DBF">
        <w:rPr>
          <w:rFonts w:cs="Arial"/>
          <w:b/>
          <w:sz w:val="36"/>
          <w:szCs w:val="36"/>
        </w:rPr>
        <w:t>Poddziałanie 4.</w:t>
      </w:r>
      <w:r w:rsidR="00BA06EA">
        <w:rPr>
          <w:rFonts w:cs="Arial"/>
          <w:b/>
          <w:sz w:val="36"/>
          <w:szCs w:val="36"/>
        </w:rPr>
        <w:t>5</w:t>
      </w:r>
      <w:r w:rsidRPr="00B72DBF">
        <w:rPr>
          <w:rFonts w:cs="Arial"/>
          <w:b/>
          <w:sz w:val="36"/>
          <w:szCs w:val="36"/>
        </w:rPr>
        <w:t xml:space="preserve">.1 </w:t>
      </w:r>
      <w:r w:rsidR="00BA06EA" w:rsidRPr="00BA06EA">
        <w:rPr>
          <w:rFonts w:cs="Arial"/>
          <w:b/>
          <w:sz w:val="36"/>
          <w:szCs w:val="36"/>
        </w:rPr>
        <w:t xml:space="preserve">Bezpieczeństwo </w:t>
      </w:r>
      <w:r w:rsidRPr="00BA06EA">
        <w:rPr>
          <w:rFonts w:cs="Arial"/>
          <w:b/>
          <w:sz w:val="36"/>
          <w:szCs w:val="36"/>
        </w:rPr>
        <w:t>–</w:t>
      </w:r>
      <w:r w:rsidRPr="00B72DBF">
        <w:rPr>
          <w:rFonts w:cs="Arial"/>
          <w:b/>
          <w:sz w:val="36"/>
          <w:szCs w:val="36"/>
        </w:rPr>
        <w:t xml:space="preserve"> </w:t>
      </w:r>
      <w:r w:rsidRPr="00B72DBF">
        <w:rPr>
          <w:rFonts w:cs="Arial"/>
          <w:b/>
          <w:sz w:val="36"/>
          <w:szCs w:val="36"/>
        </w:rPr>
        <w:br/>
        <w:t>konkurs</w:t>
      </w:r>
      <w:r w:rsidR="00AD17E2">
        <w:rPr>
          <w:rFonts w:cs="Arial"/>
          <w:b/>
          <w:sz w:val="36"/>
          <w:szCs w:val="36"/>
        </w:rPr>
        <w:t>y</w:t>
      </w:r>
      <w:r w:rsidRPr="00B72DBF">
        <w:rPr>
          <w:rFonts w:cs="Arial"/>
          <w:b/>
          <w:sz w:val="36"/>
          <w:szCs w:val="36"/>
        </w:rPr>
        <w:t xml:space="preserve"> horyzontaln</w:t>
      </w:r>
      <w:r w:rsidR="00AD17E2">
        <w:rPr>
          <w:rFonts w:cs="Arial"/>
          <w:b/>
          <w:sz w:val="36"/>
          <w:szCs w:val="36"/>
        </w:rPr>
        <w:t>e</w:t>
      </w:r>
      <w:r w:rsidRPr="00B72DBF">
        <w:rPr>
          <w:rFonts w:cs="Arial"/>
          <w:b/>
          <w:sz w:val="36"/>
          <w:szCs w:val="36"/>
        </w:rPr>
        <w:t xml:space="preserve"> </w:t>
      </w:r>
    </w:p>
    <w:bookmarkEnd w:id="0"/>
    <w:bookmarkEnd w:id="1"/>
    <w:p w:rsidR="00B72DBF" w:rsidRDefault="00B72DBF" w:rsidP="00B72DBF">
      <w:pPr>
        <w:tabs>
          <w:tab w:val="left" w:pos="2835"/>
        </w:tabs>
      </w:pPr>
    </w:p>
    <w:p w:rsidR="00B72DBF" w:rsidRPr="00390D9C" w:rsidRDefault="00B72DBF" w:rsidP="00B72DBF">
      <w:pPr>
        <w:jc w:val="center"/>
        <w:rPr>
          <w:b/>
          <w:sz w:val="28"/>
          <w:szCs w:val="28"/>
        </w:rPr>
      </w:pPr>
      <w:r w:rsidRPr="00390D9C">
        <w:rPr>
          <w:b/>
          <w:sz w:val="28"/>
          <w:szCs w:val="28"/>
        </w:rPr>
        <w:t xml:space="preserve">Nr </w:t>
      </w:r>
      <w:r>
        <w:rPr>
          <w:b/>
          <w:sz w:val="28"/>
          <w:szCs w:val="28"/>
        </w:rPr>
        <w:t xml:space="preserve">naboru </w:t>
      </w:r>
      <w:r w:rsidRPr="00AD17E2">
        <w:rPr>
          <w:b/>
          <w:sz w:val="28"/>
          <w:szCs w:val="28"/>
        </w:rPr>
        <w:t>RPDS.04.0</w:t>
      </w:r>
      <w:r w:rsidR="00BA06EA">
        <w:rPr>
          <w:b/>
          <w:sz w:val="28"/>
          <w:szCs w:val="28"/>
        </w:rPr>
        <w:t>5</w:t>
      </w:r>
      <w:r w:rsidRPr="00AD17E2">
        <w:rPr>
          <w:b/>
          <w:sz w:val="28"/>
          <w:szCs w:val="28"/>
        </w:rPr>
        <w:t>.01-IZ.00-02</w:t>
      </w:r>
      <w:r w:rsidRPr="003E6EFC">
        <w:rPr>
          <w:b/>
          <w:sz w:val="28"/>
          <w:szCs w:val="28"/>
        </w:rPr>
        <w:t>-</w:t>
      </w:r>
      <w:r w:rsidR="003E6EFC" w:rsidRPr="002D1B68">
        <w:rPr>
          <w:b/>
          <w:sz w:val="28"/>
          <w:szCs w:val="28"/>
        </w:rPr>
        <w:t>1</w:t>
      </w:r>
      <w:r w:rsidR="002D1B68" w:rsidRPr="002D1B68">
        <w:rPr>
          <w:b/>
          <w:sz w:val="28"/>
          <w:szCs w:val="28"/>
        </w:rPr>
        <w:t>57</w:t>
      </w:r>
      <w:r w:rsidRPr="003E6EFC">
        <w:rPr>
          <w:b/>
          <w:sz w:val="28"/>
          <w:szCs w:val="28"/>
        </w:rPr>
        <w:t>/1</w:t>
      </w:r>
      <w:r w:rsidR="00AD17E2" w:rsidRPr="003E6EFC">
        <w:rPr>
          <w:b/>
          <w:sz w:val="28"/>
          <w:szCs w:val="28"/>
        </w:rPr>
        <w:t>6</w:t>
      </w:r>
    </w:p>
    <w:p w:rsidR="00124CCA" w:rsidRPr="00B27059" w:rsidRDefault="00124CCA" w:rsidP="00480411">
      <w:pPr>
        <w:spacing w:line="240" w:lineRule="auto"/>
      </w:pPr>
    </w:p>
    <w:p w:rsidR="00936001" w:rsidRPr="00B27059" w:rsidRDefault="00936001" w:rsidP="00480411">
      <w:pPr>
        <w:spacing w:line="240" w:lineRule="auto"/>
        <w:jc w:val="center"/>
        <w:rPr>
          <w:sz w:val="28"/>
          <w:szCs w:val="28"/>
        </w:rPr>
      </w:pPr>
    </w:p>
    <w:p w:rsidR="00D0002D" w:rsidRPr="00B27059" w:rsidRDefault="00E873C4" w:rsidP="00480411">
      <w:pPr>
        <w:spacing w:line="240" w:lineRule="auto"/>
        <w:jc w:val="center"/>
        <w:rPr>
          <w:b/>
          <w:bCs/>
        </w:rPr>
      </w:pPr>
      <w:r w:rsidRPr="00B27059">
        <w:rPr>
          <w:sz w:val="28"/>
          <w:szCs w:val="28"/>
        </w:rPr>
        <w:t xml:space="preserve">Wrocław, </w:t>
      </w:r>
      <w:r w:rsidR="00430AE5">
        <w:rPr>
          <w:sz w:val="28"/>
          <w:szCs w:val="28"/>
        </w:rPr>
        <w:t>sierpień</w:t>
      </w:r>
      <w:r w:rsidR="009A0630" w:rsidRPr="00B27059">
        <w:rPr>
          <w:sz w:val="28"/>
          <w:szCs w:val="28"/>
        </w:rPr>
        <w:t xml:space="preserve"> 2016</w:t>
      </w:r>
    </w:p>
    <w:p w:rsidR="00480411" w:rsidRPr="00B27059" w:rsidRDefault="00480411" w:rsidP="00921011">
      <w:pPr>
        <w:spacing w:line="240" w:lineRule="auto"/>
        <w:ind w:right="1"/>
        <w:rPr>
          <w:b/>
          <w:bCs/>
        </w:rPr>
      </w:pPr>
    </w:p>
    <w:p w:rsidR="00A74C6A" w:rsidRPr="00B27059" w:rsidRDefault="00A74C6A" w:rsidP="00921011">
      <w:pPr>
        <w:spacing w:line="240" w:lineRule="auto"/>
        <w:ind w:right="1"/>
        <w:rPr>
          <w:b/>
          <w:bCs/>
        </w:rPr>
      </w:pPr>
    </w:p>
    <w:p w:rsidR="00582A00" w:rsidRPr="00B27059" w:rsidRDefault="00582A00" w:rsidP="00921011">
      <w:pPr>
        <w:spacing w:line="240" w:lineRule="auto"/>
        <w:ind w:right="1"/>
        <w:rPr>
          <w:b/>
          <w:bCs/>
        </w:rPr>
      </w:pPr>
    </w:p>
    <w:p w:rsidR="00E873C4" w:rsidRPr="00B27059" w:rsidRDefault="008F4AAF" w:rsidP="00480411">
      <w:pPr>
        <w:spacing w:line="240" w:lineRule="auto"/>
        <w:ind w:left="-142" w:right="1"/>
        <w:rPr>
          <w:sz w:val="28"/>
          <w:szCs w:val="28"/>
        </w:rPr>
      </w:pPr>
      <w:r w:rsidRPr="00B27059">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podmiot, o którym mowa w art. 2 pkt.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w:t>
            </w:r>
            <w:r w:rsidRPr="00B27059">
              <w:rPr>
                <w:rFonts w:ascii="Calibri" w:hAnsi="Calibri" w:cs="Calibri"/>
                <w:color w:val="000000"/>
              </w:rPr>
              <w:lastRenderedPageBreak/>
              <w:t xml:space="preserve">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8E1123" w:rsidRPr="007F7945" w:rsidRDefault="005F764E" w:rsidP="008E1123">
            <w:pPr>
              <w:pStyle w:val="Nagwek"/>
              <w:spacing w:before="120" w:after="120"/>
              <w:jc w:val="both"/>
              <w:rPr>
                <w:rFonts w:cs="Arial"/>
              </w:rPr>
            </w:pPr>
            <w:r w:rsidRPr="00BA06EA">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A06EA">
              <w:rPr>
                <w:rFonts w:ascii="Calibri" w:eastAsia="Droid Sans Fallback" w:hAnsi="Calibri" w:cs="Calibri"/>
                <w:color w:val="00000A"/>
              </w:rPr>
              <w:t>Oś priorytetowa 4  Środowisko i zasoby,</w:t>
            </w:r>
            <w:r w:rsidRPr="00BA06EA">
              <w:rPr>
                <w:rFonts w:ascii="Calibri" w:eastAsia="Droid Sans Fallback" w:hAnsi="Calibri" w:cs="Calibri"/>
                <w:color w:val="00000A"/>
              </w:rPr>
              <w:t xml:space="preserve"> </w:t>
            </w:r>
            <w:r w:rsidR="008E1123" w:rsidRPr="00BA06EA">
              <w:rPr>
                <w:rFonts w:cs="Arial"/>
              </w:rPr>
              <w:t>Działania 4.</w:t>
            </w:r>
            <w:r w:rsidR="00BA06EA" w:rsidRPr="00BA06EA">
              <w:rPr>
                <w:rFonts w:cs="Arial"/>
              </w:rPr>
              <w:t>5</w:t>
            </w:r>
            <w:r w:rsidR="008E1123" w:rsidRPr="00BA06EA">
              <w:rPr>
                <w:rFonts w:cs="Arial"/>
              </w:rPr>
              <w:t xml:space="preserve"> </w:t>
            </w:r>
            <w:r w:rsidR="00BA06EA" w:rsidRPr="00BA06EA">
              <w:rPr>
                <w:rFonts w:cs="Arial"/>
              </w:rPr>
              <w:t xml:space="preserve">Bezpieczeństwo </w:t>
            </w:r>
            <w:r w:rsidR="008E1123" w:rsidRPr="00BA06EA">
              <w:rPr>
                <w:rFonts w:cs="Arial"/>
              </w:rPr>
              <w:t>- Poddziałanie 4.</w:t>
            </w:r>
            <w:r w:rsidR="00BA06EA" w:rsidRPr="00BA06EA">
              <w:rPr>
                <w:rFonts w:cs="Arial"/>
              </w:rPr>
              <w:t>5</w:t>
            </w:r>
            <w:r w:rsidR="008E1123" w:rsidRPr="00BA06EA">
              <w:rPr>
                <w:rFonts w:cs="Arial"/>
              </w:rPr>
              <w:t xml:space="preserve">.1 </w:t>
            </w:r>
            <w:r w:rsidR="00BA06EA" w:rsidRPr="00BA06EA">
              <w:rPr>
                <w:rFonts w:cs="Arial"/>
              </w:rPr>
              <w:t xml:space="preserve">Bezpieczeństwo </w:t>
            </w:r>
            <w:r w:rsidR="008E1123" w:rsidRPr="00BA06EA">
              <w:rPr>
                <w:rFonts w:cs="Arial"/>
              </w:rPr>
              <w:t>– konkurs</w:t>
            </w:r>
            <w:r w:rsidR="00C03EEC">
              <w:rPr>
                <w:rFonts w:cs="Arial"/>
              </w:rPr>
              <w:t>y</w:t>
            </w:r>
            <w:r w:rsidR="008E1123" w:rsidRPr="00BA06EA">
              <w:rPr>
                <w:rFonts w:cs="Arial"/>
              </w:rPr>
              <w:t xml:space="preserve"> horyzontaln</w:t>
            </w:r>
            <w:r w:rsidR="00C03EEC">
              <w:rPr>
                <w:rFonts w:cs="Arial"/>
              </w:rPr>
              <w:t>e</w:t>
            </w:r>
            <w:r w:rsidR="008E1123" w:rsidRPr="007F7945">
              <w:rPr>
                <w:rFonts w:cs="Arial"/>
              </w:rPr>
              <w:t>.</w:t>
            </w:r>
          </w:p>
          <w:p w:rsidR="00BA06EA" w:rsidRPr="00BA06EA" w:rsidRDefault="008E1123" w:rsidP="00BA06EA">
            <w:pPr>
              <w:pStyle w:val="Nagwek"/>
              <w:spacing w:before="120" w:after="120"/>
              <w:jc w:val="both"/>
              <w:rPr>
                <w:rFonts w:cs="Calibri"/>
                <w:b/>
                <w:color w:val="000000"/>
                <w:u w:val="single"/>
              </w:rPr>
            </w:pPr>
            <w:r w:rsidRPr="008E1123">
              <w:rPr>
                <w:rFonts w:cs="Calibri"/>
                <w:b/>
                <w:color w:val="000000"/>
                <w:u w:val="single"/>
              </w:rPr>
              <w:t xml:space="preserve">Nabór w trybie konkursowym – </w:t>
            </w:r>
            <w:r w:rsidRPr="008E1123">
              <w:rPr>
                <w:rFonts w:ascii="Calibri" w:eastAsia="Times New Roman" w:hAnsi="Calibri" w:cs="Calibri"/>
                <w:b/>
                <w:color w:val="000000"/>
                <w:szCs w:val="20"/>
                <w:u w:val="single"/>
                <w:lang w:eastAsia="pl-PL"/>
              </w:rPr>
              <w:t xml:space="preserve">horyzontalny - </w:t>
            </w:r>
            <w:r w:rsidRPr="008E1123">
              <w:rPr>
                <w:rFonts w:cs="Calibri"/>
                <w:b/>
                <w:color w:val="000000"/>
                <w:u w:val="single"/>
              </w:rPr>
              <w:t xml:space="preserve"> </w:t>
            </w:r>
            <w:r w:rsidR="00BA06EA" w:rsidRPr="00BA06EA">
              <w:rPr>
                <w:rFonts w:cs="Calibri"/>
                <w:b/>
                <w:color w:val="000000"/>
                <w:u w:val="single"/>
              </w:rPr>
              <w:t>skierowany:</w:t>
            </w:r>
          </w:p>
          <w:p w:rsidR="00BA06EA" w:rsidRDefault="00BA06EA" w:rsidP="00C03EEC">
            <w:pPr>
              <w:pStyle w:val="Nagwek"/>
              <w:numPr>
                <w:ilvl w:val="0"/>
                <w:numId w:val="14"/>
              </w:numPr>
              <w:spacing w:before="120" w:after="120"/>
              <w:jc w:val="both"/>
              <w:rPr>
                <w:rFonts w:cs="Calibri"/>
                <w:b/>
                <w:color w:val="000000"/>
                <w:u w:val="single"/>
              </w:rPr>
            </w:pPr>
            <w:r w:rsidRPr="00BA06EA">
              <w:rPr>
                <w:rFonts w:cs="Calibri"/>
                <w:b/>
                <w:color w:val="000000"/>
                <w:u w:val="single"/>
              </w:rPr>
              <w:t>do beneficjentów mających si</w:t>
            </w:r>
            <w:r>
              <w:rPr>
                <w:rFonts w:cs="Calibri"/>
                <w:b/>
                <w:color w:val="000000"/>
                <w:u w:val="single"/>
              </w:rPr>
              <w:t xml:space="preserve">edzibę poza obszarem ZIT WROF, </w:t>
            </w:r>
          </w:p>
          <w:p w:rsidR="00BA06EA" w:rsidRPr="00BA06EA" w:rsidRDefault="00BA06EA" w:rsidP="00C03EEC">
            <w:pPr>
              <w:pStyle w:val="Nagwek"/>
              <w:numPr>
                <w:ilvl w:val="0"/>
                <w:numId w:val="14"/>
              </w:numPr>
              <w:spacing w:before="120" w:after="120"/>
              <w:jc w:val="both"/>
              <w:rPr>
                <w:rFonts w:cs="Calibri"/>
                <w:b/>
                <w:color w:val="000000"/>
                <w:u w:val="single"/>
              </w:rPr>
            </w:pPr>
            <w:r w:rsidRPr="00BA06EA">
              <w:rPr>
                <w:rFonts w:cs="Calibri"/>
                <w:b/>
                <w:color w:val="000000"/>
                <w:u w:val="single"/>
              </w:rPr>
              <w:t>dla projektów o znaczeniu wykraczającym poza obszar ZIT WROF</w:t>
            </w:r>
            <w:r w:rsidR="0027153F">
              <w:rPr>
                <w:rFonts w:cs="Calibri"/>
                <w:b/>
                <w:color w:val="000000"/>
                <w:u w:val="single"/>
              </w:rPr>
              <w:t>.</w:t>
            </w:r>
            <w:r w:rsidRPr="00BA06EA">
              <w:rPr>
                <w:rFonts w:cs="Calibri"/>
                <w:b/>
                <w:color w:val="000000"/>
                <w:u w:val="single"/>
              </w:rPr>
              <w:t xml:space="preserve"> </w:t>
            </w:r>
          </w:p>
          <w:p w:rsidR="00BA06EA" w:rsidRDefault="00BA06EA" w:rsidP="00BA06EA">
            <w:pPr>
              <w:pStyle w:val="Nagwek"/>
              <w:spacing w:before="120" w:after="120"/>
              <w:jc w:val="both"/>
              <w:rPr>
                <w:rFonts w:cs="Calibri"/>
                <w:b/>
                <w:color w:val="000000"/>
                <w:u w:val="single"/>
              </w:rPr>
            </w:pPr>
            <w:r w:rsidRPr="00BA06EA">
              <w:rPr>
                <w:rFonts w:cs="Calibri"/>
                <w:b/>
                <w:color w:val="000000"/>
                <w:u w:val="single"/>
              </w:rPr>
              <w:t xml:space="preserve"> </w:t>
            </w:r>
          </w:p>
          <w:p w:rsidR="005F764E" w:rsidRPr="00B27059" w:rsidRDefault="005F764E" w:rsidP="00BA06EA">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F764E">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Funkcję Instytucji Zarządzającej pełni Zarząd Województwa Dolnośląskiego. </w:t>
            </w:r>
          </w:p>
          <w:p w:rsidR="00424DF6" w:rsidRPr="00B27059" w:rsidRDefault="003B6C9D" w:rsidP="00480411">
            <w:pPr>
              <w:pStyle w:val="Akapitzlist"/>
              <w:spacing w:before="120" w:after="120" w:line="240" w:lineRule="auto"/>
              <w:ind w:left="0"/>
              <w:jc w:val="both"/>
              <w:rPr>
                <w:rFonts w:cs="Calibri"/>
                <w:color w:val="000000"/>
              </w:rPr>
            </w:pPr>
            <w:r w:rsidRPr="00B27059">
              <w:rPr>
                <w:rFonts w:asciiTheme="minorHAnsi" w:hAnsiTheme="minorHAnsi"/>
                <w:szCs w:val="22"/>
              </w:rPr>
              <w:t xml:space="preserve">Zadania związane z naborem realizuje Departament Funduszy Europejskich </w:t>
            </w:r>
            <w:r w:rsidR="002D184C" w:rsidRPr="00B27059">
              <w:rPr>
                <w:rFonts w:asciiTheme="minorHAnsi" w:hAnsiTheme="minorHAnsi"/>
                <w:szCs w:val="22"/>
              </w:rPr>
              <w:br/>
            </w:r>
            <w:r w:rsidRPr="00B27059">
              <w:rPr>
                <w:rFonts w:asciiTheme="minorHAnsi" w:hAnsiTheme="minorHAnsi"/>
                <w:szCs w:val="22"/>
              </w:rPr>
              <w:t>w Urzędzie Marszałkow</w:t>
            </w:r>
            <w:r w:rsidR="002D184C" w:rsidRPr="00B27059">
              <w:rPr>
                <w:rFonts w:asciiTheme="minorHAnsi" w:hAnsiTheme="minorHAnsi"/>
                <w:szCs w:val="22"/>
              </w:rPr>
              <w:t>skim Województwa Dolnośląskiego</w:t>
            </w:r>
            <w:r w:rsidR="00FD6EC7" w:rsidRPr="00B27059">
              <w:rPr>
                <w:rFonts w:asciiTheme="minorHAnsi" w:hAnsiTheme="minorHAnsi"/>
                <w:szCs w:val="22"/>
              </w:rPr>
              <w:t xml:space="preserve">, </w:t>
            </w:r>
            <w:r w:rsidR="00FD6EC7" w:rsidRPr="00B27059">
              <w:rPr>
                <w:rFonts w:asciiTheme="minorHAnsi" w:hAnsiTheme="minorHAnsi"/>
                <w:bCs/>
              </w:rPr>
              <w:t>ul. Mazowiecka 17, 50-412 Wrocław</w:t>
            </w:r>
            <w:r w:rsidRPr="00B27059">
              <w:rPr>
                <w:rFonts w:asciiTheme="minorHAnsi" w:hAnsiTheme="minorHAnsi"/>
                <w:szCs w:val="22"/>
              </w:rPr>
              <w:t xml:space="preserve">. </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896B87" w:rsidRDefault="00FD6EC7" w:rsidP="00480411">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rsidR="009C532E" w:rsidRPr="00896B87"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896B87" w:rsidRDefault="00FD6EC7" w:rsidP="00C03EEC">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Traktat o funkcjonowaniu Unii Europejskiej</w:t>
            </w:r>
            <w:r w:rsidR="00AC43B1" w:rsidRPr="00896B87">
              <w:rPr>
                <w:rFonts w:ascii="Calibri" w:hAnsi="Calibri"/>
                <w:color w:val="000000"/>
              </w:rPr>
              <w:t>;</w:t>
            </w:r>
            <w:r w:rsidRPr="00896B87">
              <w:rPr>
                <w:rFonts w:ascii="Calibri" w:hAnsi="Calibri"/>
                <w:color w:val="000000"/>
              </w:rPr>
              <w:t xml:space="preserve">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1303/2013 </w:t>
            </w:r>
            <w:r w:rsidR="00D6748B" w:rsidRPr="00896B87">
              <w:rPr>
                <w:rFonts w:ascii="Calibri" w:hAnsi="Calibri"/>
                <w:color w:val="000000"/>
              </w:rPr>
              <w:br/>
            </w:r>
            <w:r w:rsidRPr="00896B87">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w:t>
            </w:r>
            <w:r w:rsidRPr="00896B87">
              <w:rPr>
                <w:rFonts w:ascii="Calibri" w:hAnsi="Calibri"/>
                <w:color w:val="000000"/>
              </w:rPr>
              <w:lastRenderedPageBreak/>
              <w:t xml:space="preserve">Europejskiego Funduszu Rozwoju Regionalnego, Europejskiego Funduszu Społecznego, Funduszu Spójności i Europejskiego Funduszu Morskiego </w:t>
            </w:r>
            <w:r w:rsidR="00D6748B" w:rsidRPr="00896B87">
              <w:rPr>
                <w:rFonts w:ascii="Calibri" w:hAnsi="Calibri"/>
                <w:color w:val="000000"/>
              </w:rPr>
              <w:br/>
            </w:r>
            <w:r w:rsidRPr="00896B87">
              <w:rPr>
                <w:rFonts w:ascii="Calibri" w:hAnsi="Calibri"/>
                <w:color w:val="000000"/>
              </w:rPr>
              <w:t>i Rybackiego oraz uchylające rozporządzenie Rady (WE) nr 1083/2006 (Dz. Urz. UE L 347 z 20.12.2013, str. 320) [Rozporządzenie ogólne];</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896B87">
              <w:rPr>
                <w:rFonts w:ascii="Calibri" w:hAnsi="Calibri"/>
                <w:color w:val="000000"/>
              </w:rPr>
              <w:br/>
            </w:r>
            <w:r w:rsidRPr="00896B87">
              <w:rPr>
                <w:rFonts w:ascii="Calibri" w:hAnsi="Calibri"/>
                <w:color w:val="000000"/>
              </w:rPr>
              <w:t>z 20.12.2013, str. 320);</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896B87">
              <w:rPr>
                <w:rFonts w:ascii="Calibri" w:hAnsi="Calibri"/>
                <w:color w:val="000000"/>
              </w:rPr>
              <w:br/>
            </w:r>
            <w:r w:rsidRPr="00896B87">
              <w:rPr>
                <w:rFonts w:ascii="Calibri" w:hAnsi="Calibri"/>
                <w:color w:val="000000"/>
              </w:rPr>
              <w:t xml:space="preserve">i końcowych na potrzeby ram wykonania oraz klasyfikacji kategorii interwencji w odniesieniu do europejskich funduszy strukturalnych </w:t>
            </w:r>
            <w:r w:rsidR="00D6748B" w:rsidRPr="00896B87">
              <w:rPr>
                <w:rFonts w:ascii="Calibri" w:hAnsi="Calibri"/>
                <w:color w:val="000000"/>
              </w:rPr>
              <w:br/>
            </w:r>
            <w:r w:rsidRPr="00896B87">
              <w:rPr>
                <w:rFonts w:ascii="Calibri" w:hAnsi="Calibri"/>
                <w:color w:val="000000"/>
              </w:rPr>
              <w:t xml:space="preserve">i inwestycyjnych; (Dz. Urz. UE L 69 z 08.03.2014, str. 65 ze zm.);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Ustawa z dnia 11 lipca 2014 r. o zasadach realizacji programów </w:t>
            </w:r>
            <w:r w:rsidR="00D6748B" w:rsidRPr="00896B87">
              <w:rPr>
                <w:rFonts w:ascii="Calibri" w:hAnsi="Calibri"/>
                <w:color w:val="000000"/>
              </w:rPr>
              <w:br/>
            </w:r>
            <w:r w:rsidRPr="00896B87">
              <w:rPr>
                <w:rFonts w:ascii="Calibri" w:hAnsi="Calibri"/>
                <w:color w:val="000000"/>
              </w:rPr>
              <w:t>w zakresie polityki spójności finansowanych w perspektywie finansowej 2014–2020 (tekst jedn.: Dz. U. z 2016 r. poz. 217) [ustawa wdrożeniowa];</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p>
          <w:p w:rsidR="001E6CC9" w:rsidRPr="00896B87" w:rsidRDefault="001E6CC9" w:rsidP="00C03EEC">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Ustawa z dnia 7 lipca 1994 r. Prawo budowlane (tekst jednolity: Dz.U. 2016 poz. 290);</w:t>
            </w:r>
          </w:p>
          <w:p w:rsidR="00151FBA"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Ustawa z dnia 27 sierpnia 2009 r. o finansach publicznych (tekst. jedn.: Dz. U. z 2013 r. poz. 885, z </w:t>
            </w:r>
            <w:proofErr w:type="spellStart"/>
            <w:r w:rsidRPr="00896B87">
              <w:rPr>
                <w:rFonts w:ascii="Calibri" w:hAnsi="Calibri"/>
                <w:color w:val="000000"/>
              </w:rPr>
              <w:t>późn</w:t>
            </w:r>
            <w:proofErr w:type="spellEnd"/>
            <w:r w:rsidRPr="00896B87">
              <w:rPr>
                <w:rFonts w:ascii="Calibri" w:hAnsi="Calibri"/>
                <w:color w:val="000000"/>
              </w:rPr>
              <w:t>. zm.);</w:t>
            </w:r>
          </w:p>
          <w:p w:rsidR="00151FBA"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Ustawa z dnia 29 września 1994 r. o rachunkowości (tekst. jedn.: DZ. U. </w:t>
            </w:r>
            <w:r w:rsidR="00B80017" w:rsidRPr="00896B87">
              <w:rPr>
                <w:rFonts w:ascii="Calibri" w:hAnsi="Calibri"/>
                <w:color w:val="000000"/>
              </w:rPr>
              <w:br/>
            </w:r>
            <w:r w:rsidRPr="00896B87">
              <w:rPr>
                <w:rFonts w:ascii="Calibri" w:hAnsi="Calibri"/>
                <w:color w:val="000000"/>
              </w:rPr>
              <w:t>z 2013 r., poz. 330, z </w:t>
            </w:r>
            <w:proofErr w:type="spellStart"/>
            <w:r w:rsidRPr="00896B87">
              <w:rPr>
                <w:rFonts w:ascii="Calibri" w:hAnsi="Calibri"/>
                <w:color w:val="000000"/>
              </w:rPr>
              <w:t>późn</w:t>
            </w:r>
            <w:proofErr w:type="spellEnd"/>
            <w:r w:rsidRPr="00896B87">
              <w:rPr>
                <w:rFonts w:ascii="Calibri" w:hAnsi="Calibri"/>
                <w:color w:val="000000"/>
              </w:rPr>
              <w:t xml:space="preserve">. zm.);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Ustawa z dnia 11 marca 2004 r. o podatku od towarów i usług (tekst. jedn.: Dz. U. z 2011 r. Nr 177, poz. 1054 z </w:t>
            </w:r>
            <w:proofErr w:type="spellStart"/>
            <w:r w:rsidRPr="00896B87">
              <w:rPr>
                <w:rFonts w:asciiTheme="minorHAnsi" w:hAnsiTheme="minorHAnsi"/>
                <w:color w:val="000000"/>
              </w:rPr>
              <w:t>późn</w:t>
            </w:r>
            <w:proofErr w:type="spellEnd"/>
            <w:r w:rsidRPr="00896B87">
              <w:rPr>
                <w:rFonts w:asciiTheme="minorHAnsi" w:hAnsiTheme="minorHAnsi"/>
                <w:color w:val="000000"/>
              </w:rPr>
              <w:t>. zm.);</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Ustawa z dnia 6 września 2001 r. o dostępie do informacji publicznej (tekst. jedn.: Dz. U. z 2015 r., poz. 2058.);</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p>
          <w:p w:rsidR="009C532E"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896B87">
              <w:rPr>
                <w:rFonts w:asciiTheme="minorHAnsi" w:hAnsiTheme="minorHAnsi"/>
                <w:color w:val="000000"/>
                <w:szCs w:val="22"/>
              </w:rPr>
              <w:t>późn</w:t>
            </w:r>
            <w:proofErr w:type="spellEnd"/>
            <w:r w:rsidRPr="00896B87">
              <w:rPr>
                <w:rFonts w:asciiTheme="minorHAnsi" w:hAnsiTheme="minorHAnsi"/>
                <w:color w:val="000000"/>
                <w:szCs w:val="22"/>
              </w:rPr>
              <w:t>. zm.);</w:t>
            </w:r>
          </w:p>
          <w:p w:rsidR="005823A0" w:rsidRPr="005823A0" w:rsidRDefault="005823A0" w:rsidP="005823A0">
            <w:pPr>
              <w:pStyle w:val="Akapitzlist"/>
              <w:numPr>
                <w:ilvl w:val="0"/>
                <w:numId w:val="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rsidR="00151FBA"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lastRenderedPageBreak/>
              <w:t>Regionalny Program Operacyjny Województwa</w:t>
            </w:r>
            <w:r w:rsidRPr="00896B87">
              <w:rPr>
                <w:rFonts w:asciiTheme="minorHAnsi" w:hAnsiTheme="minorHAnsi"/>
                <w:color w:val="000000"/>
              </w:rPr>
              <w:t xml:space="preserve"> Dolnośląskiego 2014-2020 przyjęty przez Komisję Europejską w dniu 18 grudnia 2014 r.;</w:t>
            </w:r>
          </w:p>
          <w:p w:rsidR="009C532E" w:rsidRPr="00C13975"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z dnia </w:t>
            </w:r>
            <w:r w:rsidR="00F86417">
              <w:rPr>
                <w:rFonts w:asciiTheme="minorHAnsi" w:hAnsiTheme="minorHAnsi"/>
                <w:color w:val="000000"/>
              </w:rPr>
              <w:t>26</w:t>
            </w:r>
            <w:r w:rsidRPr="00C13975">
              <w:rPr>
                <w:rFonts w:asciiTheme="minorHAnsi" w:hAnsiTheme="minorHAnsi"/>
                <w:color w:val="000000"/>
              </w:rPr>
              <w:t xml:space="preserve"> </w:t>
            </w:r>
            <w:r w:rsidR="00C13975" w:rsidRPr="00C13975">
              <w:rPr>
                <w:rFonts w:asciiTheme="minorHAnsi" w:hAnsiTheme="minorHAnsi"/>
                <w:color w:val="000000"/>
              </w:rPr>
              <w:t>sierpnia</w:t>
            </w:r>
            <w:r w:rsidRPr="00C13975">
              <w:rPr>
                <w:rFonts w:asciiTheme="minorHAnsi" w:hAnsiTheme="minorHAnsi"/>
                <w:color w:val="000000"/>
              </w:rPr>
              <w:t xml:space="preserve"> 2016 r. </w:t>
            </w:r>
            <w:bookmarkStart w:id="5" w:name="_GoBack"/>
            <w:bookmarkEnd w:id="5"/>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Theme="minorHAnsi" w:hAnsiTheme="minorHAnsi"/>
                <w:color w:val="000000"/>
              </w:rPr>
              <w:t xml:space="preserve">„Wytyczne w zakresie trybów wyboru projektów na </w:t>
            </w:r>
            <w:r w:rsidRPr="00896B87">
              <w:rPr>
                <w:rFonts w:ascii="Calibri" w:hAnsi="Calibri"/>
                <w:color w:val="000000"/>
              </w:rPr>
              <w:t xml:space="preserve">lata 2014-2020” </w:t>
            </w:r>
            <w:r w:rsidR="00B80017" w:rsidRPr="00896B87">
              <w:rPr>
                <w:rFonts w:ascii="Calibri" w:hAnsi="Calibri"/>
                <w:color w:val="000000"/>
              </w:rPr>
              <w:br/>
            </w:r>
            <w:r w:rsidRPr="00896B87">
              <w:rPr>
                <w:rFonts w:ascii="Calibri" w:hAnsi="Calibri"/>
                <w:color w:val="000000"/>
              </w:rPr>
              <w:t xml:space="preserve">z dnia 31 marca 2015 r., wydane przez Ministra Infrastruktury i Rozwoju; </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896B87">
              <w:rPr>
                <w:rFonts w:ascii="Calibri" w:hAnsi="Calibri"/>
                <w:color w:val="000000"/>
              </w:rPr>
              <w:br/>
            </w:r>
            <w:r w:rsidRPr="00896B87">
              <w:rPr>
                <w:rFonts w:ascii="Calibri" w:hAnsi="Calibri"/>
                <w:color w:val="000000"/>
              </w:rPr>
              <w:t>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„Wytyczne w zakresie warunków gromadzenia i przekazywania danych </w:t>
            </w:r>
            <w:r w:rsidR="00B80017" w:rsidRPr="00896B87">
              <w:rPr>
                <w:rFonts w:ascii="Calibri" w:hAnsi="Calibri"/>
                <w:color w:val="000000"/>
              </w:rPr>
              <w:br/>
            </w:r>
            <w:r w:rsidRPr="00896B87">
              <w:rPr>
                <w:rFonts w:ascii="Calibri" w:hAnsi="Calibri"/>
                <w:color w:val="000000"/>
              </w:rPr>
              <w:t>w postaci elektronicznej na lata 2014-2020” z dnia 3 marca 2015 r., wydane przez Ministra Infrastruktury 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631ED2"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rPr>
            </w:pPr>
            <w:r w:rsidRPr="00896B87">
              <w:rPr>
                <w:rFonts w:ascii="Calibri" w:hAnsi="Calibri"/>
                <w:color w:val="000000"/>
              </w:rPr>
              <w:t>„</w:t>
            </w:r>
            <w:r w:rsidRPr="00631ED2">
              <w:rPr>
                <w:rFonts w:asciiTheme="minorHAnsi" w:hAnsiTheme="minorHAnsi"/>
              </w:rPr>
              <w:t xml:space="preserve">Wytyczne w zakresie zagadnień związanych z przygotowaniem projektów inwestycyjnych, w tym projektów generujących dochód </w:t>
            </w:r>
            <w:r w:rsidR="00B80017" w:rsidRPr="00631ED2">
              <w:rPr>
                <w:rFonts w:asciiTheme="minorHAnsi" w:hAnsiTheme="minorHAnsi"/>
              </w:rPr>
              <w:br/>
            </w:r>
            <w:r w:rsidRPr="00631ED2">
              <w:rPr>
                <w:rFonts w:asciiTheme="minorHAnsi" w:hAnsiTheme="minorHAnsi"/>
              </w:rPr>
              <w:t>i projektów hybrydowych na lata 2014-2020” z dnia 31 marca 2015 r., wydane przez Ministra Infrastruktury i Rozwoju.</w:t>
            </w:r>
          </w:p>
          <w:p w:rsidR="00631ED2" w:rsidRPr="00631ED2" w:rsidRDefault="00631ED2" w:rsidP="00631ED2">
            <w:pPr>
              <w:pStyle w:val="Akapitzlist"/>
              <w:numPr>
                <w:ilvl w:val="0"/>
                <w:numId w:val="2"/>
              </w:numPr>
              <w:autoSpaceDE w:val="0"/>
              <w:autoSpaceDN w:val="0"/>
              <w:adjustRightInd w:val="0"/>
              <w:spacing w:before="60" w:after="60" w:line="240" w:lineRule="auto"/>
              <w:jc w:val="both"/>
              <w:rPr>
                <w:rFonts w:asciiTheme="minorHAnsi" w:hAnsiTheme="minorHAnsi"/>
              </w:rPr>
            </w:pPr>
            <w:r w:rsidRPr="00631ED2">
              <w:rPr>
                <w:rFonts w:asciiTheme="minorHAnsi" w:hAnsiTheme="minorHAnsi"/>
              </w:rPr>
              <w:t>Mapy zagrożenia powodziowego i mapy ryzyka powodziowego – dostępne na http://www.isok.gov.pl/pl/mapy-zagrozenia-powodziowego-i-mapy-ryzyka-powodziowego;</w:t>
            </w:r>
          </w:p>
          <w:p w:rsidR="000C7233" w:rsidRPr="00896B87"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Przedmiot konkursu, w tym typy projektów podlegających dofinansowaniu: </w:t>
            </w:r>
          </w:p>
        </w:tc>
        <w:tc>
          <w:tcPr>
            <w:tcW w:w="7494" w:type="dxa"/>
          </w:tcPr>
          <w:p w:rsidR="00D219AD" w:rsidRPr="008E4823" w:rsidRDefault="00D219AD" w:rsidP="008E4823">
            <w:pPr>
              <w:autoSpaceDE w:val="0"/>
              <w:autoSpaceDN w:val="0"/>
              <w:adjustRightInd w:val="0"/>
              <w:spacing w:after="0" w:line="240" w:lineRule="auto"/>
              <w:jc w:val="both"/>
              <w:rPr>
                <w:rFonts w:cs="Calibri"/>
                <w:color w:val="000000"/>
              </w:rPr>
            </w:pPr>
            <w:r w:rsidRPr="008E4823">
              <w:rPr>
                <w:rFonts w:cs="Calibri"/>
                <w:color w:val="000000"/>
              </w:rPr>
              <w:t xml:space="preserve">Przedmiotem konkursu </w:t>
            </w:r>
            <w:r w:rsidR="008E4823" w:rsidRPr="008E4823">
              <w:rPr>
                <w:rFonts w:cs="Calibri"/>
                <w:color w:val="000000"/>
              </w:rPr>
              <w:t>są</w:t>
            </w:r>
            <w:r w:rsidRPr="008E4823">
              <w:rPr>
                <w:rFonts w:cs="Calibri"/>
                <w:color w:val="000000"/>
              </w:rPr>
              <w:t xml:space="preserve"> typ</w:t>
            </w:r>
            <w:r w:rsidR="008E4823" w:rsidRPr="008E4823">
              <w:rPr>
                <w:rFonts w:cs="Calibri"/>
                <w:color w:val="000000"/>
              </w:rPr>
              <w:t>y</w:t>
            </w:r>
            <w:r w:rsidRPr="008E4823">
              <w:rPr>
                <w:rFonts w:cs="Calibri"/>
                <w:color w:val="000000"/>
              </w:rPr>
              <w:t xml:space="preserve"> </w:t>
            </w:r>
            <w:r w:rsidR="00C03EEC" w:rsidRPr="008E4823">
              <w:rPr>
                <w:rFonts w:cs="Calibri"/>
                <w:color w:val="000000"/>
              </w:rPr>
              <w:t>p</w:t>
            </w:r>
            <w:r w:rsidRPr="008E4823">
              <w:rPr>
                <w:rFonts w:cs="Calibri"/>
                <w:color w:val="000000"/>
              </w:rPr>
              <w:t>rojekt</w:t>
            </w:r>
            <w:r w:rsidR="008E4823" w:rsidRPr="008E4823">
              <w:rPr>
                <w:rFonts w:cs="Calibri"/>
                <w:color w:val="000000"/>
              </w:rPr>
              <w:t>ów A i B</w:t>
            </w:r>
            <w:r w:rsidRPr="008E4823">
              <w:rPr>
                <w:rFonts w:cs="Calibri"/>
                <w:color w:val="000000"/>
              </w:rPr>
              <w:t xml:space="preserve"> określon</w:t>
            </w:r>
            <w:r w:rsidR="008E4823" w:rsidRPr="008E4823">
              <w:rPr>
                <w:rFonts w:cs="Calibri"/>
                <w:color w:val="000000"/>
              </w:rPr>
              <w:t>e</w:t>
            </w:r>
            <w:r w:rsidRPr="008E4823">
              <w:rPr>
                <w:rFonts w:cs="Calibri"/>
                <w:color w:val="000000"/>
              </w:rPr>
              <w:t xml:space="preserve"> dla działania 4.</w:t>
            </w:r>
            <w:r w:rsidR="00BA06EA" w:rsidRPr="008E4823">
              <w:rPr>
                <w:rFonts w:cs="Calibri"/>
                <w:color w:val="000000"/>
              </w:rPr>
              <w:t>5 Bezpieczeństwo</w:t>
            </w:r>
            <w:r w:rsidRPr="008E4823">
              <w:rPr>
                <w:rFonts w:cs="Calibri"/>
                <w:color w:val="000000"/>
              </w:rPr>
              <w:t xml:space="preserve"> w osi priorytetowej 4 Środowisko i zasoby, tj.:</w:t>
            </w:r>
          </w:p>
          <w:p w:rsidR="00D219AD" w:rsidRPr="008E4823" w:rsidRDefault="00D219AD" w:rsidP="008E4823">
            <w:pPr>
              <w:autoSpaceDE w:val="0"/>
              <w:autoSpaceDN w:val="0"/>
              <w:adjustRightInd w:val="0"/>
              <w:spacing w:after="0" w:line="240" w:lineRule="auto"/>
              <w:jc w:val="both"/>
              <w:rPr>
                <w:rFonts w:cs="Calibri"/>
                <w:color w:val="000000"/>
              </w:rPr>
            </w:pPr>
          </w:p>
          <w:p w:rsidR="008E4823" w:rsidRPr="008E4823" w:rsidRDefault="008E4823" w:rsidP="008E4823">
            <w:pPr>
              <w:numPr>
                <w:ilvl w:val="0"/>
                <w:numId w:val="21"/>
              </w:numPr>
              <w:autoSpaceDE w:val="0"/>
              <w:autoSpaceDN w:val="0"/>
              <w:adjustRightInd w:val="0"/>
              <w:spacing w:after="0" w:line="240" w:lineRule="auto"/>
              <w:ind w:left="395"/>
              <w:jc w:val="both"/>
              <w:rPr>
                <w:rFonts w:cs="Calibri"/>
                <w:color w:val="000000"/>
              </w:rPr>
            </w:pPr>
            <w:r w:rsidRPr="008E4823">
              <w:rPr>
                <w:rFonts w:cs="Calibri"/>
                <w:color w:val="000000"/>
              </w:rPr>
              <w:t>Projekty związane z budową lub rozbudową systemów i urządzeń małej retencji</w:t>
            </w:r>
            <w:r w:rsidRPr="008E4823">
              <w:rPr>
                <w:rStyle w:val="Odwoanieprzypisudolnego"/>
                <w:color w:val="000000"/>
              </w:rPr>
              <w:footnoteReference w:id="1"/>
            </w:r>
            <w:r w:rsidRPr="008E4823">
              <w:rPr>
                <w:rFonts w:cs="Calibri"/>
                <w:color w:val="000000"/>
              </w:rPr>
              <w:t xml:space="preserve">. </w:t>
            </w:r>
          </w:p>
          <w:p w:rsidR="008E4823" w:rsidRPr="008E4823" w:rsidRDefault="008E4823" w:rsidP="008E4823">
            <w:pPr>
              <w:spacing w:line="240" w:lineRule="auto"/>
              <w:ind w:left="395"/>
              <w:rPr>
                <w:rFonts w:cs="Arial"/>
              </w:rPr>
            </w:pPr>
          </w:p>
          <w:p w:rsidR="008E4823" w:rsidRPr="008E4823" w:rsidRDefault="008E4823" w:rsidP="008E4823">
            <w:pPr>
              <w:numPr>
                <w:ilvl w:val="0"/>
                <w:numId w:val="21"/>
              </w:numPr>
              <w:autoSpaceDE w:val="0"/>
              <w:autoSpaceDN w:val="0"/>
              <w:adjustRightInd w:val="0"/>
              <w:spacing w:after="0" w:line="240" w:lineRule="auto"/>
              <w:ind w:left="395"/>
              <w:jc w:val="both"/>
              <w:rPr>
                <w:rFonts w:cs="Calibri"/>
                <w:color w:val="000000"/>
              </w:rPr>
            </w:pPr>
            <w:r w:rsidRPr="008E482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E4823" w:rsidRPr="008E4823" w:rsidRDefault="008E4823" w:rsidP="008E4823">
            <w:pPr>
              <w:pStyle w:val="Akapitzlist"/>
              <w:numPr>
                <w:ilvl w:val="0"/>
                <w:numId w:val="20"/>
              </w:numPr>
              <w:autoSpaceDE w:val="0"/>
              <w:autoSpaceDN w:val="0"/>
              <w:adjustRightInd w:val="0"/>
              <w:spacing w:before="0" w:line="240" w:lineRule="auto"/>
              <w:contextualSpacing/>
              <w:jc w:val="both"/>
              <w:rPr>
                <w:rFonts w:asciiTheme="minorHAnsi" w:hAnsiTheme="minorHAnsi" w:cs="Calibri"/>
                <w:color w:val="000000"/>
              </w:rPr>
            </w:pPr>
            <w:r w:rsidRPr="008E4823">
              <w:rPr>
                <w:rFonts w:asciiTheme="minorHAnsi" w:hAnsiTheme="minorHAnsi" w:cs="Calibri"/>
                <w:color w:val="000000"/>
              </w:rPr>
              <w:t>projekty dotyczące działań związanych z regulacją i odbudową cieków wodnych, a także ze zwiększeniem retencji wodnej np. poprzez budowę urządzeń piętrzących;</w:t>
            </w:r>
          </w:p>
          <w:p w:rsidR="008E4823" w:rsidRPr="008E4823" w:rsidRDefault="008E4823" w:rsidP="008E4823">
            <w:pPr>
              <w:pStyle w:val="Akapitzlist"/>
              <w:numPr>
                <w:ilvl w:val="0"/>
                <w:numId w:val="20"/>
              </w:numPr>
              <w:autoSpaceDE w:val="0"/>
              <w:autoSpaceDN w:val="0"/>
              <w:adjustRightInd w:val="0"/>
              <w:spacing w:before="0" w:line="240" w:lineRule="auto"/>
              <w:contextualSpacing/>
              <w:jc w:val="both"/>
              <w:rPr>
                <w:rFonts w:asciiTheme="minorHAnsi" w:hAnsiTheme="minorHAnsi" w:cs="Calibri"/>
                <w:color w:val="000000"/>
              </w:rPr>
            </w:pPr>
            <w:r w:rsidRPr="008E4823">
              <w:rPr>
                <w:rFonts w:asciiTheme="minorHAnsi" w:hAnsiTheme="minorHAnsi" w:cs="Calibri"/>
                <w:color w:val="000000"/>
              </w:rPr>
              <w:t>budowa lub przebudowa zbiorników retencyjnych;</w:t>
            </w:r>
          </w:p>
          <w:p w:rsidR="008E4823" w:rsidRPr="008E4823" w:rsidRDefault="008E4823" w:rsidP="008E4823">
            <w:pPr>
              <w:pStyle w:val="Akapitzlist"/>
              <w:numPr>
                <w:ilvl w:val="0"/>
                <w:numId w:val="20"/>
              </w:numPr>
              <w:autoSpaceDE w:val="0"/>
              <w:autoSpaceDN w:val="0"/>
              <w:adjustRightInd w:val="0"/>
              <w:spacing w:before="0" w:line="240" w:lineRule="auto"/>
              <w:contextualSpacing/>
              <w:jc w:val="both"/>
              <w:rPr>
                <w:rFonts w:asciiTheme="minorHAnsi" w:hAnsiTheme="minorHAnsi" w:cs="Calibri"/>
                <w:color w:val="000000"/>
              </w:rPr>
            </w:pPr>
            <w:r w:rsidRPr="008E4823">
              <w:rPr>
                <w:rFonts w:asciiTheme="minorHAnsi" w:hAnsiTheme="minorHAnsi" w:cs="Calibri"/>
                <w:color w:val="000000"/>
              </w:rPr>
              <w:t xml:space="preserve">budowa, przebudowa/ rozbudowa systemu zabezpieczeń przeciwpowodziowych. </w:t>
            </w:r>
          </w:p>
          <w:p w:rsidR="008E4823" w:rsidRPr="008E4823" w:rsidRDefault="008E4823" w:rsidP="008E4823">
            <w:pPr>
              <w:autoSpaceDE w:val="0"/>
              <w:autoSpaceDN w:val="0"/>
              <w:adjustRightInd w:val="0"/>
              <w:spacing w:line="240" w:lineRule="auto"/>
              <w:ind w:left="395"/>
              <w:rPr>
                <w:rFonts w:cs="Calibri"/>
                <w:color w:val="000000"/>
              </w:rPr>
            </w:pPr>
          </w:p>
          <w:p w:rsidR="008E4823" w:rsidRPr="008E4823" w:rsidRDefault="008E4823" w:rsidP="00C13975">
            <w:pPr>
              <w:autoSpaceDE w:val="0"/>
              <w:autoSpaceDN w:val="0"/>
              <w:adjustRightInd w:val="0"/>
              <w:spacing w:line="240" w:lineRule="auto"/>
              <w:jc w:val="both"/>
              <w:rPr>
                <w:rFonts w:cs="Calibri"/>
                <w:color w:val="000000"/>
              </w:rPr>
            </w:pPr>
            <w:r w:rsidRPr="008E482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8E4823">
              <w:rPr>
                <w:rFonts w:cs="Calibri"/>
                <w:color w:val="000000"/>
              </w:rPr>
              <w:t>Masterplanów</w:t>
            </w:r>
            <w:proofErr w:type="spellEnd"/>
            <w:r w:rsidRPr="008E4823">
              <w:rPr>
                <w:rFonts w:cs="Calibri"/>
                <w:color w:val="000000"/>
              </w:rPr>
              <w:t xml:space="preserve"> dla dorzeczy Odry i Wisły. </w:t>
            </w:r>
          </w:p>
          <w:p w:rsidR="008E4823" w:rsidRPr="008E4823" w:rsidRDefault="008E4823" w:rsidP="00C13975">
            <w:pPr>
              <w:autoSpaceDE w:val="0"/>
              <w:autoSpaceDN w:val="0"/>
              <w:adjustRightInd w:val="0"/>
              <w:spacing w:line="240" w:lineRule="auto"/>
              <w:jc w:val="both"/>
              <w:rPr>
                <w:rFonts w:cs="Calibri"/>
                <w:color w:val="000000"/>
              </w:rPr>
            </w:pPr>
            <w:r w:rsidRPr="008E4823">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8E4823">
              <w:rPr>
                <w:rFonts w:cs="Calibri"/>
                <w:color w:val="000000"/>
              </w:rPr>
              <w:t>Masterplanów</w:t>
            </w:r>
            <w:proofErr w:type="spellEnd"/>
            <w:r w:rsidRPr="008E4823">
              <w:rPr>
                <w:rFonts w:cs="Calibri"/>
                <w:color w:val="000000"/>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rsidR="00136C31" w:rsidRPr="008E4823" w:rsidRDefault="008E4823" w:rsidP="008E4823">
            <w:pPr>
              <w:autoSpaceDE w:val="0"/>
              <w:autoSpaceDN w:val="0"/>
              <w:adjustRightInd w:val="0"/>
              <w:spacing w:after="0" w:line="240" w:lineRule="auto"/>
              <w:jc w:val="both"/>
              <w:rPr>
                <w:bCs/>
              </w:rPr>
            </w:pPr>
            <w:r w:rsidRPr="008E4823">
              <w:rPr>
                <w:rFonts w:cs="Calibri"/>
                <w:color w:val="000000"/>
              </w:rPr>
              <w:t>Współfinansowanie projektów nie mających negatywnego wpływu na stan lub potencjał jednolitych części wód</w:t>
            </w:r>
            <w:r w:rsidRPr="008E4823">
              <w:t xml:space="preserve"> jest możliwe, jeśli projekty będą z</w:t>
            </w:r>
            <w:r w:rsidRPr="008E4823">
              <w:rPr>
                <w:bCs/>
              </w:rPr>
              <w:t xml:space="preserve">godne </w:t>
            </w:r>
            <w:r>
              <w:rPr>
                <w:bCs/>
              </w:rPr>
              <w:br/>
            </w:r>
            <w:r w:rsidRPr="008E4823">
              <w:rPr>
                <w:bCs/>
              </w:rPr>
              <w:t>z właściwym planem gospodarowania wodami w dorzeczach.</w:t>
            </w:r>
          </w:p>
          <w:p w:rsidR="008E4823" w:rsidRPr="008E4823" w:rsidRDefault="008E4823" w:rsidP="008E4823">
            <w:pPr>
              <w:autoSpaceDE w:val="0"/>
              <w:autoSpaceDN w:val="0"/>
              <w:adjustRightInd w:val="0"/>
              <w:spacing w:after="0" w:line="240" w:lineRule="auto"/>
              <w:jc w:val="both"/>
            </w:pPr>
          </w:p>
          <w:p w:rsidR="00136C31" w:rsidRPr="008E4823" w:rsidRDefault="00136C31" w:rsidP="008E4823">
            <w:pPr>
              <w:autoSpaceDE w:val="0"/>
              <w:autoSpaceDN w:val="0"/>
              <w:adjustRightInd w:val="0"/>
              <w:spacing w:line="240" w:lineRule="auto"/>
              <w:jc w:val="both"/>
            </w:pPr>
            <w:r w:rsidRPr="008E4823">
              <w:rPr>
                <w:rFonts w:cs="Arial"/>
              </w:rPr>
              <w:t xml:space="preserve">Uzupełniającym elementem wparcia mogą być działania </w:t>
            </w:r>
            <w:r w:rsidRPr="008E4823">
              <w:rPr>
                <w:rFonts w:cs="Calibri"/>
                <w:color w:val="000000"/>
              </w:rPr>
              <w:t>związane z podnoszeniem wiedzy i świadomości osób dotkniętych ryzykiem</w:t>
            </w:r>
            <w:r w:rsidRPr="008E4823">
              <w:t xml:space="preserve"> </w:t>
            </w:r>
            <w:r w:rsidRPr="008E4823">
              <w:rPr>
                <w:rFonts w:cs="Calibri"/>
                <w:color w:val="000000"/>
              </w:rPr>
              <w:t xml:space="preserve">związanej </w:t>
            </w:r>
            <w:r w:rsidR="008E4823">
              <w:rPr>
                <w:rFonts w:cs="Calibri"/>
                <w:color w:val="000000"/>
              </w:rPr>
              <w:br/>
            </w:r>
            <w:r w:rsidRPr="008E4823">
              <w:rPr>
                <w:rFonts w:cs="Calibri"/>
                <w:color w:val="000000"/>
              </w:rPr>
              <w:t>z udzielaniem pomocy w sytuacji zagrożenia bezpieczeństwa mienia i życia ludzkiego (w ramach mechanizmu finansowania krzyżowego – cross-</w:t>
            </w:r>
            <w:proofErr w:type="spellStart"/>
            <w:r w:rsidRPr="008E4823">
              <w:rPr>
                <w:rFonts w:cs="Calibri"/>
                <w:color w:val="000000"/>
              </w:rPr>
              <w:t>financingu</w:t>
            </w:r>
            <w:proofErr w:type="spellEnd"/>
            <w:r w:rsidRPr="008E4823">
              <w:rPr>
                <w:rFonts w:cs="Calibri"/>
                <w:color w:val="000000"/>
              </w:rPr>
              <w:t>).</w:t>
            </w:r>
          </w:p>
          <w:p w:rsidR="00BA06EA" w:rsidRPr="008E4823" w:rsidRDefault="00BA06EA" w:rsidP="008E4823">
            <w:pPr>
              <w:autoSpaceDE w:val="0"/>
              <w:autoSpaceDN w:val="0"/>
              <w:adjustRightInd w:val="0"/>
              <w:spacing w:after="0" w:line="240" w:lineRule="auto"/>
              <w:jc w:val="both"/>
            </w:pPr>
          </w:p>
          <w:p w:rsidR="007028F2" w:rsidRPr="008E4823" w:rsidRDefault="00D219AD" w:rsidP="008E4823">
            <w:pPr>
              <w:pStyle w:val="CM1"/>
              <w:spacing w:before="200" w:after="200"/>
              <w:jc w:val="both"/>
              <w:rPr>
                <w:rFonts w:asciiTheme="minorHAnsi" w:hAnsiTheme="minorHAnsi"/>
                <w:sz w:val="22"/>
                <w:szCs w:val="22"/>
              </w:rPr>
            </w:pPr>
            <w:r w:rsidRPr="008E4823">
              <w:rPr>
                <w:rFonts w:asciiTheme="minorHAnsi" w:hAnsiTheme="minorHAnsi"/>
                <w:sz w:val="22"/>
                <w:szCs w:val="22"/>
              </w:rPr>
              <w:t>Kategorią interwencji dla niniejszego konkursu jest kategoria</w:t>
            </w:r>
            <w:r w:rsidR="007028F2" w:rsidRPr="008E4823">
              <w:rPr>
                <w:rFonts w:asciiTheme="minorHAnsi" w:hAnsiTheme="minorHAnsi"/>
                <w:sz w:val="22"/>
                <w:szCs w:val="22"/>
              </w:rPr>
              <w:t>:</w:t>
            </w:r>
          </w:p>
          <w:p w:rsidR="00D219AD" w:rsidRPr="008E4823" w:rsidRDefault="00BA06EA" w:rsidP="008E4823">
            <w:pPr>
              <w:pStyle w:val="CM1"/>
              <w:spacing w:before="200" w:after="200"/>
              <w:jc w:val="both"/>
              <w:rPr>
                <w:rFonts w:asciiTheme="minorHAnsi" w:hAnsiTheme="minorHAnsi" w:cs="EUAlbertina"/>
                <w:color w:val="000000"/>
                <w:sz w:val="22"/>
                <w:szCs w:val="22"/>
              </w:rPr>
            </w:pPr>
            <w:r w:rsidRPr="008E4823">
              <w:rPr>
                <w:rFonts w:asciiTheme="minorHAnsi" w:hAnsiTheme="minorHAnsi" w:cs="EUAlbertina"/>
                <w:color w:val="000000"/>
                <w:sz w:val="22"/>
                <w:szCs w:val="22"/>
              </w:rPr>
              <w:t>087</w:t>
            </w:r>
            <w:r w:rsidR="00D219AD" w:rsidRPr="008E4823">
              <w:rPr>
                <w:rFonts w:asciiTheme="minorHAnsi" w:hAnsiTheme="minorHAnsi" w:cs="EUAlbertina"/>
                <w:color w:val="000000"/>
                <w:sz w:val="22"/>
                <w:szCs w:val="22"/>
              </w:rPr>
              <w:t xml:space="preserve"> </w:t>
            </w:r>
            <w:r w:rsidR="009C1BC7" w:rsidRPr="008E4823">
              <w:rPr>
                <w:rFonts w:asciiTheme="minorHAnsi" w:hAnsiTheme="minorHAnsi" w:cs="EUAlbertina"/>
                <w:color w:val="000000"/>
                <w:sz w:val="22"/>
                <w:szCs w:val="22"/>
              </w:rPr>
              <w:t xml:space="preserve">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w:t>
            </w:r>
            <w:r w:rsidR="009C1BC7" w:rsidRPr="008E4823">
              <w:rPr>
                <w:rFonts w:asciiTheme="minorHAnsi" w:hAnsiTheme="minorHAnsi" w:cs="EUAlbertina"/>
                <w:color w:val="000000"/>
                <w:sz w:val="22"/>
                <w:szCs w:val="22"/>
              </w:rPr>
              <w:lastRenderedPageBreak/>
              <w:t>zarządzania klęskami i katastrofami</w:t>
            </w:r>
            <w:r w:rsidR="00724224" w:rsidRPr="008E4823">
              <w:rPr>
                <w:rFonts w:asciiTheme="minorHAnsi" w:hAnsiTheme="minorHAnsi" w:cs="EUAlbertina"/>
                <w:color w:val="000000"/>
                <w:sz w:val="22"/>
                <w:szCs w:val="22"/>
              </w:rPr>
              <w:t>.</w:t>
            </w:r>
          </w:p>
          <w:p w:rsidR="00724224" w:rsidRPr="008E4823" w:rsidRDefault="007028F2" w:rsidP="008E4823">
            <w:pPr>
              <w:pStyle w:val="CM3"/>
              <w:spacing w:before="60" w:after="60"/>
              <w:jc w:val="both"/>
              <w:rPr>
                <w:rFonts w:asciiTheme="minorHAnsi" w:hAnsiTheme="minorHAnsi"/>
                <w:sz w:val="22"/>
                <w:szCs w:val="22"/>
              </w:rPr>
            </w:pPr>
            <w:r w:rsidRPr="008E4823">
              <w:rPr>
                <w:rFonts w:asciiTheme="minorHAnsi" w:hAnsiTheme="minorHAnsi" w:cs="EUAlbertina"/>
                <w:color w:val="000000"/>
                <w:sz w:val="22"/>
                <w:szCs w:val="22"/>
              </w:rPr>
              <w:t>101 Finansowanie krzyżowe w ramach EFRR (wsparcie dla przedsięwzięć typowych dla EFS, koniecznych dla zadowalającego wdrożenia części przedsięwzięć związanej bezpośrednio z EFRR).</w:t>
            </w: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Pr="00151119"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BA06EA" w:rsidRPr="00C52BEB"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jednostki samorządu terytorialnego, ich związki i stowarzyszenia; </w:t>
            </w:r>
          </w:p>
          <w:p w:rsidR="00BA06EA" w:rsidRPr="00C52BEB"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jednostki podległe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 tym jednostki organizacyjne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t>
            </w:r>
          </w:p>
          <w:p w:rsidR="00C03EEC"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administracja rządowa; </w:t>
            </w:r>
          </w:p>
          <w:p w:rsidR="00D219AD" w:rsidRPr="00C03EEC" w:rsidRDefault="00BA06EA" w:rsidP="00C03EEC">
            <w:pPr>
              <w:numPr>
                <w:ilvl w:val="0"/>
                <w:numId w:val="17"/>
              </w:numPr>
              <w:autoSpaceDE w:val="0"/>
              <w:autoSpaceDN w:val="0"/>
              <w:adjustRightInd w:val="0"/>
              <w:spacing w:after="0"/>
              <w:ind w:left="395"/>
              <w:rPr>
                <w:rFonts w:ascii="Calibri" w:hAnsi="Calibri" w:cs="Calibri"/>
                <w:color w:val="000000"/>
              </w:rPr>
            </w:pPr>
            <w:r w:rsidRPr="00C03EEC">
              <w:rPr>
                <w:rFonts w:ascii="Calibri" w:hAnsi="Calibri" w:cs="Calibri"/>
                <w:color w:val="000000"/>
              </w:rPr>
              <w:t>organizacje pozarządowe.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 xml:space="preserve">w konkursie: </w:t>
            </w:r>
          </w:p>
          <w:p w:rsidR="00AA0A4C" w:rsidRPr="00B27059" w:rsidRDefault="00AA0A4C" w:rsidP="00480411">
            <w:pPr>
              <w:pStyle w:val="Default"/>
              <w:rPr>
                <w:rFonts w:asciiTheme="minorHAnsi" w:hAnsiTheme="minorHAnsi"/>
                <w:sz w:val="22"/>
                <w:szCs w:val="22"/>
              </w:rPr>
            </w:pPr>
          </w:p>
          <w:p w:rsidR="00984533" w:rsidRPr="00B27059" w:rsidRDefault="00984533" w:rsidP="00B64FEB">
            <w:pPr>
              <w:autoSpaceDE w:val="0"/>
              <w:autoSpaceDN w:val="0"/>
              <w:adjustRightInd w:val="0"/>
              <w:spacing w:after="0" w:line="240" w:lineRule="auto"/>
              <w:rPr>
                <w:rFonts w:cs="Calibri"/>
                <w:b/>
                <w:bCs/>
                <w:color w:val="000000"/>
              </w:rPr>
            </w:pPr>
          </w:p>
        </w:tc>
        <w:tc>
          <w:tcPr>
            <w:tcW w:w="7494" w:type="dxa"/>
          </w:tcPr>
          <w:p w:rsidR="00984533" w:rsidRPr="00C13975" w:rsidRDefault="00D125BA" w:rsidP="00CA6EA5">
            <w:pPr>
              <w:autoSpaceDE w:val="0"/>
              <w:autoSpaceDN w:val="0"/>
              <w:adjustRightInd w:val="0"/>
              <w:spacing w:after="0" w:line="240" w:lineRule="auto"/>
              <w:jc w:val="both"/>
              <w:rPr>
                <w:rFonts w:cs="Calibri"/>
                <w:color w:val="000000"/>
              </w:rPr>
            </w:pPr>
            <w:r w:rsidRPr="00B27059">
              <w:rPr>
                <w:rFonts w:ascii="Calibri" w:eastAsia="Droid Sans Fallback" w:hAnsi="Calibri" w:cs="Calibri"/>
                <w:color w:val="00000A"/>
              </w:rPr>
              <w:t>A</w:t>
            </w:r>
            <w:r w:rsidR="00CA6EA5" w:rsidRPr="00B27059">
              <w:rPr>
                <w:rFonts w:ascii="Calibri" w:eastAsia="Droid Sans Fallback" w:hAnsi="Calibri" w:cs="Calibri"/>
                <w:color w:val="00000A"/>
              </w:rPr>
              <w:t xml:space="preserve">lokacja przeznaczona na konkurs </w:t>
            </w:r>
            <w:r w:rsidR="00CA6EA5" w:rsidRPr="009C1BC7">
              <w:rPr>
                <w:rFonts w:ascii="Calibri" w:eastAsia="Droid Sans Fallback" w:hAnsi="Calibri" w:cs="Calibri"/>
                <w:color w:val="00000A"/>
              </w:rPr>
              <w:t xml:space="preserve">wynosi </w:t>
            </w:r>
            <w:r w:rsidR="00F07663" w:rsidRPr="00F07663">
              <w:rPr>
                <w:rFonts w:cs="Calibri"/>
                <w:b/>
                <w:color w:val="000000"/>
              </w:rPr>
              <w:t>13</w:t>
            </w:r>
            <w:r w:rsidR="00F07663">
              <w:rPr>
                <w:rFonts w:cs="Calibri"/>
                <w:b/>
                <w:color w:val="000000"/>
              </w:rPr>
              <w:t xml:space="preserve"> </w:t>
            </w:r>
            <w:r w:rsidR="00F07663" w:rsidRPr="00C13975">
              <w:rPr>
                <w:rFonts w:cs="Calibri"/>
                <w:b/>
                <w:color w:val="000000"/>
              </w:rPr>
              <w:t xml:space="preserve">489 000 </w:t>
            </w:r>
            <w:r w:rsidR="00D219AD" w:rsidRPr="00C13975">
              <w:rPr>
                <w:rFonts w:cs="Calibri"/>
                <w:b/>
                <w:color w:val="000000"/>
              </w:rPr>
              <w:t>Euro</w:t>
            </w:r>
            <w:r w:rsidR="00CA6EA5" w:rsidRPr="00C13975">
              <w:rPr>
                <w:rFonts w:ascii="Calibri" w:eastAsia="Droid Sans Fallback" w:hAnsi="Calibri" w:cs="Calibri"/>
                <w:b/>
                <w:color w:val="00000A"/>
              </w:rPr>
              <w:t>, tj.</w:t>
            </w:r>
            <w:r w:rsidR="00AE7177" w:rsidRPr="00C13975">
              <w:rPr>
                <w:rFonts w:ascii="Calibri" w:eastAsia="Droid Sans Fallback" w:hAnsi="Calibri" w:cs="Calibri"/>
                <w:b/>
                <w:color w:val="00000A"/>
              </w:rPr>
              <w:t xml:space="preserve"> </w:t>
            </w:r>
            <w:r w:rsidR="00C13975" w:rsidRPr="00C13975">
              <w:rPr>
                <w:rFonts w:ascii="Calibri" w:eastAsia="Droid Sans Fallback" w:hAnsi="Calibri" w:cs="Calibri"/>
                <w:b/>
                <w:color w:val="00000A"/>
              </w:rPr>
              <w:t>58 860 600</w:t>
            </w:r>
            <w:r w:rsidR="009C1BC7" w:rsidRPr="00C13975">
              <w:rPr>
                <w:rFonts w:ascii="Calibri" w:eastAsia="Droid Sans Fallback" w:hAnsi="Calibri" w:cs="Calibri"/>
                <w:b/>
                <w:color w:val="00000A"/>
              </w:rPr>
              <w:t xml:space="preserve"> PLN.</w:t>
            </w:r>
            <w:r w:rsidR="00CA6EA5" w:rsidRPr="00C13975">
              <w:rPr>
                <w:rFonts w:ascii="Calibri" w:eastAsia="Droid Sans Fallback" w:hAnsi="Calibri" w:cs="Calibri"/>
                <w:b/>
                <w:color w:val="00000A"/>
              </w:rPr>
              <w:t xml:space="preserve"> </w:t>
            </w:r>
          </w:p>
          <w:p w:rsidR="00CA6EA5" w:rsidRPr="00C13975" w:rsidRDefault="00CA6EA5" w:rsidP="00480411">
            <w:pPr>
              <w:autoSpaceDE w:val="0"/>
              <w:autoSpaceDN w:val="0"/>
              <w:adjustRightInd w:val="0"/>
              <w:spacing w:after="0" w:line="240" w:lineRule="auto"/>
              <w:jc w:val="both"/>
              <w:rPr>
                <w:rFonts w:cs="Calibri"/>
                <w:color w:val="000000"/>
              </w:rPr>
            </w:pPr>
          </w:p>
          <w:p w:rsidR="00984533" w:rsidRPr="00C13975" w:rsidRDefault="00984533" w:rsidP="00480411">
            <w:pPr>
              <w:autoSpaceDE w:val="0"/>
              <w:autoSpaceDN w:val="0"/>
              <w:adjustRightInd w:val="0"/>
              <w:spacing w:after="0" w:line="240" w:lineRule="auto"/>
              <w:jc w:val="both"/>
              <w:rPr>
                <w:rFonts w:cs="MS Sans Serif"/>
              </w:rPr>
            </w:pPr>
            <w:r w:rsidRPr="00C13975">
              <w:rPr>
                <w:rFonts w:cs="MS Sans Serif"/>
              </w:rPr>
              <w:t xml:space="preserve">Alokacja przeliczona po kursie Europejskiego Banku Centralnego (EBC) obowiązującym w </w:t>
            </w:r>
            <w:r w:rsidR="00F07663" w:rsidRPr="00C13975">
              <w:rPr>
                <w:rFonts w:cs="MS Sans Serif"/>
              </w:rPr>
              <w:t>sierpniu</w:t>
            </w:r>
            <w:r w:rsidR="00BA06EA" w:rsidRPr="00C13975">
              <w:rPr>
                <w:rFonts w:cs="MS Sans Serif"/>
              </w:rPr>
              <w:t xml:space="preserve"> </w:t>
            </w:r>
            <w:r w:rsidR="007A3277" w:rsidRPr="00C13975">
              <w:rPr>
                <w:rFonts w:cs="MS Sans Serif"/>
              </w:rPr>
              <w:t xml:space="preserve">2016 </w:t>
            </w:r>
            <w:r w:rsidRPr="00C13975">
              <w:rPr>
                <w:rFonts w:cs="MS Sans Serif"/>
              </w:rPr>
              <w:t xml:space="preserve"> r., 1 euro = </w:t>
            </w:r>
            <w:r w:rsidR="00643AB6" w:rsidRPr="00C13975">
              <w:rPr>
                <w:rFonts w:cs="MS Sans Serif"/>
              </w:rPr>
              <w:t>4,3</w:t>
            </w:r>
            <w:r w:rsidR="00C13975" w:rsidRPr="00C13975">
              <w:rPr>
                <w:rFonts w:cs="MS Sans Serif"/>
              </w:rPr>
              <w:t>636</w:t>
            </w:r>
            <w:r w:rsidR="00CA6245" w:rsidRPr="00C13975">
              <w:rPr>
                <w:rFonts w:cs="MS Sans Serif"/>
              </w:rPr>
              <w:t xml:space="preserve"> </w:t>
            </w:r>
            <w:r w:rsidR="00643AB6" w:rsidRPr="00C13975">
              <w:rPr>
                <w:rFonts w:cs="MS Sans Serif"/>
              </w:rPr>
              <w:t>PLN</w:t>
            </w:r>
            <w:r w:rsidRPr="00C13975">
              <w:rPr>
                <w:rFonts w:cs="MS Sans Serif"/>
              </w:rPr>
              <w:t xml:space="preserve">. </w:t>
            </w:r>
          </w:p>
          <w:p w:rsidR="00984533" w:rsidRPr="00C13975" w:rsidRDefault="00984533" w:rsidP="00480411">
            <w:pPr>
              <w:autoSpaceDE w:val="0"/>
              <w:autoSpaceDN w:val="0"/>
              <w:adjustRightInd w:val="0"/>
              <w:spacing w:after="0" w:line="240" w:lineRule="auto"/>
              <w:jc w:val="both"/>
              <w:rPr>
                <w:rFonts w:cs="MS Sans Serif"/>
              </w:rPr>
            </w:pPr>
          </w:p>
          <w:p w:rsidR="00984533" w:rsidRPr="00B27059" w:rsidRDefault="00984533" w:rsidP="00480411">
            <w:pPr>
              <w:spacing w:after="0" w:line="240" w:lineRule="auto"/>
              <w:jc w:val="both"/>
            </w:pPr>
            <w:r w:rsidRPr="00C13975">
              <w:t>Ze względu na kurs euro limit dostępnych środków może ulec zmianie. Z tego powodu dokładna kwota dofinansowania zostanie określona na etapie</w:t>
            </w:r>
            <w:r w:rsidRPr="00B27059">
              <w:t xml:space="preserve"> </w:t>
            </w:r>
            <w:r w:rsidR="005E776A" w:rsidRPr="00B27059">
              <w:t>zatwierdz</w:t>
            </w:r>
            <w:r w:rsidR="004D105B">
              <w:t>ania Listy ocenionych projektów</w:t>
            </w:r>
            <w:r w:rsidR="00CB5165" w:rsidRPr="00B27059">
              <w:t>.</w:t>
            </w:r>
          </w:p>
          <w:p w:rsidR="00984533" w:rsidRPr="00B27059" w:rsidRDefault="00984533" w:rsidP="00480411">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b/>
                <w:bCs/>
                <w:color w:val="000000"/>
              </w:rPr>
            </w:pPr>
            <w:r w:rsidRPr="00B27059">
              <w:rPr>
                <w:rFonts w:cs="Calibri"/>
                <w:b/>
                <w:bCs/>
                <w:color w:val="000000"/>
              </w:rPr>
              <w:t>8.</w:t>
            </w:r>
          </w:p>
        </w:tc>
        <w:tc>
          <w:tcPr>
            <w:tcW w:w="2268" w:type="dxa"/>
          </w:tcPr>
          <w:p w:rsidR="00D219AD" w:rsidRPr="00B27059" w:rsidRDefault="00D219AD" w:rsidP="00480411">
            <w:pPr>
              <w:pStyle w:val="Default"/>
              <w:rPr>
                <w:rFonts w:asciiTheme="minorHAnsi" w:hAnsiTheme="minorHAnsi"/>
                <w:b/>
                <w:bCs/>
                <w:sz w:val="22"/>
                <w:szCs w:val="22"/>
              </w:rPr>
            </w:pPr>
            <w:r w:rsidRPr="00B27059">
              <w:rPr>
                <w:rFonts w:asciiTheme="minorHAnsi" w:hAnsiTheme="minorHAnsi"/>
                <w:b/>
                <w:bCs/>
                <w:sz w:val="22"/>
                <w:szCs w:val="22"/>
              </w:rPr>
              <w:t>Maksymalna wartość projektu:</w:t>
            </w:r>
          </w:p>
        </w:tc>
        <w:tc>
          <w:tcPr>
            <w:tcW w:w="7494" w:type="dxa"/>
          </w:tcPr>
          <w:p w:rsidR="00D219AD" w:rsidRPr="00AB5956" w:rsidRDefault="00136C31" w:rsidP="00D219AD">
            <w:pPr>
              <w:autoSpaceDE w:val="0"/>
              <w:autoSpaceDN w:val="0"/>
              <w:adjustRightInd w:val="0"/>
              <w:spacing w:after="0" w:line="240" w:lineRule="auto"/>
              <w:jc w:val="both"/>
              <w:rPr>
                <w:rFonts w:cs="Arial"/>
              </w:rPr>
            </w:pPr>
            <w:r>
              <w:rPr>
                <w:bCs/>
              </w:rPr>
              <w:t>Nie dotyczy.</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B27059">
              <w:rPr>
                <w:rFonts w:asciiTheme="minorHAnsi" w:hAnsiTheme="minorHAnsi"/>
                <w:b/>
                <w:bCs/>
                <w:color w:val="auto"/>
                <w:sz w:val="22"/>
                <w:szCs w:val="22"/>
              </w:rPr>
              <w:t xml:space="preserve">Pomoc publiczna </w:t>
            </w:r>
            <w:r w:rsidRPr="00B27059">
              <w:rPr>
                <w:rFonts w:asciiTheme="minorHAnsi" w:hAnsiTheme="minorHAnsi"/>
                <w:b/>
                <w:bCs/>
                <w:color w:val="auto"/>
                <w:sz w:val="22"/>
                <w:szCs w:val="22"/>
              </w:rPr>
              <w:br/>
              <w:t xml:space="preserve">i pomoc de </w:t>
            </w:r>
            <w:proofErr w:type="spellStart"/>
            <w:r w:rsidRPr="00B27059">
              <w:rPr>
                <w:rFonts w:asciiTheme="minorHAnsi" w:hAnsiTheme="minorHAnsi"/>
                <w:b/>
                <w:bCs/>
                <w:color w:val="auto"/>
                <w:sz w:val="22"/>
                <w:szCs w:val="22"/>
              </w:rPr>
              <w:t>minimis</w:t>
            </w:r>
            <w:proofErr w:type="spellEnd"/>
            <w:r w:rsidRPr="00B27059">
              <w:rPr>
                <w:rFonts w:asciiTheme="minorHAnsi" w:hAnsiTheme="minorHAnsi"/>
                <w:b/>
                <w:bCs/>
                <w:color w:val="auto"/>
                <w:sz w:val="22"/>
                <w:szCs w:val="22"/>
              </w:rPr>
              <w:t xml:space="preserve"> (rodzaj i przeznaczenie pomocy, unijna lub krajowa podstawa prawna):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692598" w:rsidRPr="00692598" w:rsidRDefault="00692598" w:rsidP="00692598">
            <w:pPr>
              <w:tabs>
                <w:tab w:val="left" w:pos="459"/>
              </w:tabs>
              <w:spacing w:before="40" w:after="40" w:line="240" w:lineRule="auto"/>
              <w:jc w:val="both"/>
              <w:rPr>
                <w:rFonts w:cs="Arial"/>
              </w:rPr>
            </w:pPr>
            <w:r w:rsidRPr="00692598">
              <w:rPr>
                <w:rFonts w:cs="Arial"/>
              </w:rPr>
              <w:t xml:space="preserve">Co do zasady w przypadku działania 4.5 (typ A i B) nie ma przesłanek do wystąpienia pomocy publicznej. </w:t>
            </w:r>
          </w:p>
          <w:p w:rsidR="00692598" w:rsidRPr="00692598" w:rsidRDefault="00692598" w:rsidP="00692598">
            <w:pPr>
              <w:tabs>
                <w:tab w:val="left" w:pos="459"/>
              </w:tabs>
              <w:spacing w:before="40" w:after="40" w:line="240" w:lineRule="auto"/>
              <w:jc w:val="both"/>
              <w:rPr>
                <w:rFonts w:cs="Arial"/>
              </w:rPr>
            </w:pPr>
            <w:r w:rsidRPr="00692598">
              <w:rPr>
                <w:rFonts w:cs="Arial"/>
              </w:rPr>
              <w:t>Do działalności w zakresie bezpieczeństwa (w tym przeciwpowodziowego) nie mają zastosowania przepisy dotyczące pomocy publicznej (działalność ta co do zasady nie stanowi działalności gospodarczej w rozumieniu przepisów wspólnotowych).</w:t>
            </w:r>
          </w:p>
          <w:p w:rsidR="00692598" w:rsidRPr="00692598" w:rsidRDefault="00692598" w:rsidP="00692598">
            <w:pPr>
              <w:tabs>
                <w:tab w:val="left" w:pos="459"/>
              </w:tabs>
              <w:spacing w:before="40" w:after="40" w:line="240" w:lineRule="auto"/>
              <w:jc w:val="both"/>
              <w:rPr>
                <w:rFonts w:cs="Arial"/>
              </w:rPr>
            </w:pPr>
            <w:r w:rsidRPr="00692598">
              <w:rPr>
                <w:rFonts w:cs="Arial"/>
              </w:rPr>
              <w:t xml:space="preserve"> </w:t>
            </w:r>
          </w:p>
          <w:p w:rsidR="00263BF7" w:rsidRPr="00692598" w:rsidRDefault="00692598" w:rsidP="008646BF">
            <w:pPr>
              <w:tabs>
                <w:tab w:val="left" w:pos="459"/>
              </w:tabs>
              <w:spacing w:before="40" w:after="40" w:line="240" w:lineRule="auto"/>
              <w:jc w:val="both"/>
              <w:rPr>
                <w:rFonts w:cs="Arial"/>
              </w:rPr>
            </w:pPr>
            <w:r w:rsidRPr="00692598">
              <w:rPr>
                <w:rFonts w:cs="Arial"/>
              </w:rPr>
              <w:t xml:space="preserve">Biorąc pod uwagę typy beneficjentów, które mogą otrzymać dofinansowanie oraz typy projektów, mamy do czynienia z podmiotami, których działalność jest </w:t>
            </w:r>
            <w:r w:rsidR="008646BF">
              <w:rPr>
                <w:rFonts w:cs="Arial"/>
              </w:rPr>
              <w:br/>
            </w:r>
            <w:r w:rsidRPr="00692598">
              <w:rPr>
                <w:rFonts w:cs="Arial"/>
              </w:rPr>
              <w:t>w głównej mierze finansowana ze środków publicznych i służy wykonywaniu zadań przypisywanych państwu, i jako takie będą</w:t>
            </w:r>
            <w:r w:rsidR="008646BF">
              <w:rPr>
                <w:rFonts w:cs="Arial"/>
              </w:rPr>
              <w:t xml:space="preserve"> się</w:t>
            </w:r>
            <w:r w:rsidRPr="00692598">
              <w:rPr>
                <w:rFonts w:cs="Arial"/>
              </w:rPr>
              <w:t xml:space="preserve"> mieścić w zakresie nie skutkującym wystąpieni</w:t>
            </w:r>
            <w:r w:rsidR="008646BF">
              <w:rPr>
                <w:rFonts w:cs="Arial"/>
              </w:rPr>
              <w:t>a</w:t>
            </w:r>
            <w:r w:rsidRPr="00692598">
              <w:rPr>
                <w:rFonts w:cs="Arial"/>
              </w:rPr>
              <w:t xml:space="preserve"> pomocy publicznej.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984533" w:rsidRPr="00B27059" w:rsidRDefault="00984533" w:rsidP="00480411">
            <w:pPr>
              <w:spacing w:before="40" w:after="40" w:line="240" w:lineRule="auto"/>
              <w:jc w:val="both"/>
              <w:rPr>
                <w:rFonts w:cs="Arial"/>
              </w:rPr>
            </w:pPr>
            <w:r w:rsidRPr="00B27059">
              <w:rPr>
                <w:rFonts w:cs="Arial"/>
              </w:rPr>
              <w:t xml:space="preserve">Nie ma możliwości stosowania uproszczonych form rozliczania wydatków. </w:t>
            </w:r>
          </w:p>
          <w:p w:rsidR="00984533" w:rsidRPr="00B27059" w:rsidRDefault="00984533" w:rsidP="00480411">
            <w:pPr>
              <w:spacing w:before="40" w:after="40" w:line="240" w:lineRule="auto"/>
              <w:jc w:val="both"/>
              <w:rPr>
                <w:rFonts w:cs="Arial"/>
              </w:rPr>
            </w:pPr>
            <w:r w:rsidRPr="00B27059">
              <w:rPr>
                <w:rFonts w:cs="Arial"/>
              </w:rPr>
              <w:t>Wysokość zaliczek:</w:t>
            </w:r>
          </w:p>
          <w:p w:rsidR="00984533" w:rsidRPr="00B27059" w:rsidRDefault="00984533" w:rsidP="00480411">
            <w:pPr>
              <w:tabs>
                <w:tab w:val="left" w:pos="459"/>
              </w:tabs>
              <w:spacing w:before="40" w:after="40" w:line="240" w:lineRule="auto"/>
              <w:jc w:val="both"/>
              <w:rPr>
                <w:rFonts w:cs="Arial"/>
              </w:rPr>
            </w:pPr>
            <w:r w:rsidRPr="00B27059">
              <w:rPr>
                <w:rFonts w:cs="Arial"/>
              </w:rPr>
              <w:t>1)</w:t>
            </w:r>
            <w:r w:rsidRPr="00B27059">
              <w:rPr>
                <w:rFonts w:cs="Arial"/>
              </w:rPr>
              <w:tab/>
              <w:t>do 40% przyznanej kwoty dofinansowania, wszyscy beneficjenci RPO WD otrzymujący dofinansowanie z EFRR, z zastrzeżeniem pkt. 2);</w:t>
            </w:r>
          </w:p>
          <w:p w:rsidR="00984533" w:rsidRPr="00B27059" w:rsidRDefault="00984533" w:rsidP="00480411">
            <w:pPr>
              <w:tabs>
                <w:tab w:val="left" w:pos="459"/>
              </w:tabs>
              <w:spacing w:before="40" w:after="40" w:line="240" w:lineRule="auto"/>
              <w:jc w:val="both"/>
              <w:rPr>
                <w:rFonts w:cs="Arial"/>
              </w:rPr>
            </w:pPr>
            <w:r w:rsidRPr="00B27059">
              <w:rPr>
                <w:rFonts w:cs="Arial"/>
              </w:rPr>
              <w:t>2)</w:t>
            </w:r>
            <w:r w:rsidRPr="00B27059">
              <w:rPr>
                <w:rFonts w:cs="Arial"/>
              </w:rPr>
              <w:tab/>
              <w:t xml:space="preserve">do 100% przyznanej kwoty dofinansowania w przypadku realizacji projektu przez: </w:t>
            </w:r>
          </w:p>
          <w:p w:rsidR="00984533" w:rsidRPr="00B27059" w:rsidRDefault="00984533" w:rsidP="00C03EEC">
            <w:pPr>
              <w:pStyle w:val="Akapitzlist"/>
              <w:numPr>
                <w:ilvl w:val="0"/>
                <w:numId w:val="3"/>
              </w:numPr>
              <w:tabs>
                <w:tab w:val="left" w:pos="459"/>
              </w:tabs>
              <w:spacing w:before="40" w:after="40" w:line="240" w:lineRule="auto"/>
              <w:jc w:val="both"/>
              <w:rPr>
                <w:rFonts w:asciiTheme="minorHAnsi" w:hAnsiTheme="minorHAnsi" w:cs="Arial"/>
              </w:rPr>
            </w:pPr>
            <w:r w:rsidRPr="00B27059">
              <w:rPr>
                <w:rFonts w:asciiTheme="minorHAnsi" w:hAnsiTheme="minorHAnsi" w:cs="Arial"/>
              </w:rPr>
              <w:t>Województwo Dolnośląskie (dotyczy projektu własnego i realizacji zadania z zakresu administracji rządowej, określonego przepisami prawa),</w:t>
            </w:r>
          </w:p>
          <w:p w:rsidR="00984533" w:rsidRPr="00B27059" w:rsidRDefault="00984533" w:rsidP="00C03EEC">
            <w:pPr>
              <w:pStyle w:val="Akapitzlist"/>
              <w:numPr>
                <w:ilvl w:val="0"/>
                <w:numId w:val="3"/>
              </w:numPr>
              <w:tabs>
                <w:tab w:val="left" w:pos="459"/>
              </w:tabs>
              <w:spacing w:before="40" w:after="40" w:line="240" w:lineRule="auto"/>
              <w:jc w:val="both"/>
              <w:rPr>
                <w:rFonts w:cs="Arial"/>
              </w:rPr>
            </w:pPr>
            <w:r w:rsidRPr="00B27059">
              <w:rPr>
                <w:rFonts w:asciiTheme="minorHAnsi" w:hAnsiTheme="minorHAnsi" w:cs="Arial"/>
              </w:rPr>
              <w:t xml:space="preserve">podmiot, dla którego Województwo Dolnośląskie jest organem </w:t>
            </w:r>
            <w:r w:rsidRPr="00B27059">
              <w:rPr>
                <w:rFonts w:asciiTheme="minorHAnsi" w:hAnsiTheme="minorHAnsi" w:cs="Arial"/>
              </w:rPr>
              <w:lastRenderedPageBreak/>
              <w:t>założycielskim, organizatorem lub współorganizatorem, lub w którym posiada udziały bądź akcje, pod warunkiem, że projekt nie jest objęty pomocą publiczną.</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Pr="00B27059" w:rsidRDefault="00EF3AAC" w:rsidP="00782061">
            <w:pPr>
              <w:autoSpaceDE w:val="0"/>
              <w:autoSpaceDN w:val="0"/>
              <w:adjustRightInd w:val="0"/>
              <w:spacing w:after="0" w:line="240" w:lineRule="auto"/>
              <w:jc w:val="both"/>
              <w:rPr>
                <w:rFonts w:cs="Calibri"/>
                <w:color w:val="000000"/>
              </w:rPr>
            </w:pPr>
            <w:r w:rsidRPr="00B27059">
              <w:t xml:space="preserve">Zgodnie z Wytycznymi w zakresie zagadnień związanych z przygotowaniem projektów inwestycyjnych, w tym projektów generujących dochód i projektów hybrydowych na lata 2014-2020 – </w:t>
            </w:r>
            <w:r w:rsidR="00263BF7" w:rsidRPr="00151119">
              <w:t xml:space="preserve">Luka finansowa </w:t>
            </w: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263BF7" w:rsidRPr="00B27059" w:rsidRDefault="00263BF7" w:rsidP="0047715D">
            <w:pPr>
              <w:pStyle w:val="Default"/>
              <w:rPr>
                <w:rFonts w:asciiTheme="minorHAnsi" w:hAnsiTheme="minorHAnsi"/>
                <w:b/>
                <w:bCs/>
                <w:sz w:val="22"/>
                <w:szCs w:val="22"/>
              </w:rPr>
            </w:pPr>
            <w:r w:rsidRPr="00B27059">
              <w:rPr>
                <w:rFonts w:asciiTheme="minorHAnsi" w:hAnsiTheme="minorHAnsi"/>
                <w:b/>
                <w:bCs/>
                <w:sz w:val="22"/>
                <w:szCs w:val="22"/>
              </w:rPr>
              <w:t xml:space="preserve">Maksymalny dopuszczalny poziom dofinansowania projektu lub maksymalna dopuszczalna kwota do dofinansowania projektu: </w:t>
            </w:r>
          </w:p>
          <w:p w:rsidR="00263BF7" w:rsidRPr="00B27059" w:rsidRDefault="00263BF7" w:rsidP="0047715D">
            <w:pPr>
              <w:pStyle w:val="Default"/>
              <w:rPr>
                <w:rFonts w:asciiTheme="minorHAnsi" w:hAnsiTheme="minorHAnsi"/>
                <w:sz w:val="22"/>
                <w:szCs w:val="22"/>
              </w:rPr>
            </w:pPr>
          </w:p>
        </w:tc>
        <w:tc>
          <w:tcPr>
            <w:tcW w:w="7494" w:type="dxa"/>
          </w:tcPr>
          <w:p w:rsidR="00263BF7" w:rsidRPr="00263BF7" w:rsidRDefault="00263BF7" w:rsidP="000061D5">
            <w:pPr>
              <w:pStyle w:val="Default"/>
              <w:jc w:val="both"/>
              <w:rPr>
                <w:color w:val="auto"/>
                <w:sz w:val="22"/>
                <w:szCs w:val="22"/>
              </w:rPr>
            </w:pPr>
            <w:r w:rsidRPr="00263BF7">
              <w:rPr>
                <w:color w:val="auto"/>
                <w:sz w:val="22"/>
                <w:szCs w:val="22"/>
              </w:rPr>
              <w:t xml:space="preserve">Dofinansowanie UE na poziomie projektu: maksymalnie 85% kosztów kwalifikowalnych; </w:t>
            </w:r>
          </w:p>
          <w:p w:rsidR="00263BF7" w:rsidRPr="00263BF7" w:rsidRDefault="00263BF7" w:rsidP="00B54C70">
            <w:pPr>
              <w:pStyle w:val="Default"/>
              <w:ind w:left="317" w:hanging="284"/>
              <w:rPr>
                <w:color w:val="auto"/>
                <w:sz w:val="22"/>
                <w:szCs w:val="22"/>
              </w:rPr>
            </w:pPr>
          </w:p>
          <w:p w:rsidR="00263BF7" w:rsidRPr="00263BF7" w:rsidRDefault="00263BF7" w:rsidP="00B54C70">
            <w:pPr>
              <w:contextualSpacing/>
              <w:jc w:val="both"/>
              <w:rPr>
                <w:rFonts w:cs="Calibri"/>
              </w:rPr>
            </w:pP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263BF7" w:rsidRPr="00B27059" w:rsidRDefault="00263BF7"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263BF7" w:rsidRPr="00B27059" w:rsidRDefault="00263BF7" w:rsidP="00480411">
            <w:pPr>
              <w:pStyle w:val="Default"/>
              <w:rPr>
                <w:rFonts w:asciiTheme="minorHAnsi" w:hAnsiTheme="minorHAnsi"/>
                <w:b/>
                <w:bCs/>
                <w:sz w:val="22"/>
                <w:szCs w:val="22"/>
              </w:rPr>
            </w:pPr>
          </w:p>
        </w:tc>
        <w:tc>
          <w:tcPr>
            <w:tcW w:w="7494" w:type="dxa"/>
          </w:tcPr>
          <w:p w:rsidR="00263BF7" w:rsidRPr="00263BF7" w:rsidRDefault="00263BF7" w:rsidP="000061D5">
            <w:pPr>
              <w:pStyle w:val="Default"/>
              <w:jc w:val="both"/>
              <w:rPr>
                <w:color w:val="auto"/>
                <w:sz w:val="22"/>
                <w:szCs w:val="22"/>
              </w:rPr>
            </w:pPr>
            <w:r w:rsidRPr="00263BF7">
              <w:rPr>
                <w:color w:val="auto"/>
                <w:sz w:val="22"/>
                <w:szCs w:val="22"/>
              </w:rPr>
              <w:t xml:space="preserve">Wkład własny beneficjenta na poziomie projektu: co najmniej 15%; </w:t>
            </w:r>
          </w:p>
          <w:p w:rsidR="00263BF7" w:rsidRPr="00263BF7" w:rsidRDefault="00263BF7" w:rsidP="00B54C70">
            <w:pPr>
              <w:autoSpaceDE w:val="0"/>
              <w:autoSpaceDN w:val="0"/>
              <w:adjustRightInd w:val="0"/>
              <w:spacing w:line="240" w:lineRule="auto"/>
              <w:jc w:val="both"/>
              <w:rPr>
                <w:rFonts w:cs="Calibri"/>
              </w:rPr>
            </w:pPr>
          </w:p>
        </w:tc>
      </w:tr>
      <w:tr w:rsidR="00C13975" w:rsidRPr="00B27059" w:rsidTr="006D7C1A">
        <w:tc>
          <w:tcPr>
            <w:tcW w:w="534" w:type="dxa"/>
          </w:tcPr>
          <w:p w:rsidR="00C13975" w:rsidRPr="00B27059" w:rsidRDefault="00C13975" w:rsidP="00480411">
            <w:pPr>
              <w:autoSpaceDE w:val="0"/>
              <w:autoSpaceDN w:val="0"/>
              <w:adjustRightInd w:val="0"/>
              <w:spacing w:after="0" w:line="240" w:lineRule="auto"/>
              <w:rPr>
                <w:rFonts w:cs="Calibri"/>
                <w:b/>
                <w:bCs/>
                <w:color w:val="000000"/>
              </w:rPr>
            </w:pPr>
            <w:r w:rsidRPr="00B27059">
              <w:rPr>
                <w:rFonts w:cs="Calibri"/>
                <w:b/>
                <w:bCs/>
                <w:color w:val="000000"/>
              </w:rPr>
              <w:t>14.</w:t>
            </w:r>
          </w:p>
        </w:tc>
        <w:tc>
          <w:tcPr>
            <w:tcW w:w="2268" w:type="dxa"/>
          </w:tcPr>
          <w:p w:rsidR="00C13975" w:rsidRPr="00B27059" w:rsidRDefault="00C13975" w:rsidP="00480411">
            <w:pPr>
              <w:pStyle w:val="Default"/>
              <w:rPr>
                <w:rFonts w:asciiTheme="minorHAnsi" w:hAnsiTheme="minorHAnsi"/>
                <w:sz w:val="22"/>
                <w:szCs w:val="22"/>
              </w:rPr>
            </w:pPr>
            <w:r w:rsidRPr="00B27059">
              <w:rPr>
                <w:rFonts w:asciiTheme="minorHAnsi" w:hAnsiTheme="minorHAnsi"/>
                <w:b/>
                <w:bCs/>
                <w:sz w:val="22"/>
                <w:szCs w:val="22"/>
              </w:rPr>
              <w:t xml:space="preserve">Forma konkursu (informacja na jakie etapy został podzielony konkurs): </w:t>
            </w:r>
          </w:p>
          <w:p w:rsidR="00C13975" w:rsidRPr="00B27059" w:rsidRDefault="00C13975" w:rsidP="00480411">
            <w:pPr>
              <w:pStyle w:val="Default"/>
              <w:rPr>
                <w:rFonts w:asciiTheme="minorHAnsi" w:hAnsiTheme="minorHAnsi"/>
                <w:b/>
                <w:bCs/>
                <w:sz w:val="22"/>
                <w:szCs w:val="22"/>
              </w:rPr>
            </w:pPr>
          </w:p>
        </w:tc>
        <w:tc>
          <w:tcPr>
            <w:tcW w:w="7494" w:type="dxa"/>
          </w:tcPr>
          <w:p w:rsidR="00C13975" w:rsidRPr="003332E6" w:rsidRDefault="00C13975" w:rsidP="00C13975">
            <w:pPr>
              <w:autoSpaceDE w:val="0"/>
              <w:autoSpaceDN w:val="0"/>
              <w:adjustRightInd w:val="0"/>
              <w:spacing w:after="0"/>
              <w:jc w:val="both"/>
              <w:rPr>
                <w:rFonts w:cs="Calibri"/>
              </w:rPr>
            </w:pPr>
            <w:r w:rsidRPr="003332E6">
              <w:rPr>
                <w:rFonts w:cs="Calibri"/>
              </w:rPr>
              <w:t>Konkurs jest postępowaniem służącym wybraniu projektów do dofinansowania, zgodnie z art. 39 ust. 2 ustawy wdrożeniowej, tj. które spełniły kryteria wyboru projektów albo spełniły kryteria wyboru projektów i:</w:t>
            </w:r>
          </w:p>
          <w:p w:rsidR="00C13975" w:rsidRPr="003332E6" w:rsidRDefault="00C13975" w:rsidP="00C13975">
            <w:pPr>
              <w:autoSpaceDE w:val="0"/>
              <w:autoSpaceDN w:val="0"/>
              <w:adjustRightInd w:val="0"/>
              <w:spacing w:after="0"/>
              <w:ind w:left="317" w:hanging="317"/>
              <w:jc w:val="both"/>
              <w:rPr>
                <w:rFonts w:cs="Calibri"/>
              </w:rPr>
            </w:pPr>
            <w:r w:rsidRPr="003332E6">
              <w:rPr>
                <w:rFonts w:cs="Calibri"/>
              </w:rPr>
              <w:t>1) uzyskały wymaganą liczbę punktów albo</w:t>
            </w:r>
          </w:p>
          <w:p w:rsidR="00C13975" w:rsidRPr="003332E6" w:rsidRDefault="00C13975" w:rsidP="00C13975">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C13975" w:rsidRPr="003332E6" w:rsidRDefault="00C13975" w:rsidP="00C13975">
            <w:pPr>
              <w:autoSpaceDE w:val="0"/>
              <w:autoSpaceDN w:val="0"/>
              <w:adjustRightInd w:val="0"/>
              <w:spacing w:after="0"/>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 xml:space="preserve">konkurs składa się </w:t>
            </w:r>
            <w:r>
              <w:rPr>
                <w:rFonts w:cs="Calibri"/>
                <w:u w:val="single"/>
              </w:rPr>
              <w:br/>
            </w:r>
            <w:r w:rsidRPr="003332E6">
              <w:rPr>
                <w:rFonts w:cs="Calibri"/>
                <w:u w:val="single"/>
              </w:rPr>
              <w:t>z następujących etapów</w:t>
            </w:r>
            <w:r w:rsidRPr="003332E6">
              <w:rPr>
                <w:rFonts w:cs="Calibri"/>
              </w:rPr>
              <w:t>:</w:t>
            </w:r>
          </w:p>
          <w:p w:rsidR="00C13975" w:rsidRPr="003332E6" w:rsidRDefault="00C13975" w:rsidP="00C13975">
            <w:pPr>
              <w:autoSpaceDE w:val="0"/>
              <w:autoSpaceDN w:val="0"/>
              <w:adjustRightInd w:val="0"/>
              <w:spacing w:after="0"/>
              <w:jc w:val="both"/>
              <w:rPr>
                <w:rFonts w:cs="Calibri"/>
              </w:rPr>
            </w:pPr>
          </w:p>
          <w:p w:rsidR="00C13975" w:rsidRPr="003332E6" w:rsidRDefault="00C13975" w:rsidP="00C13975">
            <w:pPr>
              <w:numPr>
                <w:ilvl w:val="0"/>
                <w:numId w:val="22"/>
              </w:numPr>
              <w:tabs>
                <w:tab w:val="left" w:pos="317"/>
              </w:tabs>
              <w:autoSpaceDE w:val="0"/>
              <w:autoSpaceDN w:val="0"/>
              <w:adjustRightInd w:val="0"/>
              <w:spacing w:after="60"/>
              <w:ind w:left="318" w:hanging="284"/>
              <w:jc w:val="both"/>
              <w:rPr>
                <w:rFonts w:cs="Calibri"/>
              </w:rPr>
            </w:pPr>
            <w:r w:rsidRPr="003332E6">
              <w:rPr>
                <w:rFonts w:cs="Calibri"/>
              </w:rPr>
              <w:t xml:space="preserve">Nabór wniosków o dofinansowanie projektu, czyli składanie wniosków o dofinasowanie projektu w wyznaczonym przez IOK terminie. </w:t>
            </w:r>
          </w:p>
          <w:p w:rsidR="00C13975" w:rsidRPr="003332E6" w:rsidRDefault="00C13975" w:rsidP="00C13975">
            <w:pPr>
              <w:tabs>
                <w:tab w:val="left" w:pos="317"/>
              </w:tabs>
              <w:autoSpaceDE w:val="0"/>
              <w:autoSpaceDN w:val="0"/>
              <w:adjustRightInd w:val="0"/>
              <w:spacing w:after="0"/>
              <w:ind w:left="317"/>
              <w:jc w:val="both"/>
              <w:rPr>
                <w:rFonts w:cs="Calibri"/>
              </w:rPr>
            </w:pPr>
            <w:r w:rsidRPr="003332E6">
              <w:rPr>
                <w:rFonts w:cs="Calibri"/>
              </w:rPr>
              <w:t>Termin składania wniosków o dofinansowanie projektu nie może być krótszy niż 7 dni, licząc od dnia rozpoczęcia naboru wniosków o dofinansowanie projektów.</w:t>
            </w:r>
          </w:p>
          <w:p w:rsidR="00C13975" w:rsidRPr="003332E6" w:rsidRDefault="00C13975" w:rsidP="00C13975">
            <w:pPr>
              <w:tabs>
                <w:tab w:val="left" w:pos="317"/>
              </w:tabs>
              <w:autoSpaceDE w:val="0"/>
              <w:autoSpaceDN w:val="0"/>
              <w:adjustRightInd w:val="0"/>
              <w:spacing w:after="0"/>
              <w:ind w:left="317"/>
              <w:jc w:val="both"/>
              <w:rPr>
                <w:rFonts w:cs="Calibri"/>
              </w:rPr>
            </w:pPr>
          </w:p>
          <w:p w:rsidR="00C13975" w:rsidRPr="003332E6" w:rsidRDefault="00C13975" w:rsidP="00C13975">
            <w:pPr>
              <w:numPr>
                <w:ilvl w:val="0"/>
                <w:numId w:val="22"/>
              </w:numPr>
              <w:tabs>
                <w:tab w:val="left" w:pos="317"/>
              </w:tabs>
              <w:autoSpaceDE w:val="0"/>
              <w:autoSpaceDN w:val="0"/>
              <w:adjustRightInd w:val="0"/>
              <w:spacing w:after="60"/>
              <w:ind w:left="318" w:hanging="284"/>
              <w:jc w:val="both"/>
              <w:rPr>
                <w:rFonts w:cs="Calibri"/>
              </w:rPr>
            </w:pPr>
            <w:r w:rsidRPr="003332E6">
              <w:rPr>
                <w:rFonts w:cs="Calibri"/>
              </w:rPr>
              <w:t>Weryfikacja techniczna dokonywana przez pracownika IOK, w trakcie której sprawdzeniu podlega:</w:t>
            </w:r>
          </w:p>
          <w:p w:rsidR="00C13975" w:rsidRPr="003332E6" w:rsidRDefault="00C13975" w:rsidP="00C13975">
            <w:pPr>
              <w:numPr>
                <w:ilvl w:val="0"/>
                <w:numId w:val="23"/>
              </w:numPr>
              <w:autoSpaceDE w:val="0"/>
              <w:autoSpaceDN w:val="0"/>
              <w:adjustRightInd w:val="0"/>
              <w:spacing w:after="0"/>
              <w:ind w:left="600" w:hanging="240"/>
              <w:jc w:val="both"/>
              <w:rPr>
                <w:rFonts w:cs="Calibri"/>
              </w:rPr>
            </w:pPr>
            <w:r w:rsidRPr="003332E6">
              <w:rPr>
                <w:rFonts w:cs="Calibri"/>
              </w:rPr>
              <w:t>kompletność wypełnienia formularza wniosku (czy formularz zawiera wszystkie wymagane strony oraz czy wymagane pola zostały wypełnione),</w:t>
            </w:r>
          </w:p>
          <w:p w:rsidR="00C13975" w:rsidRPr="003332E6" w:rsidRDefault="00C13975" w:rsidP="00C13975">
            <w:pPr>
              <w:numPr>
                <w:ilvl w:val="0"/>
                <w:numId w:val="23"/>
              </w:numPr>
              <w:autoSpaceDE w:val="0"/>
              <w:autoSpaceDN w:val="0"/>
              <w:adjustRightInd w:val="0"/>
              <w:spacing w:after="0"/>
              <w:ind w:left="600" w:hanging="240"/>
              <w:jc w:val="both"/>
              <w:rPr>
                <w:rFonts w:cs="Calibri"/>
              </w:rPr>
            </w:pPr>
            <w:r w:rsidRPr="003332E6">
              <w:rPr>
                <w:rFonts w:cs="Calibri"/>
              </w:rPr>
              <w:t>kompletność załączników (czy wszystkie załączniki zostały załączone),</w:t>
            </w:r>
          </w:p>
          <w:p w:rsidR="00C13975" w:rsidRPr="003332E6" w:rsidRDefault="00C13975" w:rsidP="00C13975">
            <w:pPr>
              <w:numPr>
                <w:ilvl w:val="0"/>
                <w:numId w:val="23"/>
              </w:numPr>
              <w:autoSpaceDE w:val="0"/>
              <w:autoSpaceDN w:val="0"/>
              <w:adjustRightInd w:val="0"/>
              <w:spacing w:after="0"/>
              <w:ind w:left="600" w:hanging="240"/>
              <w:jc w:val="both"/>
              <w:rPr>
                <w:rFonts w:cs="Calibri"/>
              </w:rPr>
            </w:pPr>
            <w:r w:rsidRPr="003332E6">
              <w:rPr>
                <w:rFonts w:cs="Calibri"/>
              </w:rPr>
              <w:t>czytelność załączonych skanów,</w:t>
            </w:r>
          </w:p>
          <w:p w:rsidR="00C13975" w:rsidRPr="003332E6" w:rsidRDefault="00C13975" w:rsidP="00C13975">
            <w:pPr>
              <w:numPr>
                <w:ilvl w:val="0"/>
                <w:numId w:val="23"/>
              </w:numPr>
              <w:autoSpaceDE w:val="0"/>
              <w:autoSpaceDN w:val="0"/>
              <w:adjustRightInd w:val="0"/>
              <w:spacing w:after="0"/>
              <w:ind w:left="600" w:hanging="240"/>
              <w:jc w:val="both"/>
              <w:rPr>
                <w:rFonts w:cs="Calibri"/>
              </w:rPr>
            </w:pPr>
            <w:r w:rsidRPr="003332E6">
              <w:rPr>
                <w:rFonts w:cs="Calibri"/>
              </w:rPr>
              <w:lastRenderedPageBreak/>
              <w:t>kompletność podpisów i pieczęci,</w:t>
            </w:r>
          </w:p>
          <w:p w:rsidR="00C13975" w:rsidRPr="003332E6" w:rsidRDefault="00C13975" w:rsidP="00C13975">
            <w:pPr>
              <w:numPr>
                <w:ilvl w:val="0"/>
                <w:numId w:val="23"/>
              </w:numPr>
              <w:autoSpaceDE w:val="0"/>
              <w:autoSpaceDN w:val="0"/>
              <w:adjustRightInd w:val="0"/>
              <w:spacing w:after="0"/>
              <w:ind w:left="600" w:hanging="240"/>
              <w:jc w:val="both"/>
              <w:rPr>
                <w:rFonts w:cs="Calibri"/>
              </w:rPr>
            </w:pPr>
            <w:r w:rsidRPr="003332E6">
              <w:rPr>
                <w:rFonts w:cs="Calibri"/>
              </w:rPr>
              <w:t>zgodność sumy kontrolnej w wersji papierowej i elektronicznej.</w:t>
            </w:r>
          </w:p>
          <w:p w:rsidR="00C13975" w:rsidRPr="003332E6" w:rsidRDefault="00C13975" w:rsidP="00C13975">
            <w:pPr>
              <w:autoSpaceDE w:val="0"/>
              <w:autoSpaceDN w:val="0"/>
              <w:adjustRightInd w:val="0"/>
              <w:spacing w:after="0"/>
              <w:ind w:left="360"/>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 xml:space="preserve">Zgodnie z art. 43 ust. 1 </w:t>
            </w:r>
            <w:r w:rsidR="008F0488" w:rsidRPr="003332E6">
              <w:rPr>
                <w:rFonts w:cs="Calibri"/>
              </w:rPr>
              <w:t xml:space="preserve">ustawy wdrożeniowej </w:t>
            </w:r>
            <w:r w:rsidRPr="003332E6">
              <w:rPr>
                <w:rFonts w:cs="Calibri"/>
              </w:rPr>
              <w:t xml:space="preserve">w przypadku stwierdzenia we wniosku o dofinansowanie braków formalnych lub oczywistych omyłek IOK wzywa Wnioskodawcę do uzupełnienia wniosku lub poprawienia w nim omyłki (w terminie do 7 dni), pod rygorem pozostawienia wniosku bez rozpatrzenia. </w:t>
            </w:r>
            <w:r w:rsidR="008F0488">
              <w:rPr>
                <w:rFonts w:cs="Calibri"/>
              </w:rPr>
              <w:br/>
            </w:r>
            <w:r w:rsidRPr="003332E6">
              <w:rPr>
                <w:rFonts w:cs="Calibri"/>
              </w:rPr>
              <w:t>W przypadku, gdy nie jest możliwe usunięcie braków lub omyłek w sposób, który nie prowadziłyby do zasadniczej modyfikacji projektu (np. brak analizy finansowej projektu), wniosek pozostaje bez rozpatrzenia bez wezwania do uzupełnienia lub poprawy. W przypadku pozostawienia wniosku bez rozpatrzenia, Wnioskodawcy nie przysługuje protest w rozumieniu rozdziału 15 ustawy.</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Katalog możliwych do uzupełnienia braków formalnych oraz oczywistych omyłek określa pkt 16 niniejszego Regulaminu.</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Weryfikacja techniczna trwa do 7 dni od dnia zakończenia naboru.</w:t>
            </w:r>
          </w:p>
          <w:p w:rsidR="00C13975" w:rsidRPr="003332E6" w:rsidRDefault="00C13975" w:rsidP="00C13975">
            <w:pPr>
              <w:autoSpaceDE w:val="0"/>
              <w:autoSpaceDN w:val="0"/>
              <w:adjustRightInd w:val="0"/>
              <w:spacing w:after="0"/>
              <w:jc w:val="both"/>
              <w:rPr>
                <w:rFonts w:cs="Calibri"/>
              </w:rPr>
            </w:pPr>
            <w:r w:rsidRPr="003332E6">
              <w:rPr>
                <w:rFonts w:cs="Calibri"/>
              </w:rPr>
              <w:t>Wnioskodawca otrzymuje 7 dni na usunięcie braków formalnych i oczywistych omyłek. W tych przypadkach ponowna weryfikacja jest dokonywana w terminie 7 dni.</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 xml:space="preserve">Niezwłocznie po zakończeniu weryfikacji technicznej wszystkich projektów złożonych w konkursie IOK zamieszcza na swojej stronie zbiorczą listę projektów skierowanych do KOP. </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bCs/>
                <w:iCs/>
              </w:rPr>
              <w:t>W przypadku wniosków pozostawionych bez rozpatrzenia Wnioskodawca informowany jest pisemnie o zakończeniu weryfikacji technicznej jego wniosku oraz o wyniku weryfikacji wraz z uzasadnieniem</w:t>
            </w:r>
            <w:r w:rsidRPr="003332E6">
              <w:rPr>
                <w:rFonts w:cs="Calibri"/>
                <w:iCs/>
              </w:rPr>
              <w:t>.</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u w:val="single"/>
              </w:rPr>
              <w:t>Weryfikacja techniczna nie stanowi etapu oceny wniosków o dofinansowanie projektu</w:t>
            </w:r>
            <w:r w:rsidRPr="003332E6">
              <w:rPr>
                <w:rFonts w:cs="Calibri"/>
              </w:rPr>
              <w:t>.</w:t>
            </w:r>
            <w:r w:rsidRPr="003332E6">
              <w:t xml:space="preserve"> </w:t>
            </w:r>
            <w:r w:rsidRPr="003332E6">
              <w:rPr>
                <w:rFonts w:cs="Calibri"/>
              </w:rPr>
              <w:t>Wezwanie do poprawienia oczywistej omyłki lub uzupełnienia braku formalnego, o ile zostaną one stwierdzone, może następować również na każdym kolejnym etapie oceny.</w:t>
            </w:r>
          </w:p>
          <w:p w:rsidR="00C13975" w:rsidRPr="003332E6" w:rsidRDefault="00C13975" w:rsidP="00C13975">
            <w:pPr>
              <w:autoSpaceDE w:val="0"/>
              <w:autoSpaceDN w:val="0"/>
              <w:adjustRightInd w:val="0"/>
              <w:spacing w:after="0"/>
              <w:ind w:left="317"/>
              <w:jc w:val="both"/>
              <w:rPr>
                <w:rFonts w:cs="Calibri"/>
              </w:rPr>
            </w:pPr>
          </w:p>
          <w:p w:rsidR="00C13975" w:rsidRPr="003332E6" w:rsidRDefault="00C13975" w:rsidP="00C13975">
            <w:pPr>
              <w:numPr>
                <w:ilvl w:val="0"/>
                <w:numId w:val="22"/>
              </w:numPr>
              <w:tabs>
                <w:tab w:val="left" w:pos="317"/>
              </w:tabs>
              <w:autoSpaceDE w:val="0"/>
              <w:autoSpaceDN w:val="0"/>
              <w:adjustRightInd w:val="0"/>
              <w:spacing w:after="60"/>
              <w:ind w:left="318" w:hanging="284"/>
              <w:jc w:val="both"/>
            </w:pPr>
            <w:r w:rsidRPr="003332E6">
              <w:t>I etap oceny projektu</w:t>
            </w:r>
            <w:r>
              <w:t xml:space="preserve"> </w:t>
            </w:r>
            <w:r w:rsidRPr="003332E6">
              <w:t>– Ocena formalna, dokonywana przez 2 pracowników IOK (do oceny formalnej zostaną dopuszczone wnioski o dofinansowanie, które wpłynęły do IOK w terminie określonym w regulaminie konkursu, po uzyskaniu pozytywnego wyniku weryfikacji technicznej).</w:t>
            </w:r>
            <w:r w:rsidRPr="003332E6">
              <w:rPr>
                <w:rFonts w:cs="Calibri"/>
              </w:rPr>
              <w:t xml:space="preserve"> Ocena formalna trwa 20 dni. Termin ten jest zawieszany na czas wprowadzania przez wnioskodawcę wymaganych popraw i uzupełnień do wniosku.</w:t>
            </w:r>
            <w:r w:rsidRPr="003332E6">
              <w:t xml:space="preserve">  </w:t>
            </w:r>
          </w:p>
          <w:p w:rsidR="00C13975" w:rsidRPr="003332E6" w:rsidRDefault="00C13975" w:rsidP="00C13975">
            <w:pPr>
              <w:autoSpaceDE w:val="0"/>
              <w:autoSpaceDN w:val="0"/>
              <w:adjustRightInd w:val="0"/>
              <w:spacing w:after="0"/>
              <w:ind w:left="600"/>
              <w:jc w:val="both"/>
              <w:rPr>
                <w:rFonts w:cs="Calibri"/>
              </w:rPr>
            </w:pPr>
          </w:p>
          <w:p w:rsidR="00C13975" w:rsidRPr="003332E6" w:rsidRDefault="00C13975" w:rsidP="00C13975">
            <w:pPr>
              <w:numPr>
                <w:ilvl w:val="0"/>
                <w:numId w:val="22"/>
              </w:numPr>
              <w:tabs>
                <w:tab w:val="left" w:pos="317"/>
              </w:tabs>
              <w:autoSpaceDE w:val="0"/>
              <w:autoSpaceDN w:val="0"/>
              <w:adjustRightInd w:val="0"/>
              <w:spacing w:after="60"/>
              <w:ind w:left="318" w:hanging="284"/>
              <w:jc w:val="both"/>
              <w:rPr>
                <w:rFonts w:cs="Calibri"/>
              </w:rPr>
            </w:pPr>
            <w:r w:rsidRPr="003332E6">
              <w:rPr>
                <w:rFonts w:cs="Calibri"/>
              </w:rPr>
              <w:t>II etap oceny projektu</w:t>
            </w:r>
            <w:r>
              <w:rPr>
                <w:rFonts w:cs="Calibri"/>
              </w:rPr>
              <w:t xml:space="preserve"> </w:t>
            </w:r>
            <w:r w:rsidRPr="003332E6">
              <w:rPr>
                <w:rFonts w:cs="Calibri"/>
              </w:rPr>
              <w:t xml:space="preserve">– Ocena merytoryczna (do oceny merytorycznej </w:t>
            </w:r>
            <w:r w:rsidRPr="003332E6">
              <w:rPr>
                <w:rFonts w:cs="Calibri"/>
              </w:rPr>
              <w:lastRenderedPageBreak/>
              <w:t xml:space="preserve">zostaną dopuszczone wnioski o dofinansowanie po uzyskaniu pozytywnego wyniku oceny formalnej): </w:t>
            </w:r>
          </w:p>
          <w:p w:rsidR="00C13975" w:rsidRPr="003332E6" w:rsidRDefault="00C13975" w:rsidP="00C13975">
            <w:pPr>
              <w:numPr>
                <w:ilvl w:val="0"/>
                <w:numId w:val="24"/>
              </w:numPr>
              <w:autoSpaceDE w:val="0"/>
              <w:autoSpaceDN w:val="0"/>
              <w:adjustRightInd w:val="0"/>
              <w:spacing w:after="0"/>
              <w:ind w:left="600" w:hanging="283"/>
              <w:jc w:val="both"/>
              <w:rPr>
                <w:rFonts w:cs="Calibri"/>
              </w:rPr>
            </w:pPr>
            <w:r w:rsidRPr="003332E6">
              <w:rPr>
                <w:rFonts w:cs="Calibri"/>
              </w:rPr>
              <w:t xml:space="preserve">Ocena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 dokonywana przez 2 ekspertów </w:t>
            </w:r>
            <w:r>
              <w:rPr>
                <w:rFonts w:cs="Calibri"/>
              </w:rPr>
              <w:t xml:space="preserve">Zewnętrznych (I sekcja) - </w:t>
            </w:r>
            <w:r w:rsidRPr="003332E6">
              <w:rPr>
                <w:rFonts w:cs="Calibri"/>
              </w:rPr>
              <w:t xml:space="preserve"> </w:t>
            </w:r>
            <w:r w:rsidRPr="00C95C5F">
              <w:rPr>
                <w:rFonts w:ascii="Calibri" w:hAnsi="Calibri" w:cs="Calibri"/>
                <w:color w:val="000000"/>
              </w:rPr>
              <w:t>do 40 dni od momentu zakończenia oceny formalnej;</w:t>
            </w:r>
          </w:p>
          <w:p w:rsidR="00C13975" w:rsidRDefault="00C13975" w:rsidP="00C13975">
            <w:pPr>
              <w:numPr>
                <w:ilvl w:val="0"/>
                <w:numId w:val="24"/>
              </w:numPr>
              <w:autoSpaceDE w:val="0"/>
              <w:autoSpaceDN w:val="0"/>
              <w:adjustRightInd w:val="0"/>
              <w:spacing w:after="0"/>
              <w:ind w:left="600" w:hanging="283"/>
              <w:jc w:val="both"/>
              <w:rPr>
                <w:rFonts w:cs="Calibri"/>
              </w:rPr>
            </w:pPr>
            <w:r w:rsidRPr="003332E6">
              <w:rPr>
                <w:rFonts w:cs="Calibri"/>
              </w:rPr>
              <w:t xml:space="preserve">ocena projektu pod kątem wpływu projektu na realizację Strategii Rozwoju Województwa Dolnośląskiego 2020 </w:t>
            </w:r>
            <w:r>
              <w:rPr>
                <w:rFonts w:cs="Calibri"/>
              </w:rPr>
              <w:t xml:space="preserve"> (II sekcja)</w:t>
            </w:r>
            <w:r w:rsidR="008F5891">
              <w:rPr>
                <w:rFonts w:cs="Calibri"/>
              </w:rPr>
              <w:t xml:space="preserve"> </w:t>
            </w:r>
            <w:r>
              <w:rPr>
                <w:rFonts w:cs="Calibri"/>
              </w:rPr>
              <w:t xml:space="preserve">- </w:t>
            </w:r>
            <w:r w:rsidRPr="00C95C5F">
              <w:rPr>
                <w:rFonts w:ascii="Calibri" w:hAnsi="Calibri" w:cs="Calibri"/>
                <w:color w:val="000000"/>
              </w:rPr>
              <w:t>do 20 dni od momentu zakończeni</w:t>
            </w:r>
            <w:r>
              <w:rPr>
                <w:rFonts w:ascii="Calibri" w:hAnsi="Calibri" w:cs="Calibri"/>
                <w:color w:val="000000"/>
              </w:rPr>
              <w:t>a I sekcji oceny merytorycznej. Ocena ta nie</w:t>
            </w:r>
            <w:r w:rsidRPr="003332E6">
              <w:rPr>
                <w:rFonts w:cs="Calibri"/>
              </w:rPr>
              <w:t xml:space="preserve"> będzie przeprowadzana w sytuacji gdy alokacja przewidziana w ogłoszeniu na dany nabór zabezpieczy wszystkie projekty w danym naborze, które pozytywnie przeszły poprzednie etapy oceny merytorycznej. </w:t>
            </w:r>
          </w:p>
          <w:p w:rsidR="00C13975" w:rsidRDefault="00C13975" w:rsidP="00C13975">
            <w:pPr>
              <w:autoSpaceDE w:val="0"/>
              <w:autoSpaceDN w:val="0"/>
              <w:adjustRightInd w:val="0"/>
              <w:spacing w:after="0"/>
              <w:ind w:left="600"/>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 xml:space="preserve">Oceny spełnienia kryteriów wyboru projektów przez projekty uczestniczące </w:t>
            </w:r>
            <w:r>
              <w:rPr>
                <w:rFonts w:cs="Calibri"/>
              </w:rPr>
              <w:br/>
            </w:r>
            <w:r w:rsidRPr="003332E6">
              <w:rPr>
                <w:rFonts w:cs="Calibri"/>
              </w:rPr>
              <w:t>w konkursie dokonuje Komisja Oceny Projektów.</w:t>
            </w:r>
            <w:r>
              <w:rPr>
                <w:rFonts w:cs="Calibri"/>
              </w:rPr>
              <w:t xml:space="preserve"> Na wniosek przewodniczącego KOP termin zakończenia poszczególnych etapów oceny wniosków może zostać wydłużony. </w:t>
            </w:r>
            <w:r w:rsidRPr="003332E6">
              <w:t xml:space="preserve">Decyzja w powyższej kwestii zostanie przedstawiona </w:t>
            </w:r>
            <w:r w:rsidRPr="003332E6">
              <w:br/>
              <w:t>w formie komunikatu we wszystkich miejscach, gdzie opublikowano ogłoszenie</w:t>
            </w:r>
            <w:r>
              <w:t>.</w:t>
            </w:r>
          </w:p>
          <w:p w:rsidR="00C13975" w:rsidRPr="003332E6" w:rsidRDefault="00C13975" w:rsidP="00C13975">
            <w:pPr>
              <w:autoSpaceDE w:val="0"/>
              <w:autoSpaceDN w:val="0"/>
              <w:adjustRightInd w:val="0"/>
              <w:spacing w:after="0"/>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C13975" w:rsidRPr="003332E6" w:rsidRDefault="00C13975" w:rsidP="00C13975">
            <w:pPr>
              <w:autoSpaceDE w:val="0"/>
              <w:autoSpaceDN w:val="0"/>
              <w:adjustRightInd w:val="0"/>
              <w:spacing w:after="0"/>
              <w:jc w:val="both"/>
              <w:rPr>
                <w:rFonts w:cs="Calibri"/>
              </w:rPr>
            </w:pPr>
          </w:p>
          <w:p w:rsidR="00C13975" w:rsidRPr="003332E6" w:rsidRDefault="00C13975" w:rsidP="00C13975">
            <w:pPr>
              <w:autoSpaceDE w:val="0"/>
              <w:autoSpaceDN w:val="0"/>
              <w:adjustRightInd w:val="0"/>
              <w:spacing w:after="0"/>
              <w:jc w:val="both"/>
              <w:rPr>
                <w:rFonts w:cs="Calibri"/>
              </w:rPr>
            </w:pPr>
            <w:r w:rsidRPr="003332E6">
              <w:rPr>
                <w:rFonts w:cs="Calibri"/>
              </w:rPr>
              <w:t xml:space="preserve">W ciągu 10 dni od zakończenia oceny ostatniego projektu sporządzany jest Protokół z prac Komisji Oceny Projektów, zawierający informacje o przebiegu </w:t>
            </w:r>
            <w:r>
              <w:rPr>
                <w:rFonts w:cs="Calibri"/>
              </w:rPr>
              <w:br/>
            </w:r>
            <w:r w:rsidRPr="003332E6">
              <w:rPr>
                <w:rFonts w:cs="Calibri"/>
              </w:rPr>
              <w:t xml:space="preserve">i wynikach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 i przekazywane niezwłocznie do zatwierdzenia przez Zarząd Województwa Dolnośląskiego. </w:t>
            </w:r>
          </w:p>
          <w:p w:rsidR="00C13975" w:rsidRPr="003332E6" w:rsidRDefault="00C13975" w:rsidP="00C13975">
            <w:pPr>
              <w:autoSpaceDE w:val="0"/>
              <w:autoSpaceDN w:val="0"/>
              <w:adjustRightInd w:val="0"/>
              <w:spacing w:after="0"/>
              <w:jc w:val="both"/>
              <w:rPr>
                <w:rFonts w:cs="Calibri"/>
              </w:rPr>
            </w:pPr>
          </w:p>
          <w:p w:rsidR="00C13975" w:rsidRPr="003332E6" w:rsidRDefault="00C13975" w:rsidP="00C13975">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C13975" w:rsidRPr="00C13975" w:rsidRDefault="00C13975" w:rsidP="00C13975">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z wyróżnieniem projektów wybranych do dofinansowania” zamieszczana jest na </w:t>
            </w:r>
            <w:r w:rsidRPr="003332E6">
              <w:lastRenderedPageBreak/>
              <w:t xml:space="preserve">stronie internetowej </w:t>
            </w:r>
            <w:hyperlink r:id="rId12" w:history="1">
              <w:r w:rsidRPr="003332E6">
                <w:rPr>
                  <w:u w:val="single"/>
                </w:rPr>
                <w:t>www.rpo.dolnyslask.pl</w:t>
              </w:r>
            </w:hyperlink>
            <w:r w:rsidRPr="003332E6">
              <w:t xml:space="preserve"> oraz </w:t>
            </w:r>
            <w:hyperlink r:id="rId13" w:history="1">
              <w:r w:rsidRPr="003332E6">
                <w:rPr>
                  <w:u w:val="single"/>
                </w:rPr>
                <w:t>www.funduszeeuropejskie.gov.pl</w:t>
              </w:r>
            </w:hyperlink>
            <w:r w:rsidRPr="003332E6">
              <w:t>.</w:t>
            </w:r>
          </w:p>
        </w:tc>
      </w:tr>
      <w:tr w:rsidR="00C13975" w:rsidRPr="00B27059" w:rsidTr="006D7C1A">
        <w:tc>
          <w:tcPr>
            <w:tcW w:w="534" w:type="dxa"/>
          </w:tcPr>
          <w:p w:rsidR="00C13975" w:rsidRPr="00B27059" w:rsidRDefault="00C1397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C13975" w:rsidRPr="00B27059" w:rsidRDefault="00C1397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C13975" w:rsidRPr="00B27059" w:rsidRDefault="00C13975" w:rsidP="00480411">
            <w:pPr>
              <w:pStyle w:val="Default"/>
              <w:rPr>
                <w:rFonts w:asciiTheme="minorHAnsi" w:hAnsiTheme="minorHAnsi"/>
                <w:b/>
                <w:bCs/>
                <w:sz w:val="22"/>
                <w:szCs w:val="22"/>
              </w:rPr>
            </w:pPr>
          </w:p>
        </w:tc>
        <w:tc>
          <w:tcPr>
            <w:tcW w:w="7494" w:type="dxa"/>
          </w:tcPr>
          <w:p w:rsidR="00C13975" w:rsidRPr="003332E6" w:rsidRDefault="00C13975" w:rsidP="00C13975">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t xml:space="preserve"> </w:t>
            </w:r>
            <w:hyperlink r:id="rId14" w:history="1">
              <w:r w:rsidRPr="006B2957">
                <w:rPr>
                  <w:rStyle w:val="Hipercze"/>
                </w:rPr>
                <w:t>https://snow-umwd.dolnyslask.pl</w:t>
              </w:r>
            </w:hyperlink>
            <w:r>
              <w:t xml:space="preserve"> </w:t>
            </w:r>
            <w:r w:rsidRPr="003332E6">
              <w:t xml:space="preserve">i przesyła do IOK w ramach niniejszego konkursu w terminie </w:t>
            </w:r>
            <w:r w:rsidRPr="00E75697">
              <w:rPr>
                <w:b/>
              </w:rPr>
              <w:t xml:space="preserve">od godz. 8.00 dnia 3 października 2016 r. do godz. 15.00 dnia </w:t>
            </w:r>
            <w:r w:rsidR="003506CE">
              <w:rPr>
                <w:b/>
              </w:rPr>
              <w:t>16</w:t>
            </w:r>
            <w:r w:rsidRPr="00E75697">
              <w:rPr>
                <w:b/>
              </w:rPr>
              <w:t xml:space="preserve"> listopada 2016 r.</w:t>
            </w:r>
          </w:p>
          <w:p w:rsidR="00C13975" w:rsidRPr="003332E6" w:rsidRDefault="00C13975" w:rsidP="00C13975">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C13975" w:rsidRPr="003332E6" w:rsidRDefault="00C13975" w:rsidP="00C13975">
            <w:pPr>
              <w:autoSpaceDE w:val="0"/>
              <w:autoSpaceDN w:val="0"/>
              <w:adjustRightInd w:val="0"/>
              <w:spacing w:before="120" w:after="120"/>
              <w:jc w:val="both"/>
            </w:pPr>
            <w:r w:rsidRPr="003332E6">
              <w:t>Ponadto 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rsidR="00C13975" w:rsidRDefault="00C13975" w:rsidP="00C13975">
            <w:pPr>
              <w:autoSpaceDE w:val="0"/>
              <w:autoSpaceDN w:val="0"/>
              <w:adjustRightInd w:val="0"/>
              <w:spacing w:before="120" w:after="120"/>
              <w:jc w:val="both"/>
            </w:pPr>
            <w:r w:rsidRPr="003332E6">
              <w:t xml:space="preserve">Jednocześnie, wymaganą analizę finansową (w postaci arkuszy kalkulacyjnych </w:t>
            </w:r>
            <w:r>
              <w:br/>
            </w:r>
            <w:r w:rsidRPr="003332E6">
              <w:t>w formacie Excel z aktywnymi formułami) przedłożyć należy na nośniku CD.</w:t>
            </w:r>
          </w:p>
          <w:p w:rsidR="00C13975" w:rsidRPr="009B7D23" w:rsidRDefault="00C13975" w:rsidP="00C13975">
            <w:pPr>
              <w:autoSpaceDE w:val="0"/>
              <w:autoSpaceDN w:val="0"/>
              <w:adjustRightInd w:val="0"/>
              <w:spacing w:before="120" w:after="120"/>
              <w:jc w:val="both"/>
            </w:pPr>
            <w:r>
              <w:t xml:space="preserve">Za datę wpływu do IOK uznaje się datę wpływu wniosku w wersji papierowej </w:t>
            </w:r>
          </w:p>
          <w:p w:rsidR="00C13975" w:rsidRPr="003332E6" w:rsidRDefault="00C13975" w:rsidP="00C13975">
            <w:pPr>
              <w:autoSpaceDE w:val="0"/>
              <w:autoSpaceDN w:val="0"/>
              <w:adjustRightInd w:val="0"/>
              <w:spacing w:before="120" w:after="120"/>
              <w:jc w:val="both"/>
            </w:pPr>
            <w:r w:rsidRPr="003332E6">
              <w:t xml:space="preserve">Papierowa wersja wniosku może zostać dostarczona: </w:t>
            </w:r>
          </w:p>
          <w:p w:rsidR="00C13975" w:rsidRPr="003332E6" w:rsidRDefault="00C13975" w:rsidP="00C13975">
            <w:pPr>
              <w:autoSpaceDE w:val="0"/>
              <w:autoSpaceDN w:val="0"/>
              <w:adjustRightInd w:val="0"/>
              <w:spacing w:before="120" w:after="120"/>
              <w:jc w:val="both"/>
            </w:pPr>
            <w:r w:rsidRPr="003332E6">
              <w:t xml:space="preserve">a) osobiście </w:t>
            </w:r>
            <w:r>
              <w:t xml:space="preserve">lub za pośrednictwem kuriera </w:t>
            </w:r>
            <w:r w:rsidRPr="003332E6">
              <w:t>do kancelarii Departamentu Funduszy Europejskich mieszczącej się pod adresem:</w:t>
            </w:r>
          </w:p>
          <w:p w:rsidR="00C13975" w:rsidRPr="003332E6" w:rsidRDefault="00C13975" w:rsidP="00C13975">
            <w:pPr>
              <w:autoSpaceDE w:val="0"/>
              <w:autoSpaceDN w:val="0"/>
              <w:adjustRightInd w:val="0"/>
              <w:spacing w:before="120" w:after="120"/>
              <w:jc w:val="center"/>
            </w:pPr>
            <w:r w:rsidRPr="003332E6">
              <w:t>Urząd Marszałkowski Województwa Dolnośląskiego</w:t>
            </w:r>
          </w:p>
          <w:p w:rsidR="00C13975" w:rsidRPr="003332E6" w:rsidRDefault="00C13975" w:rsidP="00C13975">
            <w:pPr>
              <w:autoSpaceDE w:val="0"/>
              <w:autoSpaceDN w:val="0"/>
              <w:adjustRightInd w:val="0"/>
              <w:spacing w:before="120" w:after="120"/>
              <w:jc w:val="center"/>
            </w:pPr>
            <w:r w:rsidRPr="003332E6">
              <w:t>Departament Funduszy Europejskich</w:t>
            </w:r>
          </w:p>
          <w:p w:rsidR="00C13975" w:rsidRPr="003332E6" w:rsidRDefault="00C13975" w:rsidP="00C13975">
            <w:pPr>
              <w:autoSpaceDE w:val="0"/>
              <w:autoSpaceDN w:val="0"/>
              <w:adjustRightInd w:val="0"/>
              <w:spacing w:before="120" w:after="120"/>
              <w:jc w:val="center"/>
            </w:pPr>
            <w:r w:rsidRPr="003332E6">
              <w:t>ul. Mazowiecka 17</w:t>
            </w:r>
          </w:p>
          <w:p w:rsidR="00C13975" w:rsidRPr="003332E6" w:rsidRDefault="00C13975" w:rsidP="00C13975">
            <w:pPr>
              <w:autoSpaceDE w:val="0"/>
              <w:autoSpaceDN w:val="0"/>
              <w:adjustRightInd w:val="0"/>
              <w:spacing w:before="120" w:after="120"/>
              <w:jc w:val="center"/>
            </w:pPr>
            <w:r w:rsidRPr="003332E6">
              <w:t>50-412 Wrocław</w:t>
            </w:r>
          </w:p>
          <w:p w:rsidR="00C13975" w:rsidRDefault="00C13975" w:rsidP="00C13975">
            <w:pPr>
              <w:autoSpaceDE w:val="0"/>
              <w:autoSpaceDN w:val="0"/>
              <w:adjustRightInd w:val="0"/>
              <w:spacing w:before="120" w:after="120"/>
              <w:jc w:val="center"/>
            </w:pPr>
            <w:r w:rsidRPr="003332E6">
              <w:t>II piętro, pokój nr 2020</w:t>
            </w:r>
          </w:p>
          <w:p w:rsidR="00C13975" w:rsidRPr="003332E6" w:rsidRDefault="00C13975" w:rsidP="00C13975">
            <w:pPr>
              <w:autoSpaceDE w:val="0"/>
              <w:autoSpaceDN w:val="0"/>
              <w:adjustRightInd w:val="0"/>
              <w:spacing w:before="120" w:after="120"/>
              <w:jc w:val="center"/>
            </w:pPr>
          </w:p>
          <w:p w:rsidR="00C13975" w:rsidRPr="006323D3" w:rsidRDefault="00C13975" w:rsidP="00C13975">
            <w:pPr>
              <w:autoSpaceDE w:val="0"/>
              <w:autoSpaceDN w:val="0"/>
              <w:adjustRightInd w:val="0"/>
              <w:spacing w:before="120" w:after="120"/>
              <w:jc w:val="both"/>
            </w:pPr>
            <w:r w:rsidRPr="006323D3">
              <w:t xml:space="preserve">b) </w:t>
            </w:r>
            <w:r w:rsidRPr="00E45CB3">
              <w:t xml:space="preserve">za pośrednictwem polskiego operatora wyznaczonego,  w rozumieniu ustawy </w:t>
            </w:r>
            <w:r>
              <w:br/>
            </w:r>
            <w:r w:rsidRPr="00E45CB3">
              <w:t xml:space="preserve">z dnia 23 listopada 2012 r. - Prawo pocztowe, na adres: </w:t>
            </w:r>
          </w:p>
          <w:p w:rsidR="00C13975" w:rsidRPr="003332E6" w:rsidRDefault="00C13975" w:rsidP="00C13975">
            <w:pPr>
              <w:autoSpaceDE w:val="0"/>
              <w:autoSpaceDN w:val="0"/>
              <w:adjustRightInd w:val="0"/>
              <w:spacing w:before="120" w:after="120"/>
              <w:jc w:val="center"/>
            </w:pPr>
            <w:r w:rsidRPr="003332E6">
              <w:t>Urząd Marszałkowski Województwa Dolnośląskiego</w:t>
            </w:r>
          </w:p>
          <w:p w:rsidR="00C13975" w:rsidRPr="003332E6" w:rsidRDefault="00C13975" w:rsidP="00C13975">
            <w:pPr>
              <w:autoSpaceDE w:val="0"/>
              <w:autoSpaceDN w:val="0"/>
              <w:adjustRightInd w:val="0"/>
              <w:spacing w:before="120" w:after="120"/>
              <w:jc w:val="center"/>
            </w:pPr>
            <w:r w:rsidRPr="003332E6">
              <w:t>Departament Funduszy Europejskich</w:t>
            </w:r>
          </w:p>
          <w:p w:rsidR="00C13975" w:rsidRPr="003332E6" w:rsidRDefault="00C13975" w:rsidP="00C13975">
            <w:pPr>
              <w:autoSpaceDE w:val="0"/>
              <w:autoSpaceDN w:val="0"/>
              <w:adjustRightInd w:val="0"/>
              <w:spacing w:before="120" w:after="120"/>
              <w:jc w:val="center"/>
            </w:pPr>
            <w:r w:rsidRPr="003332E6">
              <w:t>ul. Mazowiecka 17</w:t>
            </w:r>
          </w:p>
          <w:p w:rsidR="00C13975" w:rsidRPr="003332E6" w:rsidRDefault="00C13975" w:rsidP="00C13975">
            <w:pPr>
              <w:autoSpaceDE w:val="0"/>
              <w:autoSpaceDN w:val="0"/>
              <w:adjustRightInd w:val="0"/>
              <w:spacing w:before="120" w:after="120"/>
              <w:jc w:val="center"/>
            </w:pPr>
            <w:r w:rsidRPr="003332E6">
              <w:t>50-412 Wrocław</w:t>
            </w:r>
          </w:p>
          <w:p w:rsidR="00C13975" w:rsidRPr="003332E6" w:rsidRDefault="00C13975" w:rsidP="00C13975">
            <w:pPr>
              <w:spacing w:after="0"/>
              <w:jc w:val="center"/>
            </w:pPr>
            <w:r w:rsidRPr="003332E6">
              <w:lastRenderedPageBreak/>
              <w:t>II piętro, pokój nr 2020</w:t>
            </w:r>
          </w:p>
          <w:p w:rsidR="00C13975" w:rsidRPr="003332E6" w:rsidRDefault="00C13975" w:rsidP="00C13975">
            <w:pPr>
              <w:spacing w:after="0"/>
              <w:jc w:val="both"/>
            </w:pPr>
          </w:p>
          <w:p w:rsidR="00C13975" w:rsidRDefault="00C13975" w:rsidP="00C13975">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z dnia 23 listopada 2012 r. - Prawo pocztowe, dokonany został </w:t>
            </w:r>
            <w:r w:rsidRPr="0083721B">
              <w:rPr>
                <w:rFonts w:cs="Arial"/>
              </w:rPr>
              <w:t>wybór operatora wyznaczonego do świadczenia usług powszechnych na lata 2016-2025, którym została Poczta Polska SA.</w:t>
            </w:r>
          </w:p>
          <w:p w:rsidR="00C13975" w:rsidRPr="003332E6" w:rsidRDefault="00C13975" w:rsidP="00C13975">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C13975" w:rsidRPr="003332E6" w:rsidRDefault="00C13975" w:rsidP="00C13975">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C13975" w:rsidRPr="003332E6" w:rsidRDefault="00C13975" w:rsidP="00C13975">
            <w:pPr>
              <w:autoSpaceDE w:val="0"/>
              <w:autoSpaceDN w:val="0"/>
              <w:adjustRightInd w:val="0"/>
              <w:spacing w:before="120" w:after="120"/>
              <w:jc w:val="both"/>
            </w:pPr>
            <w:r w:rsidRPr="003332E6">
              <w:t>- pełna nazwa Wnioskodawcy wraz z adresem</w:t>
            </w:r>
          </w:p>
          <w:p w:rsidR="00C13975" w:rsidRPr="003332E6" w:rsidRDefault="00C13975" w:rsidP="00C13975">
            <w:pPr>
              <w:autoSpaceDE w:val="0"/>
              <w:autoSpaceDN w:val="0"/>
              <w:adjustRightInd w:val="0"/>
              <w:spacing w:before="120" w:after="120"/>
              <w:jc w:val="both"/>
            </w:pPr>
            <w:r w:rsidRPr="003332E6">
              <w:t>- wniosek o dofinansowanie projektu w ramach naboru nr …………..</w:t>
            </w:r>
          </w:p>
          <w:p w:rsidR="00C13975" w:rsidRPr="003332E6" w:rsidRDefault="00C13975" w:rsidP="00C13975">
            <w:pPr>
              <w:autoSpaceDE w:val="0"/>
              <w:autoSpaceDN w:val="0"/>
              <w:adjustRightInd w:val="0"/>
              <w:spacing w:before="120" w:after="120"/>
              <w:jc w:val="both"/>
            </w:pPr>
            <w:r w:rsidRPr="003332E6">
              <w:t>- tytuł projektu</w:t>
            </w:r>
          </w:p>
          <w:p w:rsidR="00C13975" w:rsidRPr="003332E6" w:rsidRDefault="00C13975" w:rsidP="00C13975">
            <w:pPr>
              <w:autoSpaceDE w:val="0"/>
              <w:autoSpaceDN w:val="0"/>
              <w:adjustRightInd w:val="0"/>
              <w:spacing w:before="120" w:after="120"/>
              <w:jc w:val="both"/>
            </w:pPr>
            <w:r w:rsidRPr="003332E6">
              <w:t xml:space="preserve">- numer wniosku o dofinansowanie </w:t>
            </w:r>
          </w:p>
          <w:p w:rsidR="00C13975" w:rsidRPr="003332E6" w:rsidRDefault="00C13975" w:rsidP="00C13975">
            <w:pPr>
              <w:autoSpaceDE w:val="0"/>
              <w:autoSpaceDN w:val="0"/>
              <w:adjustRightInd w:val="0"/>
              <w:spacing w:before="120" w:after="120"/>
              <w:jc w:val="both"/>
            </w:pPr>
            <w:r w:rsidRPr="003332E6">
              <w:t>- „Nie otwierać przed wpływem do Wydziału Wdrażania EFRR”.</w:t>
            </w:r>
          </w:p>
          <w:p w:rsidR="00C13975" w:rsidRPr="003332E6" w:rsidRDefault="00C13975" w:rsidP="00C13975">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C13975" w:rsidRPr="003332E6" w:rsidRDefault="00C13975" w:rsidP="00C13975">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13975" w:rsidRPr="003332E6" w:rsidRDefault="00C13975" w:rsidP="00C13975">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C13975" w:rsidRPr="003332E6" w:rsidRDefault="00C13975" w:rsidP="00C13975">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C13975" w:rsidRPr="00E75697" w:rsidRDefault="00C13975" w:rsidP="00C13975">
            <w:pPr>
              <w:autoSpaceDE w:val="0"/>
              <w:autoSpaceDN w:val="0"/>
              <w:adjustRightInd w:val="0"/>
              <w:spacing w:before="120" w:after="120"/>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00E75697">
              <w:rPr>
                <w:color w:val="FF0000"/>
              </w:rPr>
              <w:t>.</w:t>
            </w:r>
          </w:p>
        </w:tc>
      </w:tr>
      <w:tr w:rsidR="002A7937" w:rsidRPr="00B27059" w:rsidTr="006D7C1A">
        <w:tc>
          <w:tcPr>
            <w:tcW w:w="534" w:type="dxa"/>
          </w:tcPr>
          <w:p w:rsidR="002A7937" w:rsidRPr="00B27059" w:rsidRDefault="002A7937"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2A7937" w:rsidRPr="00B27059" w:rsidRDefault="002A7937"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w:t>
            </w:r>
            <w:r w:rsidRPr="00B27059">
              <w:rPr>
                <w:rFonts w:asciiTheme="minorHAnsi" w:hAnsiTheme="minorHAnsi"/>
                <w:b/>
                <w:bCs/>
                <w:sz w:val="22"/>
                <w:szCs w:val="22"/>
              </w:rPr>
              <w:lastRenderedPageBreak/>
              <w:t xml:space="preserve">uzupełnienia braków formalnych oraz oczywistych omyłek: </w:t>
            </w:r>
          </w:p>
          <w:p w:rsidR="002A7937" w:rsidRPr="00B27059" w:rsidRDefault="002A7937" w:rsidP="00480411">
            <w:pPr>
              <w:pStyle w:val="Default"/>
              <w:rPr>
                <w:rFonts w:asciiTheme="minorHAnsi" w:hAnsiTheme="minorHAnsi"/>
                <w:b/>
                <w:bCs/>
                <w:sz w:val="22"/>
                <w:szCs w:val="22"/>
              </w:rPr>
            </w:pPr>
          </w:p>
        </w:tc>
        <w:tc>
          <w:tcPr>
            <w:tcW w:w="7494" w:type="dxa"/>
          </w:tcPr>
          <w:p w:rsidR="002A7937" w:rsidRPr="00B27059" w:rsidRDefault="002A7937" w:rsidP="002A7937">
            <w:pPr>
              <w:autoSpaceDE w:val="0"/>
              <w:autoSpaceDN w:val="0"/>
              <w:adjustRightInd w:val="0"/>
              <w:spacing w:after="0" w:line="240" w:lineRule="auto"/>
              <w:jc w:val="both"/>
              <w:rPr>
                <w:rFonts w:ascii="Arial" w:hAnsi="Arial" w:cs="Arial"/>
              </w:rPr>
            </w:pPr>
            <w:r w:rsidRPr="00B27059">
              <w:rPr>
                <w:rFonts w:cs="Times New Roman"/>
                <w:color w:val="000000"/>
              </w:rPr>
              <w:lastRenderedPageBreak/>
              <w:t xml:space="preserve">W przypadku stwierdzenia we wniosku o dofinansowanie braków formalnych lub </w:t>
            </w:r>
            <w:r w:rsidRPr="00B27059">
              <w:rPr>
                <w:rFonts w:cs="Times New Roman"/>
                <w:color w:val="000000"/>
              </w:rPr>
              <w:lastRenderedPageBreak/>
              <w:t>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w:t>
            </w:r>
            <w:r w:rsidRPr="00B27059">
              <w:rPr>
                <w:rFonts w:cs="Times New Roman"/>
                <w:color w:val="000000"/>
              </w:rPr>
              <w:t xml:space="preserve">. </w:t>
            </w:r>
          </w:p>
          <w:p w:rsidR="002A7937" w:rsidRDefault="002A7937" w:rsidP="002A7937">
            <w:pPr>
              <w:autoSpaceDE w:val="0"/>
              <w:autoSpaceDN w:val="0"/>
              <w:adjustRightInd w:val="0"/>
              <w:spacing w:after="0" w:line="240" w:lineRule="auto"/>
              <w:jc w:val="both"/>
              <w:rPr>
                <w:rFonts w:cs="Times New Roman"/>
                <w:bCs/>
                <w:color w:val="000000"/>
              </w:rPr>
            </w:pPr>
          </w:p>
          <w:p w:rsidR="002A7937" w:rsidRPr="00C85A88" w:rsidRDefault="002A7937" w:rsidP="002A7937">
            <w:pPr>
              <w:autoSpaceDE w:val="0"/>
              <w:autoSpaceDN w:val="0"/>
              <w:adjustRightInd w:val="0"/>
              <w:spacing w:after="0" w:line="240" w:lineRule="auto"/>
              <w:jc w:val="both"/>
              <w:rPr>
                <w:rFonts w:cs="MS Sans Serif"/>
              </w:rPr>
            </w:pPr>
            <w:r w:rsidRPr="00C85A88">
              <w:rPr>
                <w:rFonts w:cs="MS Sans Serif"/>
              </w:rPr>
              <w:t>Uzupełnienie wniosku o dofinansowanie projektu lub poprawienie w nim oczywistej omyłki w wyznaczonym terminie nie może prowadzić do jego istotnej modyfikacji. Istotne modyfikacje rozumiane są  między innymi jako zmiany:</w:t>
            </w:r>
          </w:p>
          <w:p w:rsidR="002A7937" w:rsidRPr="00C85A88" w:rsidRDefault="002A7937" w:rsidP="002A7937">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2A7937" w:rsidRPr="00C85A88" w:rsidRDefault="002A7937" w:rsidP="002A7937">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2A7937" w:rsidRPr="00C85A88" w:rsidRDefault="002A7937" w:rsidP="002A7937">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2A7937" w:rsidRPr="00C85A88" w:rsidRDefault="002A7937" w:rsidP="002A7937">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2A7937" w:rsidRPr="00B27059" w:rsidRDefault="002A7937" w:rsidP="002A7937">
            <w:pPr>
              <w:autoSpaceDE w:val="0"/>
              <w:autoSpaceDN w:val="0"/>
              <w:adjustRightInd w:val="0"/>
              <w:spacing w:after="0" w:line="240" w:lineRule="auto"/>
              <w:jc w:val="both"/>
              <w:rPr>
                <w:rFonts w:cs="Times New Roman"/>
                <w:bCs/>
                <w:color w:val="000000"/>
              </w:rPr>
            </w:pPr>
          </w:p>
          <w:p w:rsidR="002A7937" w:rsidRPr="00B27059" w:rsidRDefault="002A7937" w:rsidP="002A7937">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 np.:</w:t>
            </w:r>
          </w:p>
          <w:p w:rsidR="002A7937" w:rsidRPr="00B27059" w:rsidRDefault="002A7937" w:rsidP="002A79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2A7937" w:rsidRPr="00B27059" w:rsidRDefault="002A7937" w:rsidP="002A79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2A7937" w:rsidRPr="00B27059" w:rsidRDefault="002A7937" w:rsidP="002A79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2A7937" w:rsidRPr="00B27059" w:rsidRDefault="002A7937" w:rsidP="002A79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p>
          <w:p w:rsidR="002A7937" w:rsidRPr="00B27059" w:rsidRDefault="002A7937" w:rsidP="002A79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2A7937" w:rsidRPr="00B27059" w:rsidRDefault="002A7937" w:rsidP="002A7937">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p>
          <w:p w:rsidR="002A7937" w:rsidRPr="00B27059" w:rsidRDefault="002A7937" w:rsidP="002A7937">
            <w:pPr>
              <w:autoSpaceDE w:val="0"/>
              <w:autoSpaceDN w:val="0"/>
              <w:adjustRightInd w:val="0"/>
              <w:spacing w:after="47" w:line="240" w:lineRule="auto"/>
              <w:jc w:val="both"/>
              <w:rPr>
                <w:rFonts w:cs="Times New Roman"/>
                <w:color w:val="000000"/>
              </w:rPr>
            </w:pPr>
            <w:r w:rsidRPr="00FA3376">
              <w:rPr>
                <w:rFonts w:cs="Times New Roman"/>
              </w:rPr>
              <w:t xml:space="preserve"> </w:t>
            </w: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2A7937" w:rsidRPr="00B27059" w:rsidRDefault="002A7937" w:rsidP="002A7937">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2A7937" w:rsidRPr="00B27059" w:rsidRDefault="002A7937" w:rsidP="002A7937">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2A7937" w:rsidRPr="00B27059" w:rsidRDefault="002A7937" w:rsidP="002A7937">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2A7937" w:rsidRDefault="002A7937" w:rsidP="002A7937">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9666C1" w:rsidRPr="00B27059" w:rsidRDefault="009666C1" w:rsidP="002A7937">
            <w:pPr>
              <w:spacing w:after="0" w:line="240" w:lineRule="auto"/>
              <w:jc w:val="both"/>
              <w:rPr>
                <w:rFonts w:cs="Arial"/>
              </w:rPr>
            </w:pPr>
          </w:p>
          <w:p w:rsidR="009666C1" w:rsidRDefault="002A7937" w:rsidP="002A7937">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w:t>
            </w:r>
          </w:p>
          <w:p w:rsidR="009666C1" w:rsidRDefault="009666C1" w:rsidP="002A7937">
            <w:pPr>
              <w:autoSpaceDE w:val="0"/>
              <w:autoSpaceDN w:val="0"/>
              <w:adjustRightInd w:val="0"/>
              <w:spacing w:after="47" w:line="240" w:lineRule="auto"/>
              <w:jc w:val="both"/>
              <w:rPr>
                <w:rFonts w:cs="Times New Roman"/>
                <w:color w:val="000000"/>
              </w:rPr>
            </w:pPr>
          </w:p>
          <w:p w:rsidR="002A7937" w:rsidRPr="00B27059" w:rsidRDefault="002A7937" w:rsidP="002A7937">
            <w:pPr>
              <w:autoSpaceDE w:val="0"/>
              <w:autoSpaceDN w:val="0"/>
              <w:adjustRightInd w:val="0"/>
              <w:spacing w:after="47" w:line="240" w:lineRule="auto"/>
              <w:jc w:val="both"/>
              <w:rPr>
                <w:rFonts w:cs="Times New Roman"/>
                <w:color w:val="000000"/>
              </w:rPr>
            </w:pPr>
            <w:r w:rsidRPr="00B27059">
              <w:rPr>
                <w:rFonts w:cs="Times New Roman"/>
                <w:color w:val="000000"/>
              </w:rPr>
              <w:lastRenderedPageBreak/>
              <w:t xml:space="preserve">kontynuowana. </w:t>
            </w:r>
          </w:p>
          <w:p w:rsidR="002A7937" w:rsidRPr="00B27059" w:rsidRDefault="002A7937" w:rsidP="002A7937">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2A7937" w:rsidRPr="00B27059" w:rsidRDefault="002A7937" w:rsidP="002A7937">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2A7937" w:rsidRPr="00B27059" w:rsidRDefault="002A7937" w:rsidP="002A7937">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27059">
              <w:rPr>
                <w:bCs/>
                <w:iCs/>
                <w:sz w:val="22"/>
                <w:szCs w:val="22"/>
              </w:rPr>
              <w:t>(skierowanych do KOP)</w:t>
            </w:r>
            <w:r w:rsidRPr="00B27059">
              <w:rPr>
                <w:rFonts w:asciiTheme="minorHAnsi" w:hAnsiTheme="minorHAnsi" w:cs="Times New Roman"/>
                <w:sz w:val="22"/>
                <w:szCs w:val="22"/>
              </w:rPr>
              <w:t xml:space="preserve">. </w:t>
            </w:r>
          </w:p>
          <w:p w:rsidR="002A7937" w:rsidRPr="00B27059" w:rsidRDefault="002A7937" w:rsidP="002A7937">
            <w:pPr>
              <w:spacing w:before="120" w:after="120" w:line="240" w:lineRule="auto"/>
              <w:jc w:val="both"/>
            </w:pPr>
            <w:r>
              <w:t>Informacje do Wnioskodawcy dotyczące poprawy/uzupełnienia wniosku/ informacje o negatywnym zakończeniu weryfikacji technicznej wniosku wraz z uzasadnieniem, doręczane są zgodnie z przepisami Kodeksu postępowania administracyjnego (KPA) o doręczaniu</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wniosku </w:t>
            </w:r>
            <w:r w:rsidRPr="00B27059">
              <w:rPr>
                <w:rFonts w:asciiTheme="minorHAnsi" w:hAnsiTheme="minorHAnsi"/>
                <w:b/>
                <w:bCs/>
                <w:sz w:val="22"/>
                <w:szCs w:val="22"/>
              </w:rPr>
              <w:br/>
              <w:t xml:space="preserve">o dofinansowanie projektu/zakres informacji: </w:t>
            </w:r>
          </w:p>
          <w:p w:rsidR="00984533" w:rsidRPr="00B27059" w:rsidRDefault="00984533" w:rsidP="00480411">
            <w:pPr>
              <w:pStyle w:val="Default"/>
              <w:rPr>
                <w:rFonts w:asciiTheme="minorHAnsi" w:hAnsiTheme="minorHAnsi"/>
                <w:b/>
                <w:bCs/>
                <w:sz w:val="22"/>
                <w:szCs w:val="22"/>
              </w:rPr>
            </w:pPr>
          </w:p>
        </w:tc>
        <w:tc>
          <w:tcPr>
            <w:tcW w:w="7494" w:type="dxa"/>
          </w:tcPr>
          <w:p w:rsidR="00636E59" w:rsidRPr="00E00844" w:rsidRDefault="00636E59" w:rsidP="00636E59">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5" w:history="1">
              <w:r w:rsidRPr="00E00844">
                <w:rPr>
                  <w:rStyle w:val="Hipercze"/>
                </w:rPr>
                <w:t>www.rpo.dolnyslask.pl</w:t>
              </w:r>
            </w:hyperlink>
            <w:r w:rsidRPr="00636E59">
              <w:rPr>
                <w:rStyle w:val="Hipercze"/>
                <w:u w:val="none"/>
              </w:rPr>
              <w:t xml:space="preserve">  </w:t>
            </w:r>
            <w:r w:rsidRPr="00636E59">
              <w:rPr>
                <w:rStyle w:val="Hipercze"/>
                <w:color w:val="auto"/>
                <w:u w:val="none"/>
              </w:rPr>
              <w:t>oraz</w:t>
            </w:r>
            <w:r w:rsidR="008F5891">
              <w:rPr>
                <w:rStyle w:val="Hipercze"/>
                <w:color w:val="auto"/>
                <w:u w:val="none"/>
              </w:rPr>
              <w:t xml:space="preserve"> </w:t>
            </w:r>
            <w:r w:rsidRPr="00636E59">
              <w:rPr>
                <w:rStyle w:val="Hipercze"/>
                <w:color w:val="auto"/>
                <w:u w:val="none"/>
              </w:rPr>
              <w:t xml:space="preserve">w </w:t>
            </w:r>
            <w:r w:rsidRPr="00E75697">
              <w:rPr>
                <w:rStyle w:val="Hipercze"/>
                <w:color w:val="auto"/>
                <w:u w:val="none"/>
              </w:rPr>
              <w:t>zakładce Skorzystaj/Jak zacząć korzystać z programu?/Wypełnienie wniosku</w:t>
            </w:r>
            <w:r w:rsidRPr="00E75697">
              <w:rPr>
                <w:rFonts w:cs="Arial"/>
              </w:rPr>
              <w:t xml:space="preserve">. </w:t>
            </w:r>
          </w:p>
          <w:p w:rsidR="00636E59" w:rsidRPr="00E00844" w:rsidRDefault="00636E59" w:rsidP="00636E59">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84533" w:rsidRPr="00B27059" w:rsidRDefault="00984533" w:rsidP="00480411">
            <w:pPr>
              <w:spacing w:before="120" w:after="120" w:line="240" w:lineRule="auto"/>
              <w:jc w:val="both"/>
            </w:pPr>
            <w:r w:rsidRPr="00B27059">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8D4AB9" w:rsidRPr="00B27059" w:rsidTr="006D7C1A">
        <w:tc>
          <w:tcPr>
            <w:tcW w:w="534" w:type="dxa"/>
          </w:tcPr>
          <w:p w:rsidR="008D4AB9" w:rsidRPr="00B27059" w:rsidRDefault="008D4AB9" w:rsidP="00480411">
            <w:pPr>
              <w:autoSpaceDE w:val="0"/>
              <w:autoSpaceDN w:val="0"/>
              <w:adjustRightInd w:val="0"/>
              <w:spacing w:after="0" w:line="240" w:lineRule="auto"/>
              <w:rPr>
                <w:rFonts w:cs="Calibri"/>
                <w:b/>
                <w:bCs/>
                <w:color w:val="000000"/>
              </w:rPr>
            </w:pPr>
            <w:r w:rsidRPr="00B27059">
              <w:rPr>
                <w:rFonts w:cs="Calibri"/>
                <w:b/>
                <w:bCs/>
                <w:color w:val="000000"/>
              </w:rPr>
              <w:t>18.</w:t>
            </w:r>
          </w:p>
        </w:tc>
        <w:tc>
          <w:tcPr>
            <w:tcW w:w="2268" w:type="dxa"/>
          </w:tcPr>
          <w:p w:rsidR="008D4AB9" w:rsidRPr="00B27059" w:rsidRDefault="008D4AB9" w:rsidP="00480411">
            <w:pPr>
              <w:pStyle w:val="Default"/>
              <w:rPr>
                <w:rFonts w:asciiTheme="minorHAnsi" w:hAnsiTheme="minorHAnsi"/>
                <w:sz w:val="22"/>
                <w:szCs w:val="22"/>
              </w:rPr>
            </w:pPr>
            <w:r w:rsidRPr="00B27059">
              <w:rPr>
                <w:rFonts w:asciiTheme="minorHAnsi" w:hAnsiTheme="minorHAnsi"/>
                <w:b/>
                <w:bCs/>
                <w:sz w:val="22"/>
                <w:szCs w:val="22"/>
              </w:rPr>
              <w:t>Wzór umowy</w:t>
            </w:r>
            <w:r>
              <w:rPr>
                <w:rFonts w:asciiTheme="minorHAnsi" w:hAnsiTheme="minorHAnsi"/>
                <w:b/>
                <w:bCs/>
                <w:sz w:val="22"/>
                <w:szCs w:val="22"/>
              </w:rPr>
              <w:t>/decyzji</w:t>
            </w:r>
            <w:r w:rsidRPr="00B27059">
              <w:rPr>
                <w:rFonts w:asciiTheme="minorHAnsi" w:hAnsiTheme="minorHAnsi"/>
                <w:b/>
                <w:bCs/>
                <w:sz w:val="22"/>
                <w:szCs w:val="22"/>
              </w:rPr>
              <w:t xml:space="preserve"> </w:t>
            </w:r>
            <w:r w:rsidRPr="00B27059">
              <w:rPr>
                <w:rFonts w:asciiTheme="minorHAnsi" w:hAnsiTheme="minorHAnsi"/>
                <w:b/>
                <w:bCs/>
                <w:sz w:val="22"/>
                <w:szCs w:val="22"/>
              </w:rPr>
              <w:br/>
              <w:t xml:space="preserve">o dofinansowanie projektu: </w:t>
            </w:r>
          </w:p>
          <w:p w:rsidR="008D4AB9" w:rsidRPr="00B27059" w:rsidRDefault="008D4AB9" w:rsidP="00480411">
            <w:pPr>
              <w:pStyle w:val="Default"/>
              <w:rPr>
                <w:rFonts w:asciiTheme="minorHAnsi" w:hAnsiTheme="minorHAnsi"/>
                <w:b/>
                <w:bCs/>
                <w:sz w:val="22"/>
                <w:szCs w:val="22"/>
              </w:rPr>
            </w:pPr>
          </w:p>
        </w:tc>
        <w:tc>
          <w:tcPr>
            <w:tcW w:w="7494" w:type="dxa"/>
          </w:tcPr>
          <w:p w:rsidR="008D4AB9" w:rsidRPr="008D4AB9" w:rsidRDefault="008D4AB9" w:rsidP="00C13975">
            <w:pPr>
              <w:autoSpaceDE w:val="0"/>
              <w:autoSpaceDN w:val="0"/>
              <w:adjustRightInd w:val="0"/>
              <w:spacing w:after="0" w:line="240" w:lineRule="auto"/>
              <w:jc w:val="both"/>
              <w:rPr>
                <w:rFonts w:cs="Calibri"/>
              </w:rPr>
            </w:pPr>
            <w:r w:rsidRPr="00E75697">
              <w:rPr>
                <w:rFonts w:cs="Calibri"/>
              </w:rPr>
              <w:t xml:space="preserve">Wzór umowy/decyzji o dofinansowanie projektu, która będzie zawierana </w:t>
            </w:r>
            <w:r w:rsidRPr="00E75697">
              <w:rPr>
                <w:rFonts w:cs="Calibri"/>
              </w:rPr>
              <w:br/>
              <w:t>z wnioskodawcami projektów wybranych do dofinansowania stanowi załącznik nr 2/3</w:t>
            </w:r>
            <w:r w:rsidRPr="008D4AB9">
              <w:rPr>
                <w:rFonts w:cs="Calibri"/>
              </w:rPr>
              <w:t xml:space="preserve"> do uchwały przyjmującej niniejszy Regulamin i jest zamieszczony na stronie </w:t>
            </w:r>
            <w:hyperlink r:id="rId16" w:history="1">
              <w:r w:rsidRPr="00D20412">
                <w:rPr>
                  <w:rStyle w:val="Hipercze"/>
                </w:rPr>
                <w:t>www.rpo.dolnyslask.pl</w:t>
              </w:r>
            </w:hyperlink>
            <w:r w:rsidRPr="00D20412">
              <w:t xml:space="preserve">.   </w:t>
            </w:r>
          </w:p>
          <w:p w:rsidR="008D4AB9" w:rsidRPr="008D4AB9" w:rsidRDefault="008D4AB9" w:rsidP="00C13975">
            <w:pPr>
              <w:autoSpaceDE w:val="0"/>
              <w:autoSpaceDN w:val="0"/>
              <w:adjustRightInd w:val="0"/>
              <w:spacing w:after="0" w:line="240" w:lineRule="auto"/>
              <w:jc w:val="both"/>
              <w:rPr>
                <w:rFonts w:cs="Calibri"/>
              </w:rPr>
            </w:pPr>
          </w:p>
          <w:p w:rsidR="008D4AB9" w:rsidRPr="008D4AB9" w:rsidRDefault="008D4AB9" w:rsidP="00E75697">
            <w:pPr>
              <w:autoSpaceDE w:val="0"/>
              <w:autoSpaceDN w:val="0"/>
              <w:adjustRightInd w:val="0"/>
              <w:spacing w:after="0" w:line="240" w:lineRule="auto"/>
              <w:jc w:val="both"/>
              <w:rPr>
                <w:rFonts w:cs="Calibri"/>
              </w:rPr>
            </w:pPr>
            <w:r w:rsidRPr="008D4AB9">
              <w:rPr>
                <w:rFonts w:cs="Calibri"/>
              </w:rPr>
              <w:t>Wzór umowy</w:t>
            </w:r>
            <w:r>
              <w:rPr>
                <w:rFonts w:cs="Calibri"/>
              </w:rPr>
              <w:t>/decyzji</w:t>
            </w:r>
            <w:r w:rsidRPr="008D4AB9">
              <w:rPr>
                <w:rFonts w:cs="Calibri"/>
              </w:rPr>
              <w:t xml:space="preserve"> zawiera wszystkie postanowienia wymagane przepisami prawa, w tym wynikające z przepisów ustawy o finansach publicznych, określające elementy umowy o dofinansowanie. </w:t>
            </w:r>
          </w:p>
          <w:p w:rsidR="008D4AB9" w:rsidRPr="008D4AB9" w:rsidRDefault="008D4AB9" w:rsidP="00E75697">
            <w:pPr>
              <w:pStyle w:val="Default"/>
              <w:jc w:val="both"/>
              <w:rPr>
                <w:rFonts w:asciiTheme="minorHAnsi" w:hAnsiTheme="minorHAnsi" w:cstheme="minorBidi"/>
                <w:color w:val="auto"/>
                <w:sz w:val="22"/>
                <w:szCs w:val="22"/>
              </w:rPr>
            </w:pPr>
            <w:r w:rsidRPr="008D4AB9">
              <w:rPr>
                <w:rFonts w:asciiTheme="minorHAnsi" w:hAnsiTheme="minorHAnsi" w:cstheme="minorBidi"/>
                <w:color w:val="auto"/>
                <w:sz w:val="22"/>
                <w:szCs w:val="22"/>
              </w:rPr>
              <w:t>Wzór umowy</w:t>
            </w:r>
            <w:r>
              <w:rPr>
                <w:rFonts w:asciiTheme="minorHAnsi" w:hAnsiTheme="minorHAnsi" w:cstheme="minorBidi"/>
                <w:color w:val="auto"/>
                <w:sz w:val="22"/>
                <w:szCs w:val="22"/>
              </w:rPr>
              <w:t>/decyzji</w:t>
            </w:r>
            <w:r w:rsidRPr="008D4AB9">
              <w:rPr>
                <w:rFonts w:asciiTheme="minorHAnsi" w:hAnsiTheme="minorHAnsi" w:cstheme="minorBidi"/>
                <w:color w:val="auto"/>
                <w:sz w:val="22"/>
                <w:szCs w:val="22"/>
              </w:rPr>
              <w:t xml:space="preserve"> uwzględnia prawa i obowiązki beneficjenta oraz właściwej instytucji udzielającej dofinansowania.</w:t>
            </w:r>
          </w:p>
          <w:p w:rsidR="008D4AB9" w:rsidRPr="008D4AB9" w:rsidRDefault="008D4AB9" w:rsidP="00E75697">
            <w:pPr>
              <w:pStyle w:val="Default"/>
              <w:jc w:val="both"/>
              <w:rPr>
                <w:rFonts w:asciiTheme="minorHAnsi" w:hAnsiTheme="minorHAnsi" w:cstheme="minorBidi"/>
                <w:color w:val="auto"/>
                <w:sz w:val="22"/>
                <w:szCs w:val="22"/>
              </w:rPr>
            </w:pPr>
          </w:p>
          <w:p w:rsidR="008D4AB9" w:rsidRPr="008D4AB9" w:rsidRDefault="008D4AB9" w:rsidP="00E75697">
            <w:pPr>
              <w:spacing w:line="240" w:lineRule="auto"/>
              <w:jc w:val="both"/>
            </w:pPr>
            <w:r w:rsidRPr="008D4AB9">
              <w:t>Warunki zawarcia umowy o dofinansowanie:</w:t>
            </w:r>
          </w:p>
          <w:p w:rsidR="008D4AB9" w:rsidRPr="008D4AB9" w:rsidRDefault="008D4AB9" w:rsidP="00E75697">
            <w:pPr>
              <w:jc w:val="both"/>
            </w:pPr>
            <w:r w:rsidRPr="008D4AB9">
              <w:t>1.</w:t>
            </w:r>
            <w:r w:rsidRPr="008D4AB9">
              <w:rPr>
                <w:sz w:val="14"/>
                <w:szCs w:val="14"/>
              </w:rPr>
              <w:t>     </w:t>
            </w:r>
            <w:r w:rsidRPr="008D4AB9">
              <w:t xml:space="preserve">Termin na złożenie kompletnych, poprawnych i prawomocnych (jeśli wymagane) załączników do umowy o dofinansowanie wynosi 60 dni od dnia doręczenia informacji o wyborze projektu do dofinansowania. </w:t>
            </w:r>
          </w:p>
          <w:p w:rsidR="008D4AB9" w:rsidRPr="008D4AB9" w:rsidRDefault="008D4AB9" w:rsidP="00E75697">
            <w:pPr>
              <w:pStyle w:val="Akapitzlist"/>
              <w:spacing w:line="240" w:lineRule="auto"/>
              <w:ind w:hanging="360"/>
              <w:jc w:val="both"/>
              <w:rPr>
                <w:rFonts w:asciiTheme="minorHAnsi" w:hAnsiTheme="minorHAnsi"/>
              </w:rPr>
            </w:pPr>
            <w:r w:rsidRPr="008D4AB9">
              <w:rPr>
                <w:rFonts w:asciiTheme="minorHAnsi" w:hAnsiTheme="minorHAnsi"/>
              </w:rPr>
              <w:t>2.</w:t>
            </w:r>
            <w:r w:rsidRPr="008D4AB9">
              <w:rPr>
                <w:rFonts w:asciiTheme="minorHAnsi" w:hAnsiTheme="minorHAnsi"/>
                <w:sz w:val="14"/>
                <w:szCs w:val="14"/>
              </w:rPr>
              <w:t>     </w:t>
            </w:r>
            <w:r w:rsidRPr="008D4AB9">
              <w:rPr>
                <w:rFonts w:asciiTheme="minorHAnsi" w:hAnsiTheme="minorHAnsi"/>
              </w:rPr>
              <w:t xml:space="preserve">W przypadku niedostarczenia dokumentów o których mowa w punkcie 1 we wskazanym terminie, IOK może odstąpić od podpisania umowy </w:t>
            </w:r>
            <w:r>
              <w:rPr>
                <w:rFonts w:asciiTheme="minorHAnsi" w:hAnsiTheme="minorHAnsi"/>
              </w:rPr>
              <w:br/>
            </w:r>
            <w:r w:rsidRPr="008D4AB9">
              <w:rPr>
                <w:rFonts w:asciiTheme="minorHAnsi" w:hAnsiTheme="minorHAnsi"/>
              </w:rPr>
              <w:t xml:space="preserve">o dofinansowanie. </w:t>
            </w:r>
          </w:p>
          <w:p w:rsidR="008D4AB9" w:rsidRPr="008D4AB9" w:rsidRDefault="008D4AB9" w:rsidP="00E75697">
            <w:pPr>
              <w:pStyle w:val="Akapitzlist"/>
              <w:spacing w:line="240" w:lineRule="auto"/>
              <w:ind w:hanging="360"/>
              <w:jc w:val="both"/>
              <w:rPr>
                <w:rFonts w:asciiTheme="minorHAnsi" w:hAnsiTheme="minorHAnsi"/>
              </w:rPr>
            </w:pPr>
            <w:r w:rsidRPr="008D4AB9">
              <w:rPr>
                <w:rFonts w:asciiTheme="minorHAnsi" w:hAnsiTheme="minorHAnsi"/>
              </w:rPr>
              <w:t>3.</w:t>
            </w:r>
            <w:r w:rsidRPr="008D4AB9">
              <w:rPr>
                <w:rFonts w:asciiTheme="minorHAnsi" w:hAnsiTheme="minorHAnsi"/>
                <w:sz w:val="14"/>
                <w:szCs w:val="14"/>
              </w:rPr>
              <w:t>     </w:t>
            </w:r>
            <w:r w:rsidRPr="008D4AB9">
              <w:rPr>
                <w:rFonts w:asciiTheme="minorHAnsi" w:hAnsiTheme="minorHAnsi"/>
              </w:rPr>
              <w:t>Decyzję o wydłużeniu terminu na złożenie dokumentów o których mowa w punkcie 1 może podjąć dla danego naboru Zarząd Województwa.</w:t>
            </w:r>
          </w:p>
          <w:p w:rsidR="008D4AB9" w:rsidRPr="008D4AB9" w:rsidRDefault="008D4AB9" w:rsidP="00C13975">
            <w:pPr>
              <w:pStyle w:val="Default"/>
              <w:jc w:val="both"/>
              <w:rPr>
                <w:rFonts w:asciiTheme="minorHAnsi" w:hAnsiTheme="minorHAnsi" w:cstheme="minorBidi"/>
                <w:color w:val="auto"/>
                <w:sz w:val="22"/>
                <w:szCs w:val="22"/>
              </w:rPr>
            </w:pPr>
          </w:p>
          <w:p w:rsidR="008D4AB9" w:rsidRPr="008D4AB9" w:rsidRDefault="008D4AB9" w:rsidP="00C13975">
            <w:pPr>
              <w:pStyle w:val="Default"/>
              <w:jc w:val="both"/>
              <w:rPr>
                <w:rFonts w:asciiTheme="minorHAnsi" w:hAnsiTheme="minorHAnsi"/>
                <w:color w:val="auto"/>
                <w:sz w:val="22"/>
                <w:szCs w:val="22"/>
              </w:rPr>
            </w:pPr>
            <w:r w:rsidRPr="008D4AB9">
              <w:rPr>
                <w:rFonts w:asciiTheme="minorHAnsi" w:hAnsiTheme="minorHAnsi"/>
                <w:color w:val="auto"/>
                <w:sz w:val="22"/>
                <w:szCs w:val="22"/>
              </w:rPr>
              <w:t>Instytucja Zarządzająca zastrzega sobie prawo zmiany wzoru umowy/decyzji.</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tcPr>
          <w:p w:rsidR="00984533" w:rsidRDefault="00984533" w:rsidP="008D4AB9">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 xml:space="preserve">załącznik nr </w:t>
            </w:r>
            <w:r w:rsidR="00AA219A" w:rsidRPr="00371EFF">
              <w:rPr>
                <w:rFonts w:asciiTheme="minorHAnsi" w:hAnsiTheme="minorHAnsi"/>
                <w:sz w:val="22"/>
                <w:szCs w:val="22"/>
              </w:rPr>
              <w:t>1</w:t>
            </w:r>
            <w:r w:rsidR="00AA219A" w:rsidRPr="00B27059">
              <w:rPr>
                <w:rFonts w:asciiTheme="minorHAnsi" w:hAnsiTheme="minorHAnsi"/>
                <w:sz w:val="22"/>
                <w:szCs w:val="22"/>
              </w:rPr>
              <w:t xml:space="preserve"> </w:t>
            </w:r>
            <w:r w:rsidRPr="00B27059">
              <w:rPr>
                <w:rFonts w:asciiTheme="minorHAnsi" w:hAnsiTheme="minorHAnsi"/>
                <w:sz w:val="22"/>
                <w:szCs w:val="22"/>
              </w:rPr>
              <w:t>do niniejszego Regulaminu.</w:t>
            </w:r>
          </w:p>
          <w:p w:rsidR="008D4AB9" w:rsidRDefault="008D4AB9" w:rsidP="008D4AB9">
            <w:pPr>
              <w:pStyle w:val="Default"/>
              <w:jc w:val="both"/>
              <w:rPr>
                <w:rFonts w:asciiTheme="minorHAnsi" w:hAnsiTheme="minorHAnsi"/>
                <w:sz w:val="22"/>
                <w:szCs w:val="22"/>
              </w:rPr>
            </w:pPr>
          </w:p>
          <w:p w:rsidR="00B445B8" w:rsidRPr="00B27059" w:rsidRDefault="00AE7177" w:rsidP="00E75697">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w:t>
            </w:r>
            <w:r w:rsidR="00984533" w:rsidRPr="00AE7177">
              <w:t xml:space="preserve">są zamieszczone na stronie </w:t>
            </w:r>
            <w:hyperlink r:id="rId17" w:history="1">
              <w:r w:rsidR="00984533" w:rsidRPr="00AE7177">
                <w:rPr>
                  <w:rStyle w:val="Hipercze"/>
                </w:rPr>
                <w:t>www.rpo.dolnyslask.pl</w:t>
              </w:r>
            </w:hyperlink>
            <w:r w:rsidR="00984533" w:rsidRPr="00AE7177">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480411">
            <w:pPr>
              <w:spacing w:before="240"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B27059" w:rsidRDefault="00984533" w:rsidP="00480411">
            <w:pPr>
              <w:spacing w:before="240" w:line="240" w:lineRule="auto"/>
              <w:jc w:val="both"/>
            </w:pPr>
            <w:r w:rsidRPr="00B27059">
              <w:t xml:space="preserve">Na stronie internetowej </w:t>
            </w:r>
            <w:hyperlink r:id="rId18"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p>
          <w:p w:rsidR="008505B1" w:rsidRPr="00B27059" w:rsidRDefault="008505B1" w:rsidP="00480411">
            <w:pPr>
              <w:spacing w:before="240" w:line="240" w:lineRule="auto"/>
              <w:jc w:val="both"/>
              <w:rPr>
                <w:rFonts w:cs="Calibri"/>
              </w:rPr>
            </w:pPr>
            <w:r w:rsidRPr="00B27059">
              <w:rPr>
                <w:rFonts w:cs="Calibri"/>
              </w:rPr>
              <w:t>Dokładny link:</w:t>
            </w:r>
          </w:p>
          <w:p w:rsidR="008505B1" w:rsidRPr="00B27059" w:rsidRDefault="00F86417" w:rsidP="00480411">
            <w:pPr>
              <w:spacing w:before="240" w:line="240" w:lineRule="auto"/>
              <w:jc w:val="both"/>
              <w:rPr>
                <w:rFonts w:cs="Calibri"/>
              </w:rPr>
            </w:pPr>
            <w:hyperlink r:id="rId19" w:anchor="more-3218" w:history="1">
              <w:r w:rsidR="008505B1" w:rsidRPr="00B27059">
                <w:rPr>
                  <w:rStyle w:val="Hipercze"/>
                  <w:rFonts w:cs="Calibri"/>
                </w:rPr>
                <w:t>http://rpo.dolnyslask.pl/analiza-finansowa-na-potrzeby-aplikacji-o-srodki-europejskiego-funduszu-rozwoju-regionalnego-w-ramach-rpo-wd-2014-2020-przyklady/#more-3218</w:t>
              </w:r>
            </w:hyperlink>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lastRenderedPageBreak/>
              <w:t>Wnioskodawca jest zobowiązany do wyboru i określenia wartości docelowej we wniosku o dofinansowanie adekwatnych wskaźników produktu/</w:t>
            </w:r>
            <w:r w:rsidR="00020C5D" w:rsidRPr="00B27059">
              <w:t>rezultatu.</w:t>
            </w:r>
            <w:r w:rsidRPr="00B27059">
              <w:t xml:space="preserve"> Zestawienie wskaźników stanowi </w:t>
            </w:r>
            <w:r w:rsidRPr="00164ABD">
              <w:t xml:space="preserve">załącznik nr </w:t>
            </w:r>
            <w:r w:rsidR="00AA219A" w:rsidRPr="00164ABD">
              <w:t xml:space="preserve">2 </w:t>
            </w:r>
            <w:r w:rsidRPr="00164ABD">
              <w:t>Lista wskaźników na poziomie projektu dla pod</w:t>
            </w:r>
            <w:r w:rsidR="009E0C22" w:rsidRPr="00164ABD">
              <w:t xml:space="preserve">działania </w:t>
            </w:r>
            <w:r w:rsidR="006A2DD1" w:rsidRPr="00164ABD">
              <w:t>4.</w:t>
            </w:r>
            <w:r w:rsidR="00136C31" w:rsidRPr="00164ABD">
              <w:t>5</w:t>
            </w:r>
            <w:r w:rsidR="00A61522" w:rsidRPr="00164ABD">
              <w:t xml:space="preserve">.1 </w:t>
            </w:r>
            <w:r w:rsidR="00136C31" w:rsidRPr="00164ABD">
              <w:rPr>
                <w:rFonts w:cs="Arial"/>
                <w:bCs/>
              </w:rPr>
              <w:t>Bezpieczeństwo</w:t>
            </w:r>
            <w:r w:rsidR="00AC0C48" w:rsidRPr="00B27059">
              <w:rPr>
                <w:rFonts w:cs="Arial"/>
              </w:rPr>
              <w:t xml:space="preserve"> – konkursy horyzontalne,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22.</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after="0" w:line="240" w:lineRule="auto"/>
              <w:jc w:val="both"/>
              <w:rPr>
                <w:rFonts w:ascii="Calibri" w:hAnsi="Calibri"/>
              </w:rPr>
            </w:pPr>
            <w:r w:rsidRPr="00B27059">
              <w:rPr>
                <w:rFonts w:ascii="Calibri" w:hAnsi="Calibri"/>
              </w:rPr>
              <w:t xml:space="preserve">IZ RPO WD, po zakończeniu każdego etapu konkursu (poza oceną wpływu projektów na realizację Strategii Rozwoju Województwa Dolnośląskiego 2020) </w:t>
            </w:r>
            <w:r w:rsidRPr="00B27059">
              <w:rPr>
                <w:rFonts w:ascii="Calibri" w:hAnsi="Calibri"/>
              </w:rPr>
              <w:br/>
              <w:t>i wyboru projektów, zamieszcza na swojej stronie internetowej listę projektów zakwalifikowanych do kolejnego etapu albo listę, o której mowa w art. 46 ust. 4 ustawy</w:t>
            </w:r>
            <w:r w:rsidR="00B468A0">
              <w:t xml:space="preserve"> wdrożeniowej,</w:t>
            </w:r>
            <w:r w:rsidRPr="00B27059">
              <w:rPr>
                <w:rFonts w:ascii="Calibri" w:hAnsi="Calibri"/>
              </w:rPr>
              <w:t xml:space="preserve">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B27059" w:rsidRDefault="00984533" w:rsidP="00480411">
            <w:pPr>
              <w:spacing w:after="0" w:line="240" w:lineRule="auto"/>
              <w:jc w:val="both"/>
              <w:rPr>
                <w:rFonts w:ascii="Calibri" w:hAnsi="Calibri"/>
              </w:rPr>
            </w:pPr>
            <w:r w:rsidRPr="00B27059">
              <w:rPr>
                <w:rFonts w:ascii="Calibri" w:hAnsi="Calibri"/>
              </w:rPr>
              <w:t>Po poszczególnych etapach oceny formalnej i</w:t>
            </w:r>
            <w:r w:rsidRPr="00B27059" w:rsidDel="00D37D97">
              <w:t xml:space="preserve"> </w:t>
            </w:r>
            <w:r w:rsidRPr="00B2705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w:t>
            </w:r>
            <w:r w:rsidR="00B468A0">
              <w:rPr>
                <w:rFonts w:ascii="Calibri" w:hAnsi="Calibri"/>
              </w:rPr>
              <w:t xml:space="preserve"> </w:t>
            </w:r>
            <w:r w:rsidR="00B468A0">
              <w:t>wdrożeniowej</w:t>
            </w:r>
            <w:r w:rsidRPr="00B27059">
              <w:rPr>
                <w:rFonts w:ascii="Calibri" w:hAnsi="Calibri"/>
              </w:rPr>
              <w:t>.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B27059">
              <w:t xml:space="preserve"> </w:t>
            </w:r>
            <w:r w:rsidRPr="00B27059">
              <w:rPr>
                <w:rFonts w:ascii="Calibri" w:hAnsi="Calibri"/>
              </w:rPr>
              <w:t>ustawy wdrożeniowej.</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D63A11" w:rsidRPr="00B27059" w:rsidRDefault="009C7DD5" w:rsidP="00D63A11">
            <w:pPr>
              <w:spacing w:after="0" w:line="240" w:lineRule="auto"/>
              <w:jc w:val="both"/>
              <w:rPr>
                <w:rFonts w:ascii="Calibri" w:hAnsi="Calibri"/>
              </w:rPr>
            </w:pPr>
            <w:r w:rsidRPr="00B27059">
              <w:rPr>
                <w:rFonts w:ascii="Calibri" w:hAnsi="Calibri"/>
              </w:rPr>
              <w:t xml:space="preserve">Zgodnie z art. 53 ust. 2 ustawy wdrożeniowej protest </w:t>
            </w:r>
            <w:r w:rsidR="00984533" w:rsidRPr="00B27059">
              <w:rPr>
                <w:rFonts w:ascii="Calibri" w:hAnsi="Calibri"/>
              </w:rPr>
              <w:t xml:space="preserve">przysługuje Wnioskodawcy od negatywnej oceny  projektu </w:t>
            </w:r>
            <w:r w:rsidR="00D63A11" w:rsidRPr="00B27059">
              <w:rPr>
                <w:rFonts w:ascii="Calibri" w:hAnsi="Calibri"/>
              </w:rPr>
              <w:t>w zakresie spełnienia przez projekt kryteriów wyboru projektów, w ramach której:</w:t>
            </w:r>
          </w:p>
          <w:p w:rsidR="00D63A11" w:rsidRPr="00B27059" w:rsidRDefault="00D63A11" w:rsidP="00D63A11">
            <w:pPr>
              <w:spacing w:after="0" w:line="240" w:lineRule="auto"/>
              <w:jc w:val="both"/>
              <w:rPr>
                <w:rFonts w:ascii="Calibri" w:hAnsi="Calibri"/>
              </w:rPr>
            </w:pPr>
            <w:r w:rsidRPr="00B27059">
              <w:rPr>
                <w:rFonts w:ascii="Calibri" w:hAnsi="Calibri"/>
              </w:rPr>
              <w:t>1.</w:t>
            </w:r>
            <w:r w:rsidRPr="00B27059">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B27059" w:rsidRDefault="00D63A11" w:rsidP="00D63A11">
            <w:pPr>
              <w:spacing w:after="0" w:line="240" w:lineRule="auto"/>
              <w:jc w:val="both"/>
              <w:rPr>
                <w:rFonts w:ascii="Calibri" w:hAnsi="Calibri"/>
              </w:rPr>
            </w:pPr>
            <w:r w:rsidRPr="00B27059">
              <w:rPr>
                <w:rFonts w:ascii="Calibri" w:hAnsi="Calibri"/>
              </w:rPr>
              <w:t>lub</w:t>
            </w:r>
          </w:p>
          <w:p w:rsidR="00D63A11" w:rsidRPr="00B27059" w:rsidRDefault="00D63A11" w:rsidP="00D63A11">
            <w:pPr>
              <w:spacing w:after="0" w:line="240" w:lineRule="auto"/>
              <w:jc w:val="both"/>
              <w:rPr>
                <w:rFonts w:ascii="Calibri" w:hAnsi="Calibri"/>
              </w:rPr>
            </w:pPr>
            <w:r w:rsidRPr="00B27059">
              <w:rPr>
                <w:rFonts w:ascii="Calibri" w:hAnsi="Calibri"/>
              </w:rPr>
              <w:t>2.</w:t>
            </w:r>
            <w:r w:rsidRPr="00B27059">
              <w:rPr>
                <w:rFonts w:ascii="Calibri" w:hAnsi="Calibri"/>
              </w:rPr>
              <w:tab/>
              <w:t xml:space="preserve">projekt uzyskał wymaganą liczbę punktów lub spełnił kryteria wyboru projektów, jednak kwota przeznaczona na dofinansowanie projektów </w:t>
            </w:r>
            <w:r w:rsidR="00C41509" w:rsidRPr="00B27059">
              <w:rPr>
                <w:rFonts w:ascii="Calibri" w:hAnsi="Calibri"/>
              </w:rPr>
              <w:br/>
            </w:r>
            <w:r w:rsidRPr="00B27059">
              <w:rPr>
                <w:rFonts w:ascii="Calibri" w:hAnsi="Calibri"/>
              </w:rPr>
              <w:t>w konkursie nie wystarcza na wybranie go do dofinansowania (z zastrzeżeniem zapisów art. 53 ust. 3 ustawy wdrożeniowej).</w:t>
            </w:r>
          </w:p>
          <w:p w:rsidR="00984533" w:rsidRPr="00B27059" w:rsidRDefault="00984533" w:rsidP="00D63A11">
            <w:pPr>
              <w:spacing w:after="0" w:line="240" w:lineRule="auto"/>
              <w:jc w:val="both"/>
              <w:rPr>
                <w:rFonts w:ascii="Calibri" w:hAnsi="Calibri"/>
              </w:rPr>
            </w:pPr>
            <w:r w:rsidRPr="00B27059">
              <w:rPr>
                <w:rFonts w:ascii="Calibri" w:hAnsi="Calibri"/>
              </w:rPr>
              <w:t xml:space="preserve">Termin </w:t>
            </w:r>
            <w:r w:rsidR="00B52DF1" w:rsidRPr="00B27059">
              <w:rPr>
                <w:rFonts w:ascii="Calibri" w:hAnsi="Calibri"/>
              </w:rPr>
              <w:t xml:space="preserve">14 dni </w:t>
            </w:r>
            <w:r w:rsidRPr="00B27059">
              <w:rPr>
                <w:rFonts w:ascii="Calibri" w:hAnsi="Calibri"/>
              </w:rPr>
              <w:t xml:space="preserve">na wniesienie przez Wnioskodawcę protestu (o którym mowa </w:t>
            </w:r>
            <w:r w:rsidR="00C41509" w:rsidRPr="00B27059">
              <w:rPr>
                <w:rFonts w:ascii="Calibri" w:hAnsi="Calibri"/>
              </w:rPr>
              <w:br/>
            </w:r>
            <w:r w:rsidRPr="00B27059">
              <w:rPr>
                <w:rFonts w:ascii="Calibri" w:hAnsi="Calibri"/>
              </w:rPr>
              <w:t>w art. 54 ust.1 ustawy</w:t>
            </w:r>
            <w:r w:rsidR="00B468A0">
              <w:t xml:space="preserve"> wdrożeniowej</w:t>
            </w:r>
            <w:r w:rsidRPr="00B27059">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B27059" w:rsidRDefault="00984533" w:rsidP="00480411">
            <w:pPr>
              <w:widowControl w:val="0"/>
              <w:autoSpaceDE w:val="0"/>
              <w:autoSpaceDN w:val="0"/>
              <w:adjustRightInd w:val="0"/>
              <w:spacing w:after="0" w:line="240" w:lineRule="auto"/>
              <w:jc w:val="both"/>
              <w:rPr>
                <w:rFonts w:ascii="Calibri" w:hAnsi="Calibri"/>
              </w:rPr>
            </w:pP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Protest jest wnoszony przez Wnioskodawcę w formie pisemnej, bezpośrednio do IZ RPO WD. Zgodnie z art. 54 ust. 2 ustawy wdrożeniowej, </w:t>
            </w:r>
            <w:r w:rsidRPr="00B27059">
              <w:rPr>
                <w:rFonts w:ascii="Calibri" w:hAnsi="Calibri" w:cs="Arial"/>
              </w:rPr>
              <w:t xml:space="preserve">protest zawiera: oznaczenie instytucji właściwej do rozpatrzenia protestu, oznaczenie </w:t>
            </w:r>
            <w:r w:rsidRPr="00B27059">
              <w:rPr>
                <w:rFonts w:ascii="Calibri" w:hAnsi="Calibri" w:cs="Arial"/>
              </w:rPr>
              <w:lastRenderedPageBreak/>
              <w:t xml:space="preserve">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2705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tabs>
                <w:tab w:val="num" w:pos="0"/>
              </w:tabs>
              <w:spacing w:after="0" w:line="240" w:lineRule="auto"/>
              <w:jc w:val="both"/>
              <w:rPr>
                <w:rFonts w:ascii="Calibri" w:hAnsi="Calibri" w:cs="Arial"/>
              </w:rPr>
            </w:pPr>
            <w:r w:rsidRPr="00B27059">
              <w:rPr>
                <w:rFonts w:ascii="Calibri" w:hAnsi="Calibri" w:cs="Arial"/>
              </w:rPr>
              <w:t xml:space="preserve">IZ RPO WD rozpatruje protest – weryfikując prawidłowość oceny projektu </w:t>
            </w:r>
            <w:r w:rsidRPr="00B2705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468A0">
              <w:rPr>
                <w:rFonts w:ascii="Calibri" w:hAnsi="Calibri" w:cs="Arial"/>
              </w:rPr>
              <w:t>a protestu może być przedłużony</w:t>
            </w:r>
            <w:r w:rsidRPr="00B27059">
              <w:rPr>
                <w:rFonts w:ascii="Calibri" w:hAnsi="Calibri" w:cs="Arial"/>
              </w:rPr>
              <w:t>. IZ RPO WD informuje pisemnie Wnioskodawcę o przedłużeniu terminu.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spacing w:after="0" w:line="240" w:lineRule="auto"/>
              <w:jc w:val="both"/>
              <w:rPr>
                <w:rFonts w:ascii="Calibri" w:hAnsi="Calibri"/>
              </w:rPr>
            </w:pPr>
            <w:r w:rsidRPr="00B2705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B27059" w:rsidRDefault="00984533" w:rsidP="00480411">
            <w:pPr>
              <w:spacing w:after="0" w:line="240" w:lineRule="auto"/>
              <w:jc w:val="both"/>
              <w:rPr>
                <w:rFonts w:ascii="Calibri" w:hAnsi="Calibri"/>
              </w:rPr>
            </w:pPr>
            <w:r w:rsidRPr="00B2705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B27059" w:rsidRDefault="00984533" w:rsidP="00480411">
            <w:pPr>
              <w:tabs>
                <w:tab w:val="num" w:pos="0"/>
              </w:tabs>
              <w:spacing w:after="0" w:line="240" w:lineRule="auto"/>
              <w:jc w:val="both"/>
              <w:rPr>
                <w:rFonts w:ascii="Calibri" w:hAnsi="Calibri" w:cs="Arial"/>
                <w:iCs/>
              </w:rPr>
            </w:pPr>
            <w:r w:rsidRPr="00B27059">
              <w:rPr>
                <w:rFonts w:ascii="Calibri" w:hAnsi="Calibri" w:cs="Arial"/>
                <w:iCs/>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Nie podlega rozpatrzeniu przez IZ RPO WD protest, jeżeli mimo prawidłowego pouczenia ww. środek odwoławczy został wniesiony przez Wnioskodawcę do IZ RPO WD:</w:t>
            </w:r>
          </w:p>
          <w:p w:rsidR="00984533" w:rsidRPr="00B27059" w:rsidRDefault="00984533" w:rsidP="00480411">
            <w:pPr>
              <w:spacing w:after="0" w:line="240" w:lineRule="auto"/>
              <w:jc w:val="both"/>
              <w:rPr>
                <w:rFonts w:ascii="Calibri" w:hAnsi="Calibri"/>
              </w:rPr>
            </w:pPr>
            <w:r w:rsidRPr="00B27059">
              <w:rPr>
                <w:rFonts w:ascii="Calibri" w:hAnsi="Calibri"/>
              </w:rPr>
              <w:t xml:space="preserve">- po terminie, </w:t>
            </w:r>
          </w:p>
          <w:p w:rsidR="00984533" w:rsidRPr="00B27059" w:rsidRDefault="00984533" w:rsidP="00480411">
            <w:pPr>
              <w:spacing w:after="0" w:line="240" w:lineRule="auto"/>
              <w:jc w:val="both"/>
              <w:rPr>
                <w:rFonts w:ascii="Calibri" w:hAnsi="Calibri"/>
              </w:rPr>
            </w:pPr>
            <w:r w:rsidRPr="00B27059">
              <w:rPr>
                <w:rFonts w:ascii="Calibri" w:hAnsi="Calibri"/>
              </w:rPr>
              <w:t xml:space="preserve">- przez podmiot wykluczony z możliwości otrzymania dofinansowania, </w:t>
            </w:r>
          </w:p>
          <w:p w:rsidR="00984533" w:rsidRPr="00B27059" w:rsidRDefault="00984533" w:rsidP="00480411">
            <w:pPr>
              <w:spacing w:after="0" w:line="240" w:lineRule="auto"/>
              <w:jc w:val="both"/>
              <w:rPr>
                <w:rFonts w:ascii="Calibri" w:hAnsi="Calibri"/>
              </w:rPr>
            </w:pPr>
            <w:r w:rsidRPr="00B27059">
              <w:rPr>
                <w:rFonts w:ascii="Calibri" w:hAnsi="Calibri"/>
              </w:rPr>
              <w:t>- bez wskazania kryteriów wyboru projektów, z których oceną Wnioskodawca się nie zgadza (wraz z uzasadnieniem).</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B27059" w:rsidRDefault="00984533" w:rsidP="00480411">
            <w:pPr>
              <w:spacing w:after="0" w:line="240" w:lineRule="auto"/>
              <w:jc w:val="both"/>
              <w:rPr>
                <w:rFonts w:ascii="Calibri" w:hAnsi="Calibri"/>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rPr>
              <w:t xml:space="preserve">W przypadku, gdy wniesiony protest nie zawiera: oznaczenia instytucji właściwej do rozpatrzenia protestu, oznaczenia Wnioskodawcy, numeru wniosku </w:t>
            </w:r>
            <w:r w:rsidRPr="00B27059">
              <w:rPr>
                <w:rFonts w:ascii="Calibri" w:eastAsia="Calibri" w:hAnsi="Calibri"/>
              </w:rPr>
              <w:br/>
              <w:t xml:space="preserve">o dofinansowanie lub podpisu Wnioskodawcy lub osoby upoważnionej do jego </w:t>
            </w:r>
            <w:r w:rsidRPr="00B27059">
              <w:rPr>
                <w:rFonts w:ascii="Calibri" w:eastAsia="Calibri" w:hAnsi="Calibri"/>
              </w:rPr>
              <w:lastRenderedPageBreak/>
              <w:t xml:space="preserve">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2705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B27059">
              <w:rPr>
                <w:rFonts w:ascii="Calibri" w:eastAsia="Calibri" w:hAnsi="Calibri" w:cs="Arial"/>
              </w:rPr>
              <w:br/>
              <w:t xml:space="preserve">W przypadku, gdy w odpowiedzi na wezwanie: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zawiera w dalszym ciągu uchybienia formalne i/lub zawiera oczywiste omyłki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i/lub,</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został wniesiony z uchybieniem 7-dniowego terminu, </w:t>
            </w:r>
            <w:r w:rsidRPr="00B27059">
              <w:rPr>
                <w:rFonts w:ascii="Calibri" w:eastAsia="Calibri" w:hAnsi="Calibri"/>
              </w:rPr>
              <w:t xml:space="preserve">licząc od dnia </w:t>
            </w:r>
            <w:r w:rsidRPr="00B27059">
              <w:rPr>
                <w:rFonts w:ascii="Calibri" w:eastAsia="Calibri" w:hAnsi="Calibri" w:cs="Arial"/>
              </w:rPr>
              <w:t xml:space="preserve">następnego po dniu otrzymania wezwania-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pozostawia środek odwoławczy bez rozpatrzenia.</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suppressAutoHyphens/>
              <w:spacing w:after="0" w:line="240" w:lineRule="auto"/>
              <w:jc w:val="both"/>
              <w:rPr>
                <w:rFonts w:ascii="Calibri" w:hAnsi="Calibri" w:cs="Arial"/>
              </w:rPr>
            </w:pPr>
            <w:r w:rsidRPr="00B2705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B468A0">
              <w:rPr>
                <w:rFonts w:ascii="Calibri" w:hAnsi="Calibri" w:cs="Arial"/>
              </w:rPr>
              <w:t xml:space="preserve"> </w:t>
            </w:r>
            <w:r w:rsidR="00B468A0">
              <w:t>wdrożeniowej</w:t>
            </w:r>
            <w:r w:rsidRPr="00B27059">
              <w:rPr>
                <w:rFonts w:ascii="Calibri" w:hAnsi="Calibri" w:cs="Arial"/>
              </w:rPr>
              <w:t>.</w:t>
            </w: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 do wniesienia skargi kasacyjnej do Naczelnego Sądu Administracyjnego od wyroku Wojewódzkiego Sądu Administracyjnego we Wrocławiu posiada Wnioskodawca, jak również IZ RPO WD.</w:t>
            </w:r>
          </w:p>
          <w:p w:rsidR="00984533" w:rsidRPr="00B27059" w:rsidRDefault="00984533" w:rsidP="00480411">
            <w:pPr>
              <w:tabs>
                <w:tab w:val="left" w:pos="993"/>
                <w:tab w:val="left" w:pos="1276"/>
              </w:tabs>
              <w:spacing w:after="0" w:line="240" w:lineRule="auto"/>
              <w:jc w:val="both"/>
              <w:rPr>
                <w:rFonts w:ascii="Calibri" w:hAnsi="Calibri" w:cs="Arial"/>
              </w:rPr>
            </w:pP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27059" w:rsidRDefault="00984533" w:rsidP="00480411">
            <w:pPr>
              <w:autoSpaceDE w:val="0"/>
              <w:autoSpaceDN w:val="0"/>
              <w:adjustRightInd w:val="0"/>
              <w:spacing w:after="0" w:line="240" w:lineRule="auto"/>
              <w:jc w:val="both"/>
            </w:pPr>
          </w:p>
        </w:tc>
      </w:tr>
      <w:tr w:rsidR="00C615E9" w:rsidRPr="00B27059" w:rsidTr="006D7C1A">
        <w:tc>
          <w:tcPr>
            <w:tcW w:w="534" w:type="dxa"/>
          </w:tcPr>
          <w:p w:rsidR="00C615E9" w:rsidRPr="00B27059" w:rsidRDefault="00C615E9"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23.</w:t>
            </w:r>
          </w:p>
        </w:tc>
        <w:tc>
          <w:tcPr>
            <w:tcW w:w="2268" w:type="dxa"/>
          </w:tcPr>
          <w:p w:rsidR="00C615E9" w:rsidRPr="00B27059" w:rsidRDefault="00C615E9"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C615E9" w:rsidRPr="00B27059" w:rsidRDefault="00C615E9" w:rsidP="00480411">
            <w:pPr>
              <w:pStyle w:val="Default"/>
              <w:rPr>
                <w:rFonts w:asciiTheme="minorHAnsi" w:hAnsiTheme="minorHAnsi"/>
                <w:b/>
                <w:bCs/>
                <w:sz w:val="22"/>
                <w:szCs w:val="22"/>
              </w:rPr>
            </w:pPr>
          </w:p>
        </w:tc>
        <w:tc>
          <w:tcPr>
            <w:tcW w:w="7494" w:type="dxa"/>
          </w:tcPr>
          <w:p w:rsidR="00C615E9" w:rsidRPr="003332E6" w:rsidRDefault="00C615E9" w:rsidP="002A7937">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C615E9" w:rsidRPr="003332E6" w:rsidRDefault="00C615E9" w:rsidP="002A7937">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0" w:history="1">
              <w:r w:rsidRPr="003332E6">
                <w:rPr>
                  <w:rStyle w:val="Hipercze"/>
                  <w:color w:val="auto"/>
                </w:rPr>
                <w:t>www.rpo.dolnyslask.pl</w:t>
              </w:r>
            </w:hyperlink>
            <w:r w:rsidRPr="003332E6">
              <w:t xml:space="preserve"> oraz na portalu Funduszy Europejskich: </w:t>
            </w:r>
            <w:hyperlink r:id="rId21"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C615E9" w:rsidRPr="003332E6" w:rsidRDefault="00C615E9" w:rsidP="002A7937">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C615E9" w:rsidRPr="003332E6" w:rsidRDefault="00C615E9" w:rsidP="002A7937">
            <w:pPr>
              <w:pStyle w:val="Default"/>
              <w:spacing w:line="276" w:lineRule="auto"/>
              <w:jc w:val="both"/>
              <w:rPr>
                <w:rFonts w:asciiTheme="minorHAnsi" w:hAnsiTheme="minorHAnsi"/>
                <w:color w:val="auto"/>
                <w:sz w:val="22"/>
                <w:szCs w:val="22"/>
              </w:rPr>
            </w:pPr>
          </w:p>
          <w:p w:rsidR="00C615E9" w:rsidRPr="003332E6" w:rsidRDefault="00C615E9" w:rsidP="002A7937">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C615E9" w:rsidRPr="003332E6" w:rsidRDefault="00C615E9" w:rsidP="002A7937">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C615E9" w:rsidRPr="003332E6" w:rsidRDefault="00C615E9" w:rsidP="002A7937">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C615E9" w:rsidRPr="003332E6" w:rsidRDefault="00C615E9" w:rsidP="002A7937">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2" w:history="1">
              <w:r w:rsidRPr="00B27059">
                <w:rPr>
                  <w:rStyle w:val="Hipercze"/>
                  <w:b/>
                </w:rPr>
                <w:t>pife@dolnyslask.pl</w:t>
              </w:r>
            </w:hyperlink>
          </w:p>
          <w:p w:rsidR="002779AA" w:rsidRPr="00B27059" w:rsidRDefault="00F86417" w:rsidP="002779AA">
            <w:pPr>
              <w:spacing w:before="120" w:after="120" w:line="240" w:lineRule="auto"/>
              <w:jc w:val="center"/>
              <w:rPr>
                <w:b/>
              </w:rPr>
            </w:pPr>
            <w:hyperlink r:id="rId23" w:history="1">
              <w:r w:rsidR="002779AA" w:rsidRPr="00B27059">
                <w:rPr>
                  <w:rStyle w:val="Hipercze"/>
                  <w:b/>
                </w:rPr>
                <w:t>pife.jeleniagora@dolnyslask.pl</w:t>
              </w:r>
            </w:hyperlink>
          </w:p>
          <w:p w:rsidR="002779AA" w:rsidRPr="00B27059" w:rsidRDefault="00F86417" w:rsidP="002779AA">
            <w:pPr>
              <w:spacing w:before="120" w:after="120" w:line="240" w:lineRule="auto"/>
              <w:jc w:val="center"/>
              <w:rPr>
                <w:b/>
              </w:rPr>
            </w:pPr>
            <w:hyperlink r:id="rId24" w:history="1">
              <w:r w:rsidR="002779AA" w:rsidRPr="00B27059">
                <w:rPr>
                  <w:rStyle w:val="Hipercze"/>
                  <w:b/>
                </w:rPr>
                <w:t>pife.legnica@dolnyslask.pl</w:t>
              </w:r>
            </w:hyperlink>
          </w:p>
          <w:p w:rsidR="00984533" w:rsidRPr="00B27059" w:rsidRDefault="00F86417" w:rsidP="002779AA">
            <w:pPr>
              <w:spacing w:before="120" w:after="120" w:line="240" w:lineRule="auto"/>
              <w:jc w:val="center"/>
              <w:rPr>
                <w:b/>
              </w:rPr>
            </w:pPr>
            <w:hyperlink r:id="rId25" w:history="1">
              <w:r w:rsidR="002779AA" w:rsidRPr="00B27059">
                <w:rPr>
                  <w:rStyle w:val="Hipercze"/>
                  <w:b/>
                </w:rPr>
                <w:t>pife.walbrzych@dolnyslask.pl</w:t>
              </w:r>
            </w:hyperlink>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6"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w:t>
            </w:r>
            <w:r w:rsidRPr="00B27059">
              <w:rPr>
                <w:rFonts w:cs="Calibri"/>
              </w:rPr>
              <w:lastRenderedPageBreak/>
              <w:t xml:space="preserve">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0C3AAB">
            <w:pPr>
              <w:pStyle w:val="Default"/>
            </w:pPr>
            <w:r w:rsidRPr="00B27059">
              <w:rPr>
                <w:rFonts w:asciiTheme="minorHAnsi" w:hAnsiTheme="minorHAnsi"/>
                <w:sz w:val="22"/>
                <w:szCs w:val="22"/>
              </w:rPr>
              <w:t xml:space="preserve">Orientacyjny termin rozstrzygnięcia konkursu to </w:t>
            </w:r>
            <w:r w:rsidR="000C3AAB">
              <w:rPr>
                <w:rFonts w:asciiTheme="minorHAnsi" w:hAnsiTheme="minorHAnsi"/>
                <w:sz w:val="22"/>
                <w:szCs w:val="22"/>
              </w:rPr>
              <w:t>maj</w:t>
            </w:r>
            <w:r w:rsidR="00AF1CB5">
              <w:rPr>
                <w:rFonts w:asciiTheme="minorHAnsi" w:hAnsiTheme="minorHAnsi"/>
                <w:sz w:val="22"/>
                <w:szCs w:val="22"/>
              </w:rPr>
              <w:t xml:space="preserve"> 201</w:t>
            </w:r>
            <w:r w:rsidR="00AA649A">
              <w:rPr>
                <w:rFonts w:asciiTheme="minorHAnsi" w:hAnsiTheme="minorHAnsi"/>
                <w:sz w:val="22"/>
                <w:szCs w:val="22"/>
              </w:rPr>
              <w:t>7</w:t>
            </w:r>
            <w:r w:rsidR="00AF1CB5">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28"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A0630" w:rsidP="00480411">
            <w:pPr>
              <w:autoSpaceDE w:val="0"/>
              <w:autoSpaceDN w:val="0"/>
              <w:adjustRightInd w:val="0"/>
              <w:spacing w:after="0" w:line="240" w:lineRule="auto"/>
              <w:jc w:val="both"/>
              <w:rPr>
                <w:color w:val="000000"/>
              </w:rPr>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Kwalifikowalność wydatków: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DB783D" w:rsidRPr="00DC123A" w:rsidRDefault="00DB783D" w:rsidP="00DB783D">
            <w:pPr>
              <w:spacing w:after="0" w:line="240" w:lineRule="auto"/>
              <w:jc w:val="both"/>
              <w:rPr>
                <w:color w:val="000000"/>
              </w:rPr>
            </w:pPr>
            <w:r w:rsidRPr="00DC123A">
              <w:rPr>
                <w:color w:val="000000"/>
              </w:rPr>
              <w:t>Najpóźniejszy termin złożenia ostatniego wniosku o płatność:</w:t>
            </w:r>
          </w:p>
          <w:p w:rsidR="00DB783D" w:rsidRPr="00DC123A" w:rsidRDefault="00AA649A" w:rsidP="00316132">
            <w:pPr>
              <w:pStyle w:val="Akapitzlist"/>
              <w:numPr>
                <w:ilvl w:val="1"/>
                <w:numId w:val="7"/>
              </w:numPr>
              <w:spacing w:line="240" w:lineRule="auto"/>
              <w:jc w:val="both"/>
              <w:rPr>
                <w:rFonts w:asciiTheme="minorHAnsi" w:hAnsiTheme="minorHAnsi"/>
                <w:color w:val="000000"/>
                <w:szCs w:val="22"/>
              </w:rPr>
            </w:pPr>
            <w:r>
              <w:rPr>
                <w:rFonts w:asciiTheme="minorHAnsi" w:hAnsiTheme="minorHAnsi"/>
                <w:color w:val="000000"/>
                <w:szCs w:val="22"/>
              </w:rPr>
              <w:t>A i B</w:t>
            </w:r>
            <w:r w:rsidR="00DB783D" w:rsidRPr="00DC123A">
              <w:rPr>
                <w:rFonts w:asciiTheme="minorHAnsi" w:hAnsiTheme="minorHAnsi"/>
                <w:color w:val="000000"/>
                <w:szCs w:val="22"/>
              </w:rPr>
              <w:t xml:space="preserve">: </w:t>
            </w:r>
            <w:r w:rsidR="00DB783D">
              <w:rPr>
                <w:rFonts w:asciiTheme="minorHAnsi" w:hAnsiTheme="minorHAnsi"/>
                <w:color w:val="000000"/>
                <w:szCs w:val="22"/>
              </w:rPr>
              <w:t>1.</w:t>
            </w:r>
            <w:r w:rsidR="00DB783D" w:rsidRPr="00DC123A">
              <w:rPr>
                <w:rFonts w:asciiTheme="minorHAnsi" w:hAnsiTheme="minorHAnsi"/>
                <w:color w:val="000000"/>
                <w:szCs w:val="22"/>
              </w:rPr>
              <w:t>12.201</w:t>
            </w:r>
            <w:r>
              <w:rPr>
                <w:rFonts w:asciiTheme="minorHAnsi" w:hAnsiTheme="minorHAnsi"/>
                <w:color w:val="000000"/>
                <w:szCs w:val="22"/>
              </w:rPr>
              <w:t>9</w:t>
            </w:r>
            <w:r w:rsidR="00DB783D" w:rsidRPr="00DC123A">
              <w:rPr>
                <w:rFonts w:asciiTheme="minorHAnsi" w:hAnsiTheme="minorHAnsi"/>
                <w:color w:val="000000"/>
                <w:szCs w:val="22"/>
              </w:rPr>
              <w:t xml:space="preserve"> 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w:t>
            </w:r>
            <w:r w:rsidR="00C9294F">
              <w:rPr>
                <w:rFonts w:asciiTheme="minorHAnsi" w:hAnsiTheme="minorHAnsi"/>
                <w:sz w:val="22"/>
                <w:szCs w:val="22"/>
              </w:rPr>
              <w:t>wdrożeniowej.</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0C3AAB" w:rsidRPr="00B27059" w:rsidTr="006D7C1A">
        <w:tc>
          <w:tcPr>
            <w:tcW w:w="534" w:type="dxa"/>
          </w:tcPr>
          <w:p w:rsidR="000C3AAB" w:rsidRPr="00B27059" w:rsidRDefault="000C3AAB"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30.</w:t>
            </w:r>
          </w:p>
        </w:tc>
        <w:tc>
          <w:tcPr>
            <w:tcW w:w="2268" w:type="dxa"/>
          </w:tcPr>
          <w:p w:rsidR="000C3AAB" w:rsidRPr="00B27059" w:rsidRDefault="000C3AAB"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0C3AAB" w:rsidRPr="00785BEF" w:rsidRDefault="000C3AAB" w:rsidP="002A7937">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0C3AAB" w:rsidRPr="00785BEF" w:rsidRDefault="000C3AAB" w:rsidP="002A7937">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w:t>
            </w:r>
            <w:r w:rsidRPr="00785BEF">
              <w:rPr>
                <w:rFonts w:cs="Arial"/>
              </w:rPr>
              <w:lastRenderedPageBreak/>
              <w:t xml:space="preserve">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w:t>
            </w:r>
            <w:r>
              <w:rPr>
                <w:rFonts w:cs="Arial"/>
              </w:rPr>
              <w:br/>
            </w:r>
            <w:r w:rsidRPr="00785BEF">
              <w:rPr>
                <w:rFonts w:cs="Arial"/>
              </w:rPr>
              <w:t xml:space="preserve">z partnerów. </w:t>
            </w:r>
          </w:p>
          <w:p w:rsidR="000C3AAB" w:rsidRPr="00785BEF" w:rsidRDefault="000C3AAB" w:rsidP="002A7937">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0C3AAB" w:rsidRPr="003332E6" w:rsidRDefault="000C3AAB" w:rsidP="002A7937">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w:t>
            </w:r>
            <w:r>
              <w:rPr>
                <w:rFonts w:asciiTheme="minorHAnsi" w:hAnsiTheme="minorHAnsi" w:cs="Arial"/>
                <w:sz w:val="22"/>
                <w:szCs w:val="22"/>
              </w:rPr>
              <w:br/>
            </w:r>
            <w:r w:rsidRPr="00785BEF">
              <w:rPr>
                <w:rFonts w:asciiTheme="minorHAnsi" w:hAnsiTheme="minorHAnsi" w:cs="Arial"/>
                <w:sz w:val="22"/>
                <w:szCs w:val="22"/>
              </w:rPr>
              <w:t xml:space="preserve">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474642" w:rsidRPr="00B27059" w:rsidTr="002A7937">
        <w:tc>
          <w:tcPr>
            <w:tcW w:w="534" w:type="dxa"/>
          </w:tcPr>
          <w:p w:rsidR="00474642" w:rsidRPr="003E6EFC" w:rsidRDefault="00474642" w:rsidP="00480411">
            <w:pPr>
              <w:autoSpaceDE w:val="0"/>
              <w:autoSpaceDN w:val="0"/>
              <w:adjustRightInd w:val="0"/>
              <w:spacing w:after="0" w:line="240" w:lineRule="auto"/>
              <w:rPr>
                <w:rFonts w:cs="Calibri"/>
                <w:b/>
                <w:bCs/>
                <w:color w:val="000000"/>
              </w:rPr>
            </w:pPr>
            <w:r w:rsidRPr="003E6EFC">
              <w:rPr>
                <w:rFonts w:cs="Calibri"/>
                <w:b/>
                <w:bCs/>
                <w:color w:val="000000"/>
              </w:rPr>
              <w:lastRenderedPageBreak/>
              <w:t>31</w:t>
            </w:r>
          </w:p>
        </w:tc>
        <w:tc>
          <w:tcPr>
            <w:tcW w:w="2268" w:type="dxa"/>
          </w:tcPr>
          <w:p w:rsidR="00474642" w:rsidRPr="003E6EFC" w:rsidRDefault="00474642" w:rsidP="00480411">
            <w:pPr>
              <w:pStyle w:val="Default"/>
              <w:rPr>
                <w:rFonts w:asciiTheme="minorHAnsi" w:hAnsiTheme="minorHAnsi"/>
                <w:b/>
                <w:sz w:val="22"/>
                <w:szCs w:val="22"/>
              </w:rPr>
            </w:pPr>
            <w:r w:rsidRPr="003E6EFC">
              <w:rPr>
                <w:rFonts w:asciiTheme="minorHAnsi" w:hAnsiTheme="minorHAnsi"/>
                <w:b/>
                <w:sz w:val="22"/>
                <w:szCs w:val="22"/>
              </w:rPr>
              <w:t>Polityka ochrony środowiska</w:t>
            </w:r>
          </w:p>
        </w:tc>
        <w:tc>
          <w:tcPr>
            <w:tcW w:w="7494" w:type="dxa"/>
          </w:tcPr>
          <w:p w:rsidR="00474642" w:rsidRPr="00BC7561" w:rsidRDefault="00474642" w:rsidP="002A7937">
            <w:pPr>
              <w:spacing w:after="120"/>
              <w:jc w:val="both"/>
              <w:rPr>
                <w:u w:val="single"/>
              </w:rPr>
            </w:pPr>
            <w:r w:rsidRPr="00BC7561">
              <w:rPr>
                <w:u w:val="single"/>
              </w:rPr>
              <w:t>Do wniosku o dofinansowanie realizacji Projektu należy dołączyć:</w:t>
            </w:r>
          </w:p>
          <w:p w:rsidR="00474642" w:rsidRPr="00BC7561" w:rsidRDefault="00474642" w:rsidP="00474642">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474642" w:rsidRDefault="00474642" w:rsidP="00474642">
            <w:pPr>
              <w:spacing w:after="120" w:line="240" w:lineRule="auto"/>
              <w:jc w:val="both"/>
            </w:pPr>
          </w:p>
          <w:p w:rsidR="00474642" w:rsidRPr="00BC7561" w:rsidRDefault="00474642" w:rsidP="002A7937">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474642" w:rsidRPr="00BC7561" w:rsidRDefault="00474642" w:rsidP="00474642">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w:t>
            </w:r>
            <w:r>
              <w:br/>
            </w:r>
            <w:r w:rsidRPr="00BC7561">
              <w:t xml:space="preserve">z krajowych lub regionalnych programów operacyjnych zamieszczonych na stronie: </w:t>
            </w:r>
            <w:hyperlink r:id="rId29" w:history="1">
              <w:r w:rsidRPr="00BC7561">
                <w:rPr>
                  <w:rStyle w:val="Hipercze"/>
                </w:rPr>
                <w:t>www.funduszeeuropejskie.gov.pl</w:t>
              </w:r>
            </w:hyperlink>
            <w:r w:rsidRPr="00BC7561">
              <w:t>.</w:t>
            </w:r>
          </w:p>
          <w:p w:rsidR="00474642" w:rsidRDefault="00474642" w:rsidP="002A7937">
            <w:pPr>
              <w:spacing w:after="120"/>
              <w:jc w:val="both"/>
            </w:pPr>
            <w:r w:rsidRPr="00BC7561">
              <w:lastRenderedPageBreak/>
              <w:t>Ponadto w przypadku inwestycji o charakterze nieinfrastrukturalnym np. zakup sprzętu, urządzeń, lub tzw. projektów „miękkich” np. szkolenia, kampania edukacyjna, dołączenie załącznika nie jest konieczne.</w:t>
            </w:r>
          </w:p>
          <w:p w:rsidR="00474642" w:rsidRDefault="00474642" w:rsidP="00474642">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474642" w:rsidRPr="00BF5793" w:rsidRDefault="00474642" w:rsidP="002A7937">
            <w:pPr>
              <w:pStyle w:val="Akapitzlist"/>
              <w:autoSpaceDE w:val="0"/>
              <w:autoSpaceDN w:val="0"/>
              <w:adjustRightInd w:val="0"/>
              <w:spacing w:before="0" w:line="276" w:lineRule="auto"/>
              <w:ind w:left="360"/>
              <w:contextualSpacing/>
              <w:jc w:val="both"/>
              <w:rPr>
                <w:rFonts w:asciiTheme="minorHAnsi" w:hAnsiTheme="minorHAnsi"/>
              </w:rPr>
            </w:pPr>
          </w:p>
          <w:p w:rsidR="00474642" w:rsidRPr="00BC7561" w:rsidRDefault="00474642" w:rsidP="002A7937">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474642" w:rsidRPr="00BC7561" w:rsidRDefault="00474642" w:rsidP="002A7937">
            <w:pPr>
              <w:spacing w:after="120"/>
              <w:jc w:val="both"/>
            </w:pPr>
            <w:r w:rsidRPr="00BC7561">
              <w:t>W przypadku inwestycji o charakterze nieinfrastrukturalnym np. zakup sprzętu, urządzeń, lub tzw. projektów „miękkich” np. szkolenia, kampania edukacyjna, dołączenie załącznika nie jest konieczne.</w:t>
            </w:r>
          </w:p>
          <w:p w:rsidR="00474642" w:rsidRPr="00BC7561" w:rsidRDefault="00474642" w:rsidP="002A7937">
            <w:pPr>
              <w:ind w:left="360"/>
              <w:rPr>
                <w:sz w:val="2"/>
                <w:szCs w:val="2"/>
              </w:rPr>
            </w:pPr>
          </w:p>
          <w:p w:rsidR="00474642" w:rsidRDefault="00474642" w:rsidP="00474642">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474642" w:rsidRPr="00895B1A" w:rsidRDefault="00474642" w:rsidP="002A7937">
            <w:pPr>
              <w:autoSpaceDE w:val="0"/>
              <w:autoSpaceDN w:val="0"/>
              <w:adjustRightInd w:val="0"/>
              <w:contextualSpacing/>
              <w:jc w:val="both"/>
            </w:pPr>
            <w:r w:rsidRPr="00895B1A">
              <w:t xml:space="preserve"> </w:t>
            </w:r>
          </w:p>
          <w:p w:rsidR="00474642" w:rsidRPr="00BC7561" w:rsidRDefault="00474642" w:rsidP="002A7937">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474642" w:rsidRDefault="00474642" w:rsidP="002A7937">
            <w:pPr>
              <w:jc w:val="both"/>
            </w:pPr>
            <w:r w:rsidRPr="00BC7561">
              <w:t xml:space="preserve">W przypadku inwestycji o charakterze nieinfrastrukturalnym np. zakup sprzętu, urządzeń, lub tzw. projektów „miękkich” np. szkolenia, kampania edukacyjna, </w:t>
            </w:r>
            <w:r w:rsidRPr="00BC7561">
              <w:lastRenderedPageBreak/>
              <w:t>dołączenie załącznika nie jest konieczne.</w:t>
            </w:r>
          </w:p>
          <w:p w:rsidR="00474642" w:rsidRPr="00BF5793" w:rsidRDefault="00474642" w:rsidP="002A7937">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474642" w:rsidRPr="00BF5793" w:rsidRDefault="00474642" w:rsidP="002A7937">
            <w:pPr>
              <w:spacing w:after="160"/>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474642" w:rsidRPr="003332E6" w:rsidRDefault="00474642" w:rsidP="002A7937">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3344EC" w:rsidRPr="00B27059" w:rsidTr="006D7C1A">
        <w:tc>
          <w:tcPr>
            <w:tcW w:w="534" w:type="dxa"/>
          </w:tcPr>
          <w:p w:rsidR="003344EC" w:rsidRPr="00B27059" w:rsidRDefault="003344EC"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32.</w:t>
            </w:r>
          </w:p>
        </w:tc>
        <w:tc>
          <w:tcPr>
            <w:tcW w:w="2268" w:type="dxa"/>
          </w:tcPr>
          <w:p w:rsidR="003344EC" w:rsidRPr="00B27059" w:rsidRDefault="003344EC"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tcPr>
          <w:p w:rsidR="003344EC" w:rsidRPr="003332E6" w:rsidRDefault="003344EC" w:rsidP="002A7937">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3344EC" w:rsidRPr="003332E6" w:rsidRDefault="003344EC" w:rsidP="002A7937">
            <w:pPr>
              <w:autoSpaceDE w:val="0"/>
              <w:autoSpaceDN w:val="0"/>
              <w:adjustRightInd w:val="0"/>
              <w:spacing w:before="120" w:after="120"/>
              <w:jc w:val="both"/>
            </w:pPr>
            <w:r w:rsidRPr="003332E6">
              <w:t>Partnerem w projekcie może być tylko podmiot wymieniony w katalogu beneficjentów obowiązującym dla danego naboru.</w:t>
            </w:r>
          </w:p>
          <w:p w:rsidR="003344EC" w:rsidRPr="003332E6" w:rsidRDefault="003344EC" w:rsidP="002A7937">
            <w:pPr>
              <w:autoSpaceDE w:val="0"/>
              <w:autoSpaceDN w:val="0"/>
              <w:adjustRightInd w:val="0"/>
              <w:spacing w:before="120" w:after="120"/>
              <w:jc w:val="both"/>
            </w:pPr>
            <w:r w:rsidRPr="003332E6">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3344EC" w:rsidRPr="003332E6" w:rsidRDefault="003344EC" w:rsidP="002A7937">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3344EC" w:rsidRPr="003332E6" w:rsidRDefault="003344EC" w:rsidP="002A7937">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344EC" w:rsidRPr="003332E6" w:rsidRDefault="003344EC" w:rsidP="002A7937">
            <w:pPr>
              <w:spacing w:before="120" w:after="120"/>
              <w:jc w:val="both"/>
            </w:pPr>
            <w:r w:rsidRPr="003332E6">
              <w:lastRenderedPageBreak/>
              <w:t>Utworzenie lub zainicjowanie partnerstwa musi nastąpić przed złożeniem wniosku o dofinansowanie.</w:t>
            </w:r>
          </w:p>
          <w:p w:rsidR="003344EC" w:rsidRPr="003332E6" w:rsidRDefault="003344EC" w:rsidP="002A7937">
            <w:pPr>
              <w:spacing w:before="120" w:after="120"/>
              <w:jc w:val="both"/>
            </w:pPr>
            <w:r w:rsidRPr="003332E6">
              <w:t>Stroną porozumienia oraz umowy o partnerstwie nie może być podmiot wykluczony z możliwości otrzymania dofinansowania.</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1) przedmiot porozumienia albo umowy;</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2) prawa i obowiązki stron;</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3344EC" w:rsidRPr="003332E6" w:rsidRDefault="003344EC" w:rsidP="002A7937">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3344EC" w:rsidRPr="003332E6" w:rsidRDefault="003344EC" w:rsidP="002A7937">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3344EC" w:rsidRPr="003332E6" w:rsidRDefault="003344EC" w:rsidP="002A7937">
            <w:pPr>
              <w:spacing w:after="0"/>
              <w:jc w:val="both"/>
              <w:rPr>
                <w:rFonts w:cs="TimesNewRomanPSMT"/>
              </w:rPr>
            </w:pPr>
          </w:p>
          <w:p w:rsidR="003344EC" w:rsidRPr="003332E6" w:rsidRDefault="003344EC" w:rsidP="002A7937">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3344EC" w:rsidRPr="003332E6" w:rsidRDefault="003344EC" w:rsidP="002A7937">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3344EC" w:rsidRPr="003332E6" w:rsidRDefault="003344EC" w:rsidP="002A7937">
            <w:pPr>
              <w:autoSpaceDE w:val="0"/>
              <w:autoSpaceDN w:val="0"/>
              <w:adjustRightInd w:val="0"/>
              <w:spacing w:before="120" w:after="120"/>
              <w:jc w:val="both"/>
            </w:pPr>
            <w:r w:rsidRPr="003332E6">
              <w:t xml:space="preserve">Wybór partnerów spoza sektora finansów publicznych jest dokonywany przed złożeniem wniosku o dofinansowanie projektu partnerskiego. </w:t>
            </w:r>
          </w:p>
          <w:p w:rsidR="003344EC" w:rsidRPr="003332E6" w:rsidRDefault="003344EC" w:rsidP="002A7937">
            <w:pPr>
              <w:jc w:val="both"/>
            </w:pPr>
            <w:r w:rsidRPr="003332E6">
              <w:t xml:space="preserve">Udział partnerów i wniesienie zasobów ludzkich, organizacyjnych, technicznych lub finansowych, a także potencjału społecznego musi być adekwatny do celu projektu. </w:t>
            </w:r>
          </w:p>
        </w:tc>
      </w:tr>
    </w:tbl>
    <w:p w:rsidR="007C678B" w:rsidRPr="00B27059" w:rsidRDefault="007C678B" w:rsidP="007C678B">
      <w:pPr>
        <w:pStyle w:val="Default"/>
        <w:rPr>
          <w:sz w:val="22"/>
          <w:szCs w:val="22"/>
        </w:rPr>
      </w:pPr>
      <w:r w:rsidRPr="00B27059">
        <w:rPr>
          <w:b/>
          <w:bCs/>
          <w:sz w:val="22"/>
          <w:szCs w:val="22"/>
        </w:rPr>
        <w:lastRenderedPageBreak/>
        <w:t>Załączniki</w:t>
      </w:r>
      <w:r w:rsidR="00FD4A76" w:rsidRPr="00B27059">
        <w:rPr>
          <w:b/>
          <w:bCs/>
          <w:sz w:val="22"/>
          <w:szCs w:val="22"/>
        </w:rPr>
        <w:t xml:space="preserve"> do regulaminu</w:t>
      </w:r>
      <w:r w:rsidRPr="00B27059">
        <w:rPr>
          <w:b/>
          <w:bCs/>
          <w:sz w:val="22"/>
          <w:szCs w:val="22"/>
        </w:rPr>
        <w:t xml:space="preserve">: </w:t>
      </w:r>
    </w:p>
    <w:p w:rsidR="00673C73" w:rsidRPr="00574435" w:rsidRDefault="00203AEB" w:rsidP="00C03EEC">
      <w:pPr>
        <w:pStyle w:val="Akapitzlist"/>
        <w:numPr>
          <w:ilvl w:val="0"/>
          <w:numId w:val="11"/>
        </w:numPr>
        <w:autoSpaceDE w:val="0"/>
        <w:autoSpaceDN w:val="0"/>
        <w:adjustRightInd w:val="0"/>
        <w:spacing w:after="58" w:line="240" w:lineRule="auto"/>
        <w:jc w:val="both"/>
        <w:rPr>
          <w:rFonts w:asciiTheme="minorHAnsi" w:hAnsiTheme="minorHAnsi" w:cs="Calibri"/>
          <w:color w:val="000000"/>
          <w:szCs w:val="22"/>
        </w:rPr>
      </w:pPr>
      <w:r w:rsidRPr="00574435">
        <w:rPr>
          <w:rFonts w:asciiTheme="minorHAnsi" w:hAnsiTheme="minorHAnsi"/>
          <w:bCs/>
          <w:szCs w:val="22"/>
        </w:rPr>
        <w:t>Wyciąg z Kryteriów wyboru projektów</w:t>
      </w:r>
      <w:r w:rsidRPr="00574435">
        <w:rPr>
          <w:rFonts w:asciiTheme="minorHAnsi" w:hAnsiTheme="minorHAnsi"/>
          <w:szCs w:val="22"/>
        </w:rPr>
        <w:t xml:space="preserve"> zatwierdzonych przez KM RPO WD 2014-2020 </w:t>
      </w:r>
      <w:r w:rsidR="0034777C" w:rsidRPr="00574435">
        <w:rPr>
          <w:rFonts w:asciiTheme="minorHAnsi" w:hAnsiTheme="minorHAnsi"/>
          <w:szCs w:val="22"/>
        </w:rPr>
        <w:t xml:space="preserve">w dniu </w:t>
      </w:r>
      <w:r w:rsidR="003344EC">
        <w:rPr>
          <w:rFonts w:asciiTheme="minorHAnsi" w:hAnsiTheme="minorHAnsi"/>
          <w:szCs w:val="22"/>
        </w:rPr>
        <w:t>17</w:t>
      </w:r>
      <w:r w:rsidR="00185792" w:rsidRPr="00574435">
        <w:rPr>
          <w:rFonts w:asciiTheme="minorHAnsi" w:hAnsiTheme="minorHAnsi"/>
          <w:szCs w:val="22"/>
        </w:rPr>
        <w:t>.0</w:t>
      </w:r>
      <w:r w:rsidR="003344EC">
        <w:rPr>
          <w:rFonts w:asciiTheme="minorHAnsi" w:hAnsiTheme="minorHAnsi"/>
          <w:szCs w:val="22"/>
        </w:rPr>
        <w:t>8</w:t>
      </w:r>
      <w:r w:rsidR="0034777C" w:rsidRPr="00574435">
        <w:rPr>
          <w:rFonts w:asciiTheme="minorHAnsi" w:hAnsiTheme="minorHAnsi"/>
          <w:szCs w:val="22"/>
        </w:rPr>
        <w:t>.2016</w:t>
      </w:r>
      <w:r w:rsidR="000D366A" w:rsidRPr="00574435">
        <w:rPr>
          <w:rFonts w:asciiTheme="minorHAnsi" w:hAnsiTheme="minorHAnsi"/>
          <w:szCs w:val="22"/>
        </w:rPr>
        <w:t xml:space="preserve"> r. (Uchwała  </w:t>
      </w:r>
      <w:r w:rsidR="000D366A" w:rsidRPr="00574435">
        <w:rPr>
          <w:rFonts w:asciiTheme="minorHAnsi" w:hAnsiTheme="minorHAnsi"/>
          <w:bCs/>
          <w:szCs w:val="22"/>
        </w:rPr>
        <w:t xml:space="preserve">nr </w:t>
      </w:r>
      <w:r w:rsidR="00673C73" w:rsidRPr="00574435">
        <w:rPr>
          <w:rFonts w:asciiTheme="minorHAnsi" w:hAnsiTheme="minorHAnsi"/>
          <w:bCs/>
          <w:szCs w:val="22"/>
        </w:rPr>
        <w:t>3</w:t>
      </w:r>
      <w:r w:rsidR="003344EC">
        <w:rPr>
          <w:rFonts w:asciiTheme="minorHAnsi" w:hAnsiTheme="minorHAnsi"/>
          <w:bCs/>
          <w:szCs w:val="22"/>
        </w:rPr>
        <w:t>9</w:t>
      </w:r>
      <w:r w:rsidR="000D366A" w:rsidRPr="00574435">
        <w:rPr>
          <w:rFonts w:asciiTheme="minorHAnsi" w:hAnsiTheme="minorHAnsi"/>
          <w:bCs/>
          <w:szCs w:val="22"/>
        </w:rPr>
        <w:t>/1</w:t>
      </w:r>
      <w:r w:rsidR="0034777C" w:rsidRPr="00574435">
        <w:rPr>
          <w:rFonts w:asciiTheme="minorHAnsi" w:hAnsiTheme="minorHAnsi"/>
          <w:bCs/>
          <w:szCs w:val="22"/>
        </w:rPr>
        <w:t>6</w:t>
      </w:r>
      <w:r w:rsidR="000D366A" w:rsidRPr="00574435">
        <w:rPr>
          <w:rFonts w:asciiTheme="minorHAnsi" w:hAnsiTheme="minorHAnsi"/>
          <w:szCs w:val="22"/>
        </w:rPr>
        <w:t xml:space="preserve"> KM RPO WD)</w:t>
      </w:r>
      <w:r w:rsidR="001B7E02" w:rsidRPr="00574435">
        <w:rPr>
          <w:rFonts w:asciiTheme="minorHAnsi" w:hAnsiTheme="minorHAnsi"/>
          <w:szCs w:val="22"/>
        </w:rPr>
        <w:t xml:space="preserve"> </w:t>
      </w:r>
      <w:r w:rsidRPr="00574435">
        <w:rPr>
          <w:rFonts w:asciiTheme="minorHAnsi" w:hAnsiTheme="minorHAnsi"/>
          <w:szCs w:val="22"/>
        </w:rPr>
        <w:t>obowiązujących w niniejszym naborze.</w:t>
      </w:r>
    </w:p>
    <w:p w:rsidR="00B468A0" w:rsidRPr="00574435" w:rsidRDefault="00163C1F" w:rsidP="00673C73">
      <w:pPr>
        <w:pStyle w:val="Akapitzlist"/>
        <w:numPr>
          <w:ilvl w:val="0"/>
          <w:numId w:val="11"/>
        </w:numPr>
        <w:autoSpaceDE w:val="0"/>
        <w:autoSpaceDN w:val="0"/>
        <w:adjustRightInd w:val="0"/>
        <w:spacing w:after="58" w:line="240" w:lineRule="auto"/>
        <w:jc w:val="both"/>
        <w:rPr>
          <w:rFonts w:asciiTheme="minorHAnsi" w:hAnsiTheme="minorHAnsi" w:cs="Calibri"/>
          <w:color w:val="000000"/>
          <w:szCs w:val="22"/>
        </w:rPr>
      </w:pPr>
      <w:r w:rsidRPr="00574435">
        <w:rPr>
          <w:rFonts w:asciiTheme="minorHAnsi" w:hAnsiTheme="minorHAnsi" w:cs="Calibri"/>
          <w:color w:val="000000"/>
          <w:szCs w:val="22"/>
        </w:rPr>
        <w:t xml:space="preserve">Lista wskaźników na poziomie projektu dla </w:t>
      </w:r>
      <w:r w:rsidR="00540EE1" w:rsidRPr="00574435">
        <w:rPr>
          <w:rFonts w:asciiTheme="minorHAnsi" w:hAnsiTheme="minorHAnsi" w:cs="Calibri"/>
          <w:color w:val="000000"/>
          <w:szCs w:val="22"/>
        </w:rPr>
        <w:t>pod</w:t>
      </w:r>
      <w:r w:rsidRPr="00574435">
        <w:rPr>
          <w:rFonts w:asciiTheme="minorHAnsi" w:hAnsiTheme="minorHAnsi" w:cs="Calibri"/>
          <w:color w:val="000000"/>
          <w:szCs w:val="22"/>
        </w:rPr>
        <w:t xml:space="preserve">działania </w:t>
      </w:r>
      <w:r w:rsidR="006A2DD1" w:rsidRPr="00574435">
        <w:rPr>
          <w:rFonts w:asciiTheme="minorHAnsi" w:hAnsiTheme="minorHAnsi" w:cs="Calibri"/>
          <w:color w:val="000000"/>
          <w:szCs w:val="22"/>
        </w:rPr>
        <w:t>4.</w:t>
      </w:r>
      <w:r w:rsidR="00C03EEC" w:rsidRPr="00574435">
        <w:rPr>
          <w:rFonts w:asciiTheme="minorHAnsi" w:hAnsiTheme="minorHAnsi" w:cs="Calibri"/>
          <w:color w:val="000000"/>
          <w:szCs w:val="22"/>
        </w:rPr>
        <w:t>5</w:t>
      </w:r>
      <w:r w:rsidR="00717700" w:rsidRPr="00574435">
        <w:rPr>
          <w:rFonts w:asciiTheme="minorHAnsi" w:hAnsiTheme="minorHAnsi" w:cs="Calibri"/>
          <w:color w:val="000000"/>
          <w:szCs w:val="22"/>
        </w:rPr>
        <w:t>.</w:t>
      </w:r>
      <w:r w:rsidR="0034777C" w:rsidRPr="00574435">
        <w:rPr>
          <w:rFonts w:asciiTheme="minorHAnsi" w:hAnsiTheme="minorHAnsi" w:cs="Calibri"/>
          <w:color w:val="000000"/>
          <w:szCs w:val="22"/>
        </w:rPr>
        <w:t xml:space="preserve">1 </w:t>
      </w:r>
      <w:r w:rsidR="00C03EEC" w:rsidRPr="00574435">
        <w:rPr>
          <w:rFonts w:asciiTheme="minorHAnsi" w:hAnsiTheme="minorHAnsi" w:cs="Arial"/>
          <w:bCs/>
          <w:szCs w:val="22"/>
        </w:rPr>
        <w:t>Bezpieczeństwo</w:t>
      </w:r>
      <w:r w:rsidR="00673C73" w:rsidRPr="00574435">
        <w:rPr>
          <w:rFonts w:asciiTheme="minorHAnsi" w:hAnsiTheme="minorHAnsi" w:cs="Arial"/>
          <w:szCs w:val="22"/>
        </w:rPr>
        <w:t xml:space="preserve"> – konkursy horyzontalne.</w:t>
      </w:r>
    </w:p>
    <w:sectPr w:rsidR="00B468A0" w:rsidRPr="00574435"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C1" w:rsidRDefault="009666C1" w:rsidP="00E873C4">
      <w:pPr>
        <w:spacing w:after="0" w:line="240" w:lineRule="auto"/>
      </w:pPr>
      <w:r>
        <w:separator/>
      </w:r>
    </w:p>
  </w:endnote>
  <w:endnote w:type="continuationSeparator" w:id="0">
    <w:p w:rsidR="009666C1" w:rsidRDefault="009666C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9666C1" w:rsidRDefault="009666C1">
        <w:pPr>
          <w:pStyle w:val="Stopka"/>
          <w:jc w:val="right"/>
        </w:pPr>
        <w:r>
          <w:fldChar w:fldCharType="begin"/>
        </w:r>
        <w:r>
          <w:instrText xml:space="preserve"> PAGE   \* MERGEFORMAT </w:instrText>
        </w:r>
        <w:r>
          <w:fldChar w:fldCharType="separate"/>
        </w:r>
        <w:r w:rsidR="00F86417">
          <w:rPr>
            <w:noProof/>
          </w:rPr>
          <w:t>26</w:t>
        </w:r>
        <w:r>
          <w:rPr>
            <w:noProof/>
          </w:rPr>
          <w:fldChar w:fldCharType="end"/>
        </w:r>
      </w:p>
    </w:sdtContent>
  </w:sdt>
  <w:p w:rsidR="009666C1" w:rsidRDefault="009666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C1" w:rsidRDefault="009666C1" w:rsidP="00E873C4">
      <w:pPr>
        <w:spacing w:after="0" w:line="240" w:lineRule="auto"/>
      </w:pPr>
      <w:r>
        <w:separator/>
      </w:r>
    </w:p>
  </w:footnote>
  <w:footnote w:type="continuationSeparator" w:id="0">
    <w:p w:rsidR="009666C1" w:rsidRDefault="009666C1" w:rsidP="00E873C4">
      <w:pPr>
        <w:spacing w:after="0" w:line="240" w:lineRule="auto"/>
      </w:pPr>
      <w:r>
        <w:continuationSeparator/>
      </w:r>
    </w:p>
  </w:footnote>
  <w:footnote w:id="1">
    <w:p w:rsidR="009666C1" w:rsidRPr="00872EFC" w:rsidRDefault="009666C1" w:rsidP="008E4823">
      <w:pPr>
        <w:jc w:val="both"/>
      </w:pPr>
      <w:r w:rsidRPr="007E247C">
        <w:rPr>
          <w:rStyle w:val="Odwoanieprzypisudolnego"/>
          <w:rFonts w:cstheme="minorHAnsi"/>
        </w:rPr>
        <w:footnoteRef/>
      </w:r>
      <w:r w:rsidRPr="007E247C">
        <w:rPr>
          <w:rFonts w:cstheme="minorHAnsi"/>
        </w:rPr>
        <w:t xml:space="preserve"> </w:t>
      </w:r>
      <w:r w:rsidRPr="007E247C">
        <w:rPr>
          <w:iCs/>
          <w:sz w:val="18"/>
          <w:szCs w:val="18"/>
        </w:rPr>
        <w:t>Pod pojęciem małej retencji rozumie się wszelkie działania techniczne</w:t>
      </w:r>
      <w:r>
        <w:rPr>
          <w:iCs/>
          <w:sz w:val="18"/>
          <w:szCs w:val="18"/>
        </w:rPr>
        <w:t xml:space="preserve"> i </w:t>
      </w:r>
      <w:r w:rsidRPr="007E247C">
        <w:rPr>
          <w:iCs/>
          <w:sz w:val="18"/>
          <w:szCs w:val="18"/>
        </w:rPr>
        <w:t>nietechniczne zmierzające do poprawy struktury bilansu wodnego zlewni poprzez zwiększenie ich zdolności retencyjnych. Realizowane będą działania wykorzysujące kompleksowe zabiegi łączące przyjazne środowisku metody przyrodnicze</w:t>
      </w:r>
      <w:r>
        <w:rPr>
          <w:iCs/>
          <w:sz w:val="18"/>
          <w:szCs w:val="18"/>
        </w:rPr>
        <w:t xml:space="preserve"> i </w:t>
      </w:r>
      <w:r w:rsidRPr="007E247C">
        <w:rPr>
          <w:iCs/>
          <w:sz w:val="18"/>
          <w:szCs w:val="18"/>
        </w:rPr>
        <w:t>techniczne oraz inne najlepsze praktyki przedstawione</w:t>
      </w:r>
      <w:r>
        <w:rPr>
          <w:iCs/>
          <w:sz w:val="18"/>
          <w:szCs w:val="18"/>
        </w:rPr>
        <w:t xml:space="preserve"> w </w:t>
      </w:r>
      <w:r w:rsidRPr="007E247C">
        <w:rPr>
          <w:iCs/>
          <w:sz w:val="18"/>
          <w:szCs w:val="18"/>
        </w:rPr>
        <w:t>Wytycznych do realizacji obiektów małej retencji</w:t>
      </w:r>
      <w:r>
        <w:rPr>
          <w:iCs/>
          <w:sz w:val="18"/>
          <w:szCs w:val="18"/>
        </w:rPr>
        <w:t xml:space="preserve"> w </w:t>
      </w:r>
      <w:r w:rsidRPr="007E247C">
        <w:rPr>
          <w:iCs/>
          <w:sz w:val="18"/>
          <w:szCs w:val="18"/>
        </w:rPr>
        <w:t>Nadleśnictwach oraz Wytycznych do realizacji małej retencji</w:t>
      </w:r>
      <w:r>
        <w:rPr>
          <w:iCs/>
          <w:sz w:val="18"/>
          <w:szCs w:val="18"/>
        </w:rPr>
        <w:t xml:space="preserve"> w </w:t>
      </w:r>
      <w:r w:rsidRPr="007E247C">
        <w:rPr>
          <w:iCs/>
          <w:sz w:val="18"/>
          <w:szCs w:val="18"/>
        </w:rPr>
        <w:t>górach.</w:t>
      </w:r>
      <w:r w:rsidRPr="00872EFC">
        <w:rPr>
          <w:i/>
          <w:iCs/>
        </w:rPr>
        <w:t xml:space="preserve"> </w:t>
      </w:r>
      <w:r w:rsidRPr="00872EFC">
        <w:t xml:space="preserve"> </w:t>
      </w:r>
    </w:p>
    <w:p w:rsidR="009666C1" w:rsidRDefault="009666C1" w:rsidP="008E482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A4E"/>
    <w:multiLevelType w:val="hybridMultilevel"/>
    <w:tmpl w:val="C390EFF0"/>
    <w:lvl w:ilvl="0" w:tplc="8092D08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8259C"/>
    <w:multiLevelType w:val="multilevel"/>
    <w:tmpl w:val="D48C8E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51384C"/>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3"/>
  </w:num>
  <w:num w:numId="4">
    <w:abstractNumId w:val="23"/>
  </w:num>
  <w:num w:numId="5">
    <w:abstractNumId w:val="18"/>
  </w:num>
  <w:num w:numId="6">
    <w:abstractNumId w:val="21"/>
  </w:num>
  <w:num w:numId="7">
    <w:abstractNumId w:val="16"/>
  </w:num>
  <w:num w:numId="8">
    <w:abstractNumId w:val="19"/>
  </w:num>
  <w:num w:numId="9">
    <w:abstractNumId w:val="5"/>
  </w:num>
  <w:num w:numId="10">
    <w:abstractNumId w:val="12"/>
  </w:num>
  <w:num w:numId="11">
    <w:abstractNumId w:val="17"/>
  </w:num>
  <w:num w:numId="12">
    <w:abstractNumId w:val="11"/>
  </w:num>
  <w:num w:numId="13">
    <w:abstractNumId w:val="20"/>
  </w:num>
  <w:num w:numId="14">
    <w:abstractNumId w:val="2"/>
  </w:num>
  <w:num w:numId="15">
    <w:abstractNumId w:val="4"/>
  </w:num>
  <w:num w:numId="16">
    <w:abstractNumId w:val="7"/>
  </w:num>
  <w:num w:numId="17">
    <w:abstractNumId w:val="3"/>
  </w:num>
  <w:num w:numId="18">
    <w:abstractNumId w:val="22"/>
  </w:num>
  <w:num w:numId="19">
    <w:abstractNumId w:val="1"/>
  </w:num>
  <w:num w:numId="20">
    <w:abstractNumId w:val="9"/>
  </w:num>
  <w:num w:numId="21">
    <w:abstractNumId w:val="0"/>
  </w:num>
  <w:num w:numId="22">
    <w:abstractNumId w:val="8"/>
  </w:num>
  <w:num w:numId="23">
    <w:abstractNumId w:val="6"/>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61D5"/>
    <w:rsid w:val="00006AC1"/>
    <w:rsid w:val="0001134F"/>
    <w:rsid w:val="00014632"/>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3AAB"/>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0093"/>
    <w:rsid w:val="001248C7"/>
    <w:rsid w:val="00124CCA"/>
    <w:rsid w:val="001253D8"/>
    <w:rsid w:val="00130AA7"/>
    <w:rsid w:val="00132DD2"/>
    <w:rsid w:val="00135960"/>
    <w:rsid w:val="00136192"/>
    <w:rsid w:val="00136C31"/>
    <w:rsid w:val="00140C08"/>
    <w:rsid w:val="00141276"/>
    <w:rsid w:val="00141FBD"/>
    <w:rsid w:val="001442E1"/>
    <w:rsid w:val="0015088A"/>
    <w:rsid w:val="00151119"/>
    <w:rsid w:val="00151FBA"/>
    <w:rsid w:val="00153A52"/>
    <w:rsid w:val="00163B95"/>
    <w:rsid w:val="00163C1F"/>
    <w:rsid w:val="00164ABD"/>
    <w:rsid w:val="001741B3"/>
    <w:rsid w:val="00180B34"/>
    <w:rsid w:val="00182231"/>
    <w:rsid w:val="001847A5"/>
    <w:rsid w:val="00185792"/>
    <w:rsid w:val="00191208"/>
    <w:rsid w:val="001947CF"/>
    <w:rsid w:val="00194BE9"/>
    <w:rsid w:val="001A62E1"/>
    <w:rsid w:val="001A76B8"/>
    <w:rsid w:val="001B7E02"/>
    <w:rsid w:val="001D5ADE"/>
    <w:rsid w:val="001D79AC"/>
    <w:rsid w:val="001E6CC9"/>
    <w:rsid w:val="001F04AA"/>
    <w:rsid w:val="002031FF"/>
    <w:rsid w:val="00203AEB"/>
    <w:rsid w:val="00204163"/>
    <w:rsid w:val="002049F3"/>
    <w:rsid w:val="00207364"/>
    <w:rsid w:val="00214423"/>
    <w:rsid w:val="00216D57"/>
    <w:rsid w:val="0022084B"/>
    <w:rsid w:val="002238CA"/>
    <w:rsid w:val="002366CF"/>
    <w:rsid w:val="002368A3"/>
    <w:rsid w:val="00240F39"/>
    <w:rsid w:val="002479B3"/>
    <w:rsid w:val="00263BF7"/>
    <w:rsid w:val="00263D0C"/>
    <w:rsid w:val="0027153F"/>
    <w:rsid w:val="00277147"/>
    <w:rsid w:val="002771D8"/>
    <w:rsid w:val="002777A2"/>
    <w:rsid w:val="002779AA"/>
    <w:rsid w:val="0028267C"/>
    <w:rsid w:val="00283849"/>
    <w:rsid w:val="00284BCE"/>
    <w:rsid w:val="002872B3"/>
    <w:rsid w:val="002965D5"/>
    <w:rsid w:val="002A02F4"/>
    <w:rsid w:val="002A432F"/>
    <w:rsid w:val="002A720E"/>
    <w:rsid w:val="002A772D"/>
    <w:rsid w:val="002A7937"/>
    <w:rsid w:val="002A7A36"/>
    <w:rsid w:val="002B2C95"/>
    <w:rsid w:val="002B4B1B"/>
    <w:rsid w:val="002B5686"/>
    <w:rsid w:val="002B6A0F"/>
    <w:rsid w:val="002B7A29"/>
    <w:rsid w:val="002C337B"/>
    <w:rsid w:val="002C562E"/>
    <w:rsid w:val="002D184C"/>
    <w:rsid w:val="002D1B68"/>
    <w:rsid w:val="002D4095"/>
    <w:rsid w:val="002D6AE8"/>
    <w:rsid w:val="002E2658"/>
    <w:rsid w:val="002E2802"/>
    <w:rsid w:val="002E5984"/>
    <w:rsid w:val="002E5B1F"/>
    <w:rsid w:val="002F2511"/>
    <w:rsid w:val="002F3568"/>
    <w:rsid w:val="00300E2C"/>
    <w:rsid w:val="00302591"/>
    <w:rsid w:val="00303BCB"/>
    <w:rsid w:val="00306C59"/>
    <w:rsid w:val="00310872"/>
    <w:rsid w:val="00314B94"/>
    <w:rsid w:val="00316132"/>
    <w:rsid w:val="00320901"/>
    <w:rsid w:val="0032333D"/>
    <w:rsid w:val="0032381B"/>
    <w:rsid w:val="00326931"/>
    <w:rsid w:val="00331136"/>
    <w:rsid w:val="00331C42"/>
    <w:rsid w:val="003344EC"/>
    <w:rsid w:val="0034239F"/>
    <w:rsid w:val="00344EF4"/>
    <w:rsid w:val="003451EF"/>
    <w:rsid w:val="0034777C"/>
    <w:rsid w:val="003506CE"/>
    <w:rsid w:val="00360850"/>
    <w:rsid w:val="00364F8A"/>
    <w:rsid w:val="0037103D"/>
    <w:rsid w:val="00371EFF"/>
    <w:rsid w:val="00372078"/>
    <w:rsid w:val="00372F5E"/>
    <w:rsid w:val="00373A48"/>
    <w:rsid w:val="00373D57"/>
    <w:rsid w:val="003746F7"/>
    <w:rsid w:val="00381B9F"/>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E6EFC"/>
    <w:rsid w:val="003F1BA7"/>
    <w:rsid w:val="003F59D8"/>
    <w:rsid w:val="003F776C"/>
    <w:rsid w:val="0040059D"/>
    <w:rsid w:val="00407105"/>
    <w:rsid w:val="00410C67"/>
    <w:rsid w:val="00411FC6"/>
    <w:rsid w:val="004123F0"/>
    <w:rsid w:val="004151FA"/>
    <w:rsid w:val="00417D17"/>
    <w:rsid w:val="0042119F"/>
    <w:rsid w:val="00424DF6"/>
    <w:rsid w:val="00425702"/>
    <w:rsid w:val="00430AE5"/>
    <w:rsid w:val="00434B9B"/>
    <w:rsid w:val="00435B86"/>
    <w:rsid w:val="00435DF8"/>
    <w:rsid w:val="00456C95"/>
    <w:rsid w:val="00457D00"/>
    <w:rsid w:val="00460925"/>
    <w:rsid w:val="004612F9"/>
    <w:rsid w:val="004640F4"/>
    <w:rsid w:val="00474642"/>
    <w:rsid w:val="00474A39"/>
    <w:rsid w:val="00474BA2"/>
    <w:rsid w:val="0047715D"/>
    <w:rsid w:val="00480411"/>
    <w:rsid w:val="00482EA6"/>
    <w:rsid w:val="00485BAF"/>
    <w:rsid w:val="004905C3"/>
    <w:rsid w:val="00494E75"/>
    <w:rsid w:val="00496977"/>
    <w:rsid w:val="004A3789"/>
    <w:rsid w:val="004A55B3"/>
    <w:rsid w:val="004B0B50"/>
    <w:rsid w:val="004B320D"/>
    <w:rsid w:val="004B45B7"/>
    <w:rsid w:val="004B5C08"/>
    <w:rsid w:val="004B6D6C"/>
    <w:rsid w:val="004C4183"/>
    <w:rsid w:val="004D07A7"/>
    <w:rsid w:val="004D105B"/>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27BF8"/>
    <w:rsid w:val="00530F60"/>
    <w:rsid w:val="00531A59"/>
    <w:rsid w:val="00531AA5"/>
    <w:rsid w:val="00532690"/>
    <w:rsid w:val="00532F07"/>
    <w:rsid w:val="00533AAB"/>
    <w:rsid w:val="0053485A"/>
    <w:rsid w:val="00540EE1"/>
    <w:rsid w:val="005415B5"/>
    <w:rsid w:val="00543FC5"/>
    <w:rsid w:val="00545257"/>
    <w:rsid w:val="005477CE"/>
    <w:rsid w:val="005507A2"/>
    <w:rsid w:val="005545F6"/>
    <w:rsid w:val="0056015A"/>
    <w:rsid w:val="00565A63"/>
    <w:rsid w:val="00571FD0"/>
    <w:rsid w:val="0057309E"/>
    <w:rsid w:val="00574435"/>
    <w:rsid w:val="00574632"/>
    <w:rsid w:val="00575525"/>
    <w:rsid w:val="00575541"/>
    <w:rsid w:val="005759E7"/>
    <w:rsid w:val="005779A2"/>
    <w:rsid w:val="005823A0"/>
    <w:rsid w:val="00582A00"/>
    <w:rsid w:val="00585063"/>
    <w:rsid w:val="005B0EB2"/>
    <w:rsid w:val="005B34B9"/>
    <w:rsid w:val="005C5D1B"/>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1ED2"/>
    <w:rsid w:val="00634D48"/>
    <w:rsid w:val="00636E59"/>
    <w:rsid w:val="00643AB6"/>
    <w:rsid w:val="00647C29"/>
    <w:rsid w:val="006545AC"/>
    <w:rsid w:val="00656F36"/>
    <w:rsid w:val="00670468"/>
    <w:rsid w:val="00673629"/>
    <w:rsid w:val="00673C73"/>
    <w:rsid w:val="006754E3"/>
    <w:rsid w:val="006762E1"/>
    <w:rsid w:val="0067677F"/>
    <w:rsid w:val="00683BC9"/>
    <w:rsid w:val="006877AB"/>
    <w:rsid w:val="00692598"/>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028F2"/>
    <w:rsid w:val="00704505"/>
    <w:rsid w:val="00710091"/>
    <w:rsid w:val="0071078C"/>
    <w:rsid w:val="00715262"/>
    <w:rsid w:val="00716ADF"/>
    <w:rsid w:val="00717700"/>
    <w:rsid w:val="00723CFF"/>
    <w:rsid w:val="00724224"/>
    <w:rsid w:val="00727ADD"/>
    <w:rsid w:val="0074779B"/>
    <w:rsid w:val="007556F0"/>
    <w:rsid w:val="007564BC"/>
    <w:rsid w:val="00761383"/>
    <w:rsid w:val="007625CF"/>
    <w:rsid w:val="00764E1A"/>
    <w:rsid w:val="00766179"/>
    <w:rsid w:val="00782061"/>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4332"/>
    <w:rsid w:val="008646BF"/>
    <w:rsid w:val="0086574D"/>
    <w:rsid w:val="00867A44"/>
    <w:rsid w:val="0087288E"/>
    <w:rsid w:val="00877B9D"/>
    <w:rsid w:val="00882474"/>
    <w:rsid w:val="00891A07"/>
    <w:rsid w:val="0089254A"/>
    <w:rsid w:val="00894AC2"/>
    <w:rsid w:val="00895F0D"/>
    <w:rsid w:val="00896B87"/>
    <w:rsid w:val="008A1234"/>
    <w:rsid w:val="008A4028"/>
    <w:rsid w:val="008B0CF1"/>
    <w:rsid w:val="008B79EA"/>
    <w:rsid w:val="008C3515"/>
    <w:rsid w:val="008C3ECF"/>
    <w:rsid w:val="008C54F0"/>
    <w:rsid w:val="008D2A82"/>
    <w:rsid w:val="008D3731"/>
    <w:rsid w:val="008D4AB9"/>
    <w:rsid w:val="008E1123"/>
    <w:rsid w:val="008E35D3"/>
    <w:rsid w:val="008E4823"/>
    <w:rsid w:val="008E5657"/>
    <w:rsid w:val="008F0488"/>
    <w:rsid w:val="008F0FC5"/>
    <w:rsid w:val="008F2DD0"/>
    <w:rsid w:val="008F4AAF"/>
    <w:rsid w:val="008F531C"/>
    <w:rsid w:val="008F5891"/>
    <w:rsid w:val="009003C8"/>
    <w:rsid w:val="00907747"/>
    <w:rsid w:val="0091138E"/>
    <w:rsid w:val="00912927"/>
    <w:rsid w:val="00916F84"/>
    <w:rsid w:val="00921011"/>
    <w:rsid w:val="00924E91"/>
    <w:rsid w:val="00931543"/>
    <w:rsid w:val="00931A4E"/>
    <w:rsid w:val="009337A7"/>
    <w:rsid w:val="00933C87"/>
    <w:rsid w:val="00936001"/>
    <w:rsid w:val="009367C2"/>
    <w:rsid w:val="009455A4"/>
    <w:rsid w:val="009553C5"/>
    <w:rsid w:val="00956C47"/>
    <w:rsid w:val="00961B8B"/>
    <w:rsid w:val="0096429D"/>
    <w:rsid w:val="00966390"/>
    <w:rsid w:val="009666C1"/>
    <w:rsid w:val="00966E9C"/>
    <w:rsid w:val="00967696"/>
    <w:rsid w:val="009701C6"/>
    <w:rsid w:val="00972D12"/>
    <w:rsid w:val="0097359B"/>
    <w:rsid w:val="00974650"/>
    <w:rsid w:val="00984533"/>
    <w:rsid w:val="0098538F"/>
    <w:rsid w:val="00991291"/>
    <w:rsid w:val="00991FEC"/>
    <w:rsid w:val="00992101"/>
    <w:rsid w:val="009933D5"/>
    <w:rsid w:val="009A0630"/>
    <w:rsid w:val="009A31F4"/>
    <w:rsid w:val="009A7256"/>
    <w:rsid w:val="009B14CF"/>
    <w:rsid w:val="009B19A3"/>
    <w:rsid w:val="009B2FE3"/>
    <w:rsid w:val="009B30B5"/>
    <w:rsid w:val="009B3869"/>
    <w:rsid w:val="009B5AE6"/>
    <w:rsid w:val="009B5F36"/>
    <w:rsid w:val="009C095F"/>
    <w:rsid w:val="009C1BC7"/>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01BF"/>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6D1"/>
    <w:rsid w:val="00A9181A"/>
    <w:rsid w:val="00AA0A4C"/>
    <w:rsid w:val="00AA219A"/>
    <w:rsid w:val="00AA421A"/>
    <w:rsid w:val="00AA5C57"/>
    <w:rsid w:val="00AA649A"/>
    <w:rsid w:val="00AB1F03"/>
    <w:rsid w:val="00AB4FBA"/>
    <w:rsid w:val="00AB5956"/>
    <w:rsid w:val="00AB5D43"/>
    <w:rsid w:val="00AC0C48"/>
    <w:rsid w:val="00AC2E88"/>
    <w:rsid w:val="00AC43B1"/>
    <w:rsid w:val="00AC7908"/>
    <w:rsid w:val="00AD17E2"/>
    <w:rsid w:val="00AD3892"/>
    <w:rsid w:val="00AD417D"/>
    <w:rsid w:val="00AD4F70"/>
    <w:rsid w:val="00AD6E10"/>
    <w:rsid w:val="00AE05B6"/>
    <w:rsid w:val="00AE3B42"/>
    <w:rsid w:val="00AE7177"/>
    <w:rsid w:val="00AF1CB5"/>
    <w:rsid w:val="00AF2A83"/>
    <w:rsid w:val="00AF490F"/>
    <w:rsid w:val="00AF520B"/>
    <w:rsid w:val="00B05ACC"/>
    <w:rsid w:val="00B1751D"/>
    <w:rsid w:val="00B203D0"/>
    <w:rsid w:val="00B23C9D"/>
    <w:rsid w:val="00B27059"/>
    <w:rsid w:val="00B35B23"/>
    <w:rsid w:val="00B40499"/>
    <w:rsid w:val="00B41748"/>
    <w:rsid w:val="00B42EB9"/>
    <w:rsid w:val="00B433A2"/>
    <w:rsid w:val="00B436F1"/>
    <w:rsid w:val="00B445B8"/>
    <w:rsid w:val="00B45E60"/>
    <w:rsid w:val="00B468A0"/>
    <w:rsid w:val="00B474CB"/>
    <w:rsid w:val="00B51B27"/>
    <w:rsid w:val="00B5255D"/>
    <w:rsid w:val="00B52DF1"/>
    <w:rsid w:val="00B537B8"/>
    <w:rsid w:val="00B54C70"/>
    <w:rsid w:val="00B5754A"/>
    <w:rsid w:val="00B618A5"/>
    <w:rsid w:val="00B61F6F"/>
    <w:rsid w:val="00B64FEB"/>
    <w:rsid w:val="00B66089"/>
    <w:rsid w:val="00B66E42"/>
    <w:rsid w:val="00B67EF7"/>
    <w:rsid w:val="00B70336"/>
    <w:rsid w:val="00B71854"/>
    <w:rsid w:val="00B72DBF"/>
    <w:rsid w:val="00B80017"/>
    <w:rsid w:val="00B92573"/>
    <w:rsid w:val="00B92E12"/>
    <w:rsid w:val="00B9341F"/>
    <w:rsid w:val="00BA06EA"/>
    <w:rsid w:val="00BA0FE2"/>
    <w:rsid w:val="00BA161C"/>
    <w:rsid w:val="00BA504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3EEC"/>
    <w:rsid w:val="00C04E00"/>
    <w:rsid w:val="00C13975"/>
    <w:rsid w:val="00C149E8"/>
    <w:rsid w:val="00C1610E"/>
    <w:rsid w:val="00C16578"/>
    <w:rsid w:val="00C20A58"/>
    <w:rsid w:val="00C2133B"/>
    <w:rsid w:val="00C22B29"/>
    <w:rsid w:val="00C22C74"/>
    <w:rsid w:val="00C33DA2"/>
    <w:rsid w:val="00C34B4F"/>
    <w:rsid w:val="00C37569"/>
    <w:rsid w:val="00C37A4A"/>
    <w:rsid w:val="00C41509"/>
    <w:rsid w:val="00C41E9C"/>
    <w:rsid w:val="00C47AD4"/>
    <w:rsid w:val="00C615E9"/>
    <w:rsid w:val="00C62904"/>
    <w:rsid w:val="00C64D88"/>
    <w:rsid w:val="00C64F3B"/>
    <w:rsid w:val="00C652F8"/>
    <w:rsid w:val="00C73D60"/>
    <w:rsid w:val="00C76888"/>
    <w:rsid w:val="00C77521"/>
    <w:rsid w:val="00C77D65"/>
    <w:rsid w:val="00C84549"/>
    <w:rsid w:val="00C918E6"/>
    <w:rsid w:val="00C9294F"/>
    <w:rsid w:val="00C95C5F"/>
    <w:rsid w:val="00CA0BCE"/>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03754"/>
    <w:rsid w:val="00D116B3"/>
    <w:rsid w:val="00D12266"/>
    <w:rsid w:val="00D125BA"/>
    <w:rsid w:val="00D12C60"/>
    <w:rsid w:val="00D12FB2"/>
    <w:rsid w:val="00D15093"/>
    <w:rsid w:val="00D176C2"/>
    <w:rsid w:val="00D219AD"/>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2834"/>
    <w:rsid w:val="00DA4A3C"/>
    <w:rsid w:val="00DA7814"/>
    <w:rsid w:val="00DA7F5A"/>
    <w:rsid w:val="00DB2036"/>
    <w:rsid w:val="00DB2B2B"/>
    <w:rsid w:val="00DB2EA5"/>
    <w:rsid w:val="00DB5D60"/>
    <w:rsid w:val="00DB783D"/>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697"/>
    <w:rsid w:val="00E75A4F"/>
    <w:rsid w:val="00E766EE"/>
    <w:rsid w:val="00E820F5"/>
    <w:rsid w:val="00E86FF0"/>
    <w:rsid w:val="00E873C4"/>
    <w:rsid w:val="00E92452"/>
    <w:rsid w:val="00E97730"/>
    <w:rsid w:val="00EB0F74"/>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3A90"/>
    <w:rsid w:val="00F05333"/>
    <w:rsid w:val="00F0596D"/>
    <w:rsid w:val="00F07663"/>
    <w:rsid w:val="00F10506"/>
    <w:rsid w:val="00F14DAF"/>
    <w:rsid w:val="00F259B1"/>
    <w:rsid w:val="00F30430"/>
    <w:rsid w:val="00F373AC"/>
    <w:rsid w:val="00F37B47"/>
    <w:rsid w:val="00F4097B"/>
    <w:rsid w:val="00F4294B"/>
    <w:rsid w:val="00F466F1"/>
    <w:rsid w:val="00F653A6"/>
    <w:rsid w:val="00F66A4E"/>
    <w:rsid w:val="00F6718E"/>
    <w:rsid w:val="00F7423C"/>
    <w:rsid w:val="00F76B28"/>
    <w:rsid w:val="00F77366"/>
    <w:rsid w:val="00F80770"/>
    <w:rsid w:val="00F84251"/>
    <w:rsid w:val="00F84390"/>
    <w:rsid w:val="00F8458B"/>
    <w:rsid w:val="00F86417"/>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006AC1"/>
  </w:style>
  <w:style w:type="character" w:styleId="UyteHipercze">
    <w:name w:val="FollowedHyperlink"/>
    <w:basedOn w:val="Domylnaczcionkaakapitu"/>
    <w:uiPriority w:val="99"/>
    <w:semiHidden/>
    <w:unhideWhenUsed/>
    <w:rsid w:val="00E756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006AC1"/>
  </w:style>
  <w:style w:type="character" w:styleId="UyteHipercze">
    <w:name w:val="FollowedHyperlink"/>
    <w:basedOn w:val="Domylnaczcionkaakapitu"/>
    <w:uiPriority w:val="99"/>
    <w:semiHidden/>
    <w:unhideWhenUsed/>
    <w:rsid w:val="00E75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24392273">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preis\AppData\Local\Microsoft\Windows\Temporary%20Internet%20Files\Content.Outlook\395N51SQ\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ow-umwd.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BA2E-9EED-46E6-B04C-B14642C9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9294</Words>
  <Characters>55765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7</cp:revision>
  <cp:lastPrinted>2016-08-24T09:15:00Z</cp:lastPrinted>
  <dcterms:created xsi:type="dcterms:W3CDTF">2016-08-22T10:18:00Z</dcterms:created>
  <dcterms:modified xsi:type="dcterms:W3CDTF">2016-08-24T09:15:00Z</dcterms:modified>
</cp:coreProperties>
</file>