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Pr="00BC1814" w:rsidRDefault="00DF1E84" w:rsidP="007C46DB">
      <w:pPr>
        <w:jc w:val="center"/>
        <w:rPr>
          <w:sz w:val="24"/>
          <w:szCs w:val="24"/>
        </w:rPr>
      </w:pPr>
    </w:p>
    <w:p w:rsidR="007C46DB" w:rsidRPr="00107BF3" w:rsidRDefault="007C46DB" w:rsidP="007C46DB">
      <w:pPr>
        <w:jc w:val="center"/>
        <w:rPr>
          <w:rFonts w:ascii="Calibri" w:hAnsi="Calibri" w:cs="Calibri"/>
          <w:b/>
          <w:sz w:val="28"/>
          <w:szCs w:val="28"/>
        </w:rPr>
      </w:pPr>
      <w:r w:rsidRPr="00107BF3">
        <w:rPr>
          <w:rFonts w:ascii="Calibri" w:hAnsi="Calibri" w:cs="Calibri"/>
          <w:b/>
          <w:sz w:val="32"/>
          <w:szCs w:val="32"/>
        </w:rPr>
        <w:t xml:space="preserve">Zarząd Województwa Dolnośląskiego </w:t>
      </w:r>
      <w:r w:rsidRPr="00107BF3">
        <w:rPr>
          <w:rFonts w:ascii="Calibri" w:hAnsi="Calibri" w:cs="Calibri"/>
          <w:b/>
          <w:sz w:val="32"/>
          <w:szCs w:val="32"/>
        </w:rPr>
        <w:br/>
      </w:r>
      <w:r w:rsidRPr="00107BF3">
        <w:rPr>
          <w:rFonts w:ascii="Calibri" w:hAnsi="Calibri" w:cs="Calibri"/>
          <w:b/>
          <w:sz w:val="28"/>
          <w:szCs w:val="28"/>
        </w:rPr>
        <w:t>pełniący rolę</w:t>
      </w:r>
    </w:p>
    <w:p w:rsidR="007C46DB" w:rsidRPr="00107BF3" w:rsidRDefault="007C46DB" w:rsidP="007C46DB">
      <w:pPr>
        <w:jc w:val="center"/>
        <w:rPr>
          <w:rFonts w:ascii="Calibri" w:hAnsi="Calibri" w:cs="Calibri"/>
          <w:b/>
          <w:sz w:val="28"/>
          <w:szCs w:val="28"/>
        </w:rPr>
      </w:pPr>
      <w:r w:rsidRPr="00107BF3">
        <w:rPr>
          <w:rFonts w:ascii="Calibri" w:hAnsi="Calibri" w:cs="Calibri"/>
          <w:b/>
          <w:sz w:val="28"/>
          <w:szCs w:val="28"/>
        </w:rPr>
        <w:t xml:space="preserve">Instytucji Zarządzającej </w:t>
      </w:r>
    </w:p>
    <w:p w:rsidR="007C46DB" w:rsidRPr="00107BF3" w:rsidRDefault="007C46DB" w:rsidP="007C46DB">
      <w:pPr>
        <w:jc w:val="center"/>
        <w:rPr>
          <w:b/>
          <w:sz w:val="28"/>
          <w:szCs w:val="28"/>
        </w:rPr>
      </w:pPr>
      <w:r w:rsidRPr="00107BF3">
        <w:rPr>
          <w:rFonts w:ascii="Calibri" w:hAnsi="Calibri" w:cs="Calibri"/>
          <w:b/>
          <w:sz w:val="28"/>
          <w:szCs w:val="28"/>
        </w:rPr>
        <w:t xml:space="preserve">Regionalnym Programem Operacyjnym Województwa Dolnośląskiego </w:t>
      </w:r>
      <w:r w:rsidRPr="00107BF3">
        <w:rPr>
          <w:rFonts w:ascii="Calibri" w:hAnsi="Calibri" w:cs="Calibri"/>
          <w:b/>
          <w:sz w:val="28"/>
          <w:szCs w:val="28"/>
        </w:rPr>
        <w:br/>
        <w:t>2014-2020</w:t>
      </w:r>
    </w:p>
    <w:p w:rsidR="007C46DB" w:rsidRPr="00107BF3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07BF3">
        <w:rPr>
          <w:rFonts w:ascii="Calibri" w:hAnsi="Calibri" w:cs="Calibri"/>
          <w:b/>
          <w:bCs/>
          <w:sz w:val="28"/>
          <w:szCs w:val="28"/>
        </w:rPr>
        <w:t>ogłasza</w:t>
      </w:r>
      <w:proofErr w:type="gramEnd"/>
      <w:r w:rsidRPr="00107BF3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107BF3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07BF3">
        <w:rPr>
          <w:rFonts w:ascii="Calibri" w:hAnsi="Calibri" w:cs="Calibri"/>
          <w:b/>
          <w:bCs/>
          <w:sz w:val="28"/>
          <w:szCs w:val="28"/>
        </w:rPr>
        <w:t>ze</w:t>
      </w:r>
      <w:proofErr w:type="gramEnd"/>
      <w:r w:rsidRPr="00107BF3">
        <w:rPr>
          <w:rFonts w:ascii="Calibri" w:hAnsi="Calibri" w:cs="Calibri"/>
          <w:b/>
          <w:bCs/>
          <w:sz w:val="28"/>
          <w:szCs w:val="28"/>
        </w:rPr>
        <w:t xml:space="preserve"> środków Europejskiego Funduszu Rozwoju Regionalnego</w:t>
      </w:r>
    </w:p>
    <w:p w:rsidR="007C46DB" w:rsidRPr="00107BF3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107BF3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107BF3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E873C4" w:rsidRPr="00107BF3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7C56" w:rsidRPr="00107BF3" w:rsidRDefault="00427C56" w:rsidP="00427C56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107BF3">
        <w:rPr>
          <w:rFonts w:cs="Arial"/>
          <w:b/>
          <w:sz w:val="28"/>
          <w:szCs w:val="28"/>
        </w:rPr>
        <w:t>Oś priorytetowa 6 Infrastruktura spójności społecznej</w:t>
      </w:r>
    </w:p>
    <w:p w:rsidR="00E873C4" w:rsidRPr="00107BF3" w:rsidRDefault="00E873C4" w:rsidP="007C46DB">
      <w:pPr>
        <w:pStyle w:val="Nagwek"/>
        <w:spacing w:before="120" w:after="120"/>
        <w:rPr>
          <w:rFonts w:ascii="Calibri" w:hAnsi="Calibri" w:cs="Calibri"/>
          <w:b/>
          <w:bCs/>
          <w:sz w:val="28"/>
          <w:szCs w:val="28"/>
        </w:rPr>
      </w:pPr>
    </w:p>
    <w:p w:rsidR="00427C56" w:rsidRPr="00107BF3" w:rsidRDefault="00427C56" w:rsidP="00427C56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bookmarkStart w:id="0" w:name="_Toc422949625"/>
      <w:bookmarkStart w:id="1" w:name="_Toc430826812"/>
      <w:r w:rsidRPr="00107BF3">
        <w:rPr>
          <w:rFonts w:cs="Arial"/>
          <w:b/>
          <w:sz w:val="28"/>
          <w:szCs w:val="28"/>
        </w:rPr>
        <w:t>Działanie 6.2 Inwestycje w infrastrukturę zdrowotną – konkursy horyzontalne</w:t>
      </w:r>
    </w:p>
    <w:p w:rsidR="006754E3" w:rsidRPr="00107BF3" w:rsidRDefault="006754E3" w:rsidP="00480411">
      <w:pPr>
        <w:pStyle w:val="Nagwek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107BF3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07BF3">
        <w:rPr>
          <w:rFonts w:ascii="Calibri" w:hAnsi="Calibri" w:cs="Calibri"/>
          <w:b/>
          <w:bCs/>
          <w:sz w:val="28"/>
          <w:szCs w:val="28"/>
        </w:rPr>
        <w:t>(</w:t>
      </w:r>
      <w:r w:rsidR="00BC1814" w:rsidRPr="00107BF3">
        <w:rPr>
          <w:b/>
          <w:sz w:val="28"/>
          <w:szCs w:val="28"/>
          <w:u w:val="single"/>
        </w:rPr>
        <w:t>O</w:t>
      </w:r>
      <w:r w:rsidR="00FA2094" w:rsidRPr="00107BF3">
        <w:rPr>
          <w:b/>
          <w:sz w:val="28"/>
          <w:szCs w:val="28"/>
          <w:u w:val="single"/>
        </w:rPr>
        <w:t>NKOLOGIA</w:t>
      </w:r>
      <w:r w:rsidRPr="00107BF3">
        <w:rPr>
          <w:rFonts w:ascii="Calibri" w:hAnsi="Calibri" w:cs="Calibri"/>
          <w:b/>
          <w:bCs/>
          <w:sz w:val="28"/>
          <w:szCs w:val="28"/>
        </w:rPr>
        <w:t>)</w:t>
      </w:r>
    </w:p>
    <w:p w:rsidR="006754E3" w:rsidRPr="00107BF3" w:rsidRDefault="006754E3" w:rsidP="006754E3">
      <w:pPr>
        <w:tabs>
          <w:tab w:val="left" w:pos="2835"/>
        </w:tabs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C1814" w:rsidRPr="00107BF3" w:rsidRDefault="00427C56" w:rsidP="00BC1814">
      <w:pPr>
        <w:jc w:val="center"/>
        <w:rPr>
          <w:b/>
          <w:sz w:val="28"/>
          <w:szCs w:val="28"/>
        </w:rPr>
      </w:pPr>
      <w:r w:rsidRPr="00107BF3">
        <w:rPr>
          <w:b/>
          <w:sz w:val="28"/>
          <w:szCs w:val="28"/>
        </w:rPr>
        <w:t xml:space="preserve">Nr naboru </w:t>
      </w:r>
      <w:r w:rsidR="00BC1814" w:rsidRPr="00107BF3">
        <w:rPr>
          <w:b/>
          <w:sz w:val="28"/>
          <w:szCs w:val="28"/>
        </w:rPr>
        <w:t>RPDS.06.02.00-IZ.00-02-158/16</w:t>
      </w:r>
    </w:p>
    <w:p w:rsidR="00427C56" w:rsidRPr="00107BF3" w:rsidRDefault="00427C56" w:rsidP="00427C56">
      <w:pPr>
        <w:spacing w:line="240" w:lineRule="auto"/>
        <w:jc w:val="center"/>
        <w:rPr>
          <w:b/>
          <w:sz w:val="28"/>
          <w:szCs w:val="28"/>
        </w:rPr>
      </w:pPr>
    </w:p>
    <w:p w:rsidR="00124CCA" w:rsidRPr="00107BF3" w:rsidRDefault="00124CCA" w:rsidP="00480411">
      <w:pPr>
        <w:spacing w:line="240" w:lineRule="auto"/>
      </w:pPr>
    </w:p>
    <w:p w:rsidR="00936001" w:rsidRPr="00107BF3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Pr="00107BF3" w:rsidRDefault="00480411" w:rsidP="00921011">
      <w:pPr>
        <w:spacing w:line="240" w:lineRule="auto"/>
        <w:ind w:right="1"/>
        <w:rPr>
          <w:b/>
          <w:bCs/>
        </w:rPr>
      </w:pPr>
    </w:p>
    <w:p w:rsidR="00427C56" w:rsidRPr="00107BF3" w:rsidRDefault="00427C56" w:rsidP="00921011">
      <w:pPr>
        <w:spacing w:line="240" w:lineRule="auto"/>
        <w:ind w:right="1"/>
        <w:rPr>
          <w:b/>
          <w:bCs/>
        </w:rPr>
      </w:pPr>
    </w:p>
    <w:p w:rsidR="00424DF6" w:rsidRPr="00107BF3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7494"/>
      </w:tblGrid>
      <w:tr w:rsidR="00805E31" w:rsidRPr="00107BF3" w:rsidTr="005E1A6B">
        <w:tc>
          <w:tcPr>
            <w:tcW w:w="568" w:type="dxa"/>
          </w:tcPr>
          <w:p w:rsidR="00805E31" w:rsidRPr="00107BF3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t>1.</w:t>
            </w:r>
          </w:p>
        </w:tc>
        <w:tc>
          <w:tcPr>
            <w:tcW w:w="2268" w:type="dxa"/>
          </w:tcPr>
          <w:p w:rsidR="00805E31" w:rsidRPr="00107BF3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107BF3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07BF3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BA161C" w:rsidRPr="00107BF3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107BF3">
              <w:rPr>
                <w:rFonts w:cs="Calibri"/>
              </w:rPr>
              <w:t xml:space="preserve">Nabór w trybie konkursowym </w:t>
            </w:r>
            <w:r w:rsidR="00984533" w:rsidRPr="00107BF3">
              <w:rPr>
                <w:rFonts w:cs="Arial"/>
              </w:rPr>
              <w:t xml:space="preserve">w ramach Regionalnego Programu Operacyjnego Województwa Dolnośląskiego 2014-2020 </w:t>
            </w:r>
            <w:r w:rsidR="00427C56" w:rsidRPr="00107BF3">
              <w:rPr>
                <w:rFonts w:cs="Arial"/>
              </w:rPr>
              <w:t xml:space="preserve">Oś </w:t>
            </w:r>
            <w:proofErr w:type="gramStart"/>
            <w:r w:rsidR="00427C56" w:rsidRPr="00107BF3">
              <w:rPr>
                <w:rFonts w:cs="Arial"/>
              </w:rPr>
              <w:t xml:space="preserve">priorytetowa </w:t>
            </w:r>
            <w:r w:rsidR="00BA161C" w:rsidRPr="00107BF3">
              <w:rPr>
                <w:rFonts w:cs="Arial"/>
              </w:rPr>
              <w:t xml:space="preserve"> </w:t>
            </w:r>
            <w:r w:rsidR="00427C56" w:rsidRPr="00107BF3">
              <w:rPr>
                <w:rFonts w:cs="Arial"/>
              </w:rPr>
              <w:t>6 Infrastruktura</w:t>
            </w:r>
            <w:proofErr w:type="gramEnd"/>
            <w:r w:rsidR="00427C56" w:rsidRPr="00107BF3">
              <w:rPr>
                <w:rFonts w:cs="Arial"/>
              </w:rPr>
              <w:t xml:space="preserve"> spójności społecznej Działanie 6.2 Inwestycje w infrastrukturę zdrowotną </w:t>
            </w:r>
            <w:r w:rsidR="007D2583" w:rsidRPr="00107BF3">
              <w:rPr>
                <w:rFonts w:cs="Arial"/>
              </w:rPr>
              <w:t>– konkurs horyzontalny</w:t>
            </w:r>
            <w:r w:rsidR="00BE1653" w:rsidRPr="00107BF3">
              <w:rPr>
                <w:rFonts w:cs="Arial"/>
              </w:rPr>
              <w:t>.</w:t>
            </w:r>
          </w:p>
          <w:p w:rsidR="00FB53DA" w:rsidRPr="00107BF3" w:rsidRDefault="00427C56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107BF3">
              <w:t>Przez konkurs horyzontalny rozumie się prowadzony w trybie konkursowym nabór wniosków o dofinansowanie ogłaszany na projekty dotyczące całego obszaru Województwa Dolnośląskiego</w:t>
            </w:r>
            <w:r w:rsidR="00BE1653" w:rsidRPr="00107BF3">
              <w:t>.</w:t>
            </w:r>
          </w:p>
        </w:tc>
      </w:tr>
      <w:tr w:rsidR="00424DF6" w:rsidRPr="00107BF3" w:rsidTr="005E1A6B">
        <w:tc>
          <w:tcPr>
            <w:tcW w:w="568" w:type="dxa"/>
          </w:tcPr>
          <w:p w:rsidR="00424DF6" w:rsidRPr="00107BF3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107BF3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t>Pełna nazwa i adres właściwej instytucji</w:t>
            </w:r>
            <w:r w:rsidR="00FD6EC7" w:rsidRPr="00107BF3">
              <w:rPr>
                <w:b/>
              </w:rPr>
              <w:t xml:space="preserve"> </w:t>
            </w:r>
            <w:r w:rsidR="00D560BA" w:rsidRPr="00107BF3">
              <w:rPr>
                <w:b/>
              </w:rPr>
              <w:t>o</w:t>
            </w:r>
            <w:r w:rsidR="00FD6EC7" w:rsidRPr="00107BF3">
              <w:rPr>
                <w:b/>
              </w:rPr>
              <w:t xml:space="preserve">rganizującej </w:t>
            </w:r>
            <w:r w:rsidR="00D560BA" w:rsidRPr="00107BF3">
              <w:rPr>
                <w:b/>
              </w:rPr>
              <w:t>k</w:t>
            </w:r>
            <w:r w:rsidR="00FD6EC7" w:rsidRPr="00107BF3">
              <w:rPr>
                <w:b/>
              </w:rPr>
              <w:t>onkurs</w:t>
            </w:r>
            <w:r w:rsidRPr="00107BF3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3B6C9D" w:rsidRPr="00107BF3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07BF3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107BF3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07BF3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07BF3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 w:cs="Calibri"/>
                <w:szCs w:val="22"/>
              </w:rPr>
            </w:pPr>
            <w:r w:rsidRPr="00107BF3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107BF3">
              <w:rPr>
                <w:rFonts w:asciiTheme="minorHAnsi" w:hAnsiTheme="minorHAnsi"/>
                <w:szCs w:val="22"/>
              </w:rPr>
              <w:br/>
            </w:r>
            <w:r w:rsidRPr="00107BF3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107BF3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107BF3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107BF3">
              <w:rPr>
                <w:rFonts w:asciiTheme="minorHAnsi" w:hAnsiTheme="minorHAnsi"/>
                <w:bCs/>
                <w:szCs w:val="22"/>
              </w:rPr>
              <w:t>ul. Mazowiecka 17, 50-412 Wrocław</w:t>
            </w:r>
            <w:r w:rsidRPr="00107BF3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07BF3" w:rsidTr="005E1A6B">
        <w:tc>
          <w:tcPr>
            <w:tcW w:w="568" w:type="dxa"/>
          </w:tcPr>
          <w:p w:rsidR="00424DF6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t>3</w:t>
            </w:r>
            <w:r w:rsidR="00424DF6" w:rsidRPr="00107BF3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107BF3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F447C2" w:rsidRPr="00107BF3" w:rsidRDefault="00F447C2" w:rsidP="00F447C2">
            <w:pPr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Zgodnie z Planem Działania w sektorze zdrowia na </w:t>
            </w:r>
            <w:proofErr w:type="gramStart"/>
            <w:r w:rsidRPr="00107BF3">
              <w:rPr>
                <w:rFonts w:cstheme="minorHAnsi"/>
              </w:rPr>
              <w:t>rok  2016 w</w:t>
            </w:r>
            <w:proofErr w:type="gramEnd"/>
            <w:r w:rsidRPr="00107BF3">
              <w:rPr>
                <w:rFonts w:cstheme="minorHAnsi"/>
              </w:rPr>
              <w:t xml:space="preserve"> zakresie RPO WD  (załącznik do uchwały Komitetu Sterującego nr 46/2016 z dnia 22 lipca 2016 r.) konkurs dotyczy Narzędzia nr 13 Policy Paper. </w:t>
            </w:r>
          </w:p>
          <w:p w:rsidR="00F447C2" w:rsidRPr="00107BF3" w:rsidRDefault="00F447C2" w:rsidP="00F447C2">
            <w:pPr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Zakres konkursu obejmuje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„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Wsparcie  oddziałów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szpitalnych oraz innych jednostek organizacyjnych szpitali regionalnych udzielających świadczeń zdrowotnych stacjonarnych i całodobowych na rzecz osób dorosłych dedykowanych chorobom nowotworowym”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„Wsparcie jednostek diagnostycznych współpracujących z ww. wymienionymi oddziałami udzielających świadczeń dedykowanych chorobom nowotworowym”</w:t>
            </w:r>
          </w:p>
          <w:p w:rsidR="00F447C2" w:rsidRPr="00107BF3" w:rsidRDefault="00F447C2" w:rsidP="00F447C2">
            <w:pPr>
              <w:ind w:left="360"/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W ramach konkursu dofinansowaniu będą podlegać następujące typy projektów określone dla działania 6.2 Inwestycje w infrastrukturę zdrowotną: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6.2.A.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prace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remontowo-budowlane niezbędne z punktu widzenia udzielania świadczeń zdrowotnych w zakresie onkologii, w tym w zakresie dostosowania infrastruktury do potrzeb osób starszych i niepełnosprawnych.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Co do zasady ww. działania nie mogą polegać na dostosowaniu istniejącej infrastruktury do obowiązujących przepisów prawa,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chyba że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ich realizacja uzasadniona jest z punktu widzenia poprawy efektywności (w tym kosztowej) i dostępu do świadczeń opieki zdrowotnej.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6.2.B. wyposażenie w sprzęt medyczny wykorzystywany do udzielania </w:t>
            </w:r>
            <w:r w:rsidRPr="00107BF3">
              <w:rPr>
                <w:rFonts w:asciiTheme="minorHAnsi" w:hAnsiTheme="minorHAnsi" w:cstheme="minorHAnsi"/>
                <w:szCs w:val="22"/>
              </w:rPr>
              <w:lastRenderedPageBreak/>
              <w:t xml:space="preserve">świadczeń zdrowotnych w zakresie onkologii </w:t>
            </w:r>
          </w:p>
          <w:p w:rsidR="00C54264" w:rsidRPr="00107BF3" w:rsidRDefault="00C54264" w:rsidP="00C54264">
            <w:pPr>
              <w:contextualSpacing/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107BF3">
              <w:rPr>
                <w:rFonts w:cstheme="minorHAnsi"/>
                <w:sz w:val="18"/>
                <w:szCs w:val="18"/>
                <w:u w:val="single"/>
              </w:rPr>
              <w:t xml:space="preserve">Na potrzeby niniejszego konkursu poprzez sprzęt medyczny należy rozumieć wyrób medyczny w rozumieniu ustawy z dnia 20 </w:t>
            </w:r>
            <w:proofErr w:type="gramStart"/>
            <w:r w:rsidRPr="00107BF3">
              <w:rPr>
                <w:rFonts w:cstheme="minorHAnsi"/>
                <w:sz w:val="18"/>
                <w:szCs w:val="18"/>
                <w:u w:val="single"/>
              </w:rPr>
              <w:t>maja 2010 r</w:t>
            </w:r>
            <w:proofErr w:type="gramEnd"/>
            <w:r w:rsidRPr="00107BF3">
              <w:rPr>
                <w:rFonts w:cstheme="minorHAnsi"/>
                <w:sz w:val="18"/>
                <w:szCs w:val="18"/>
                <w:u w:val="single"/>
              </w:rPr>
              <w:t xml:space="preserve"> o wyrobach medycznych</w:t>
            </w:r>
          </w:p>
          <w:p w:rsidR="00C54264" w:rsidRPr="00107BF3" w:rsidRDefault="00C54264" w:rsidP="00C54264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ind w:left="360"/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Możliwe jest łączenie ww. typów projektów – o wyborze typu decyduje struktura wydatków kwalifikowalnych (ich większościowy udział).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Elementami projektu mogą być: </w:t>
            </w:r>
          </w:p>
          <w:p w:rsidR="00F447C2" w:rsidRPr="00107BF3" w:rsidRDefault="00F447C2" w:rsidP="007D2583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działania związane z termomodernizacją (w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rozumieniu  ustawy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 z dnia 21 listopada 2008 r. o wspieraniu termomodernizacji i remontów), jeżeli ich wartość nie przekracza 49% wartości całkowitych wydatków kwalifikowanych projektu. </w:t>
            </w:r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 xml:space="preserve">Termomodernizacją może zostać objęty tylko ten budynek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>lub  ta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 xml:space="preserve"> część budynku, w której udzielane są wyłącznie świadczenia zdrowotne w zakresie onkologii</w:t>
            </w:r>
            <w:r w:rsidR="007D2583" w:rsidRPr="00107BF3">
              <w:rPr>
                <w:u w:val="single"/>
              </w:rPr>
              <w:t xml:space="preserve"> </w:t>
            </w:r>
            <w:r w:rsidR="007D2583" w:rsidRPr="00107BF3">
              <w:rPr>
                <w:rFonts w:asciiTheme="minorHAnsi" w:hAnsiTheme="minorHAnsi" w:cstheme="minorHAnsi"/>
                <w:szCs w:val="22"/>
                <w:u w:val="single"/>
              </w:rPr>
              <w:t>z zastrzeżeniem infrastruktury wspólnej.</w:t>
            </w:r>
          </w:p>
          <w:p w:rsidR="00F447C2" w:rsidRPr="00107BF3" w:rsidRDefault="00F447C2" w:rsidP="00C54264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rozwiązania w zakresie ICT (oprogramowanie, sprzęt),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jeżeli  ich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wartość nie przekracza 49% wartości całkowitych wydatków kwalifikowalnych projektu, pod warunkiem, że nie będą związane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Pr="00107BF3">
              <w:rPr>
                <w:rFonts w:asciiTheme="minorHAnsi" w:hAnsiTheme="minorHAnsi" w:cstheme="minorHAnsi"/>
                <w:szCs w:val="22"/>
              </w:rPr>
              <w:t>telemedycyny</w:t>
            </w:r>
            <w:proofErr w:type="spellEnd"/>
            <w:r w:rsidRPr="00107BF3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 xml:space="preserve">Rozwiązania w zakresie ICT mogą być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>związane  wyłącznie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 xml:space="preserve"> z udzielaniem świadczeń zdrowotnych w zakresie onkologii.</w:t>
            </w:r>
          </w:p>
          <w:p w:rsidR="00F447C2" w:rsidRPr="00107BF3" w:rsidRDefault="00F447C2" w:rsidP="00C54264">
            <w:pPr>
              <w:ind w:left="360"/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Ww. limity </w:t>
            </w:r>
            <w:proofErr w:type="gramStart"/>
            <w:r w:rsidRPr="00107BF3">
              <w:rPr>
                <w:rFonts w:cstheme="minorHAnsi"/>
              </w:rPr>
              <w:t>procentowe  nie</w:t>
            </w:r>
            <w:proofErr w:type="gramEnd"/>
            <w:r w:rsidRPr="00107BF3">
              <w:rPr>
                <w:rFonts w:cstheme="minorHAnsi"/>
              </w:rPr>
              <w:t xml:space="preserve"> sumują się – elementy uzupełniające w projekcie zawsze powinny stanowić maksymalnie 49% całkowitych  wydatków kwalifikowalnych, jeśli np. projekt składa się z przebudowy obiektu, jego termomodernizacji, wyposażenia w sprzęt medyczny oraz I</w:t>
            </w:r>
            <w:r w:rsidR="007D2583" w:rsidRPr="00107BF3">
              <w:rPr>
                <w:rFonts w:cstheme="minorHAnsi"/>
              </w:rPr>
              <w:t>C</w:t>
            </w:r>
            <w:r w:rsidRPr="00107BF3">
              <w:rPr>
                <w:rFonts w:cstheme="minorHAnsi"/>
              </w:rPr>
              <w:t xml:space="preserve">T, wówczas wydatki na przebudowę i wyposażenie w sprzęt medyczny obiektu  powinny stanowić więcej niż 51% wydatków kwalifikowalnych.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 xml:space="preserve">Do dofinansowania mogą zostać przyjęte wyłącznie projekty: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  <w:u w:val="single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zgodne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z  narzędziem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13 Policy Paper tj. „wsparcie regionalnych podmiotów leczniczych udzielających świadczeń zdrowotnych na rzecz osób dorosłych, dedykowanych chorobom, które są istotna przyczyną dezaktywizacji zawodowej (choroby nowotworowe)”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 zgodne z właściwą mapą potrzeb zdrowotnych (mapa potrzeb zdrowotnych w zakresie onkologii dla województwa dolnośląskiego), wydaną na podstawie ustawy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o  świadczeniach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opieki zdrowotnej finansowanych ze środków publicznych,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posiadający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pozytywną opinię o celowości inwestycji (zwaną dalej: OCI), o której mowa w ustawie o  świadczeniach opieki zdrowotnej finansowanych ze środków publicznych. 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cstheme="minorHAnsi"/>
              </w:rPr>
              <w:t>Zgodnie z rekomendacjami Komitetu Sterującego przyjętymi uchwałą nr 28/2016 projekty z zakresu onkologii nie mogą przewidywać: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„zwiększania liczby urządzeń do Pozytonowej Tomografii Emisyjnej (PET) – chyba, że taka potrzeba została zidentyfikowana we właściwej mapie i - o ile jest to uzasadnione - przy wykorzystaniu danych zawartych w platformie dostępnej pod adresem: </w:t>
            </w:r>
            <w:hyperlink r:id="rId9" w:history="1">
              <w:r w:rsidRPr="00107BF3">
                <w:rPr>
                  <w:rStyle w:val="Hipercze"/>
                  <w:rFonts w:asciiTheme="minorHAnsi" w:hAnsiTheme="minorHAnsi" w:cstheme="minorHAnsi"/>
                  <w:i/>
                  <w:color w:val="auto"/>
                  <w:szCs w:val="22"/>
                </w:rPr>
                <w:t>e-learning.mapypotrzebzdrowotnych@mz.gov.pl</w:t>
              </w:r>
            </w:hyperlink>
            <w:r w:rsidRPr="00107BF3">
              <w:rPr>
                <w:rFonts w:asciiTheme="minorHAnsi" w:hAnsiTheme="minorHAnsi" w:cstheme="minorHAnsi"/>
                <w:i/>
                <w:szCs w:val="22"/>
              </w:rPr>
              <w:t>”.</w:t>
            </w:r>
            <w:r w:rsidRPr="00107BF3">
              <w:rPr>
                <w:rFonts w:asciiTheme="minorHAnsi" w:hAnsiTheme="minorHAnsi" w:cstheme="minorHAnsi"/>
                <w:szCs w:val="22"/>
              </w:rPr>
              <w:t xml:space="preserve"> Zgodnie z mapą potrzeb zdrowotnych w zakresie onkologii dla województwa dolnośląskiego aktualna liczba urządzeń PET dostępnych w województwie jest wystarczająca. 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107BF3">
              <w:rPr>
                <w:rFonts w:asciiTheme="minorHAnsi" w:hAnsiTheme="minorHAnsi" w:cstheme="minorHAnsi"/>
                <w:i/>
                <w:szCs w:val="22"/>
              </w:rPr>
              <w:t>„wymiany PET – chyba, że taki wydatek zostanie uzasadniony stopniem zużycia urządzenia”,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i/>
                <w:szCs w:val="22"/>
              </w:rPr>
              <w:t>„utworzenia nowego ośrodka chemioterapii – chyba, że taka potrzeba została zidentyfikowana we właściwej mapie i - o ile jest to uzasadnione - przy wykorzystaniu danych zawartych w platformie, dostępnej pod adresem</w:t>
            </w:r>
            <w:r w:rsidRPr="00107BF3">
              <w:rPr>
                <w:rStyle w:val="Hipercze"/>
                <w:rFonts w:cstheme="minorHAnsi"/>
                <w:color w:val="auto"/>
              </w:rPr>
              <w:t xml:space="preserve">: </w:t>
            </w:r>
            <w:hyperlink r:id="rId10" w:history="1">
              <w:r w:rsidRPr="00107BF3">
                <w:rPr>
                  <w:rStyle w:val="Hipercze"/>
                  <w:rFonts w:asciiTheme="minorHAnsi" w:hAnsiTheme="minorHAnsi" w:cstheme="minorHAnsi"/>
                  <w:i/>
                  <w:color w:val="auto"/>
                  <w:szCs w:val="22"/>
                </w:rPr>
                <w:t>e-learning.mapypotrzebzdrowotnych@mz.gov.pl</w:t>
              </w:r>
            </w:hyperlink>
            <w:r w:rsidRPr="00107BF3">
              <w:rPr>
                <w:rFonts w:asciiTheme="minorHAnsi" w:hAnsiTheme="minorHAnsi" w:cstheme="minorHAnsi"/>
                <w:i/>
                <w:szCs w:val="22"/>
              </w:rPr>
              <w:t>”.</w:t>
            </w:r>
            <w:r w:rsidRPr="00107BF3">
              <w:rPr>
                <w:rFonts w:asciiTheme="minorHAnsi" w:hAnsiTheme="minorHAnsi" w:cstheme="minorHAnsi"/>
                <w:szCs w:val="22"/>
              </w:rPr>
              <w:t xml:space="preserve"> Zgodnie z mapą potrzeb zdrowotnych w zakresie onkologii dla województwa dolnośląskiego w wariancie maksymalnym do roku 2029 wzrost liczby osobodni świadczeń chemioterapii pozwoli na pojawienie się nowego ośrodka realizującego takie świadczenia. 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„zakupu dodatkowego akceleratora liniowego do </w:t>
            </w:r>
            <w:proofErr w:type="spellStart"/>
            <w:r w:rsidRPr="00107BF3">
              <w:rPr>
                <w:rFonts w:asciiTheme="minorHAnsi" w:hAnsiTheme="minorHAnsi" w:cstheme="minorHAnsi"/>
                <w:i/>
                <w:szCs w:val="22"/>
              </w:rPr>
              <w:t>teleradioterapii</w:t>
            </w:r>
            <w:proofErr w:type="spellEnd"/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 – chyba, że taka potrzeba została zidentyfikowana we właściwej mapie i - o ile jest to uzasadnione - przy wykorzystaniu danych zawartych w platformie oraz jedynie w miastach w niej wskazanyc</w:t>
            </w:r>
            <w:r w:rsidRPr="00107BF3">
              <w:rPr>
                <w:rFonts w:asciiTheme="minorHAnsi" w:hAnsiTheme="minorHAnsi" w:cstheme="minorHAnsi"/>
                <w:szCs w:val="22"/>
              </w:rPr>
              <w:t>h”.  Zgodnie z mapą potrzeb zdrowotnych w zakresie onkologii dla województwa dolnośląskiego w roku 2025 powinno być zainstalowanych 14 przyspieszaczy liniowych (6 we Wrocławiu, 4 w Wałbrzychu i po 2 w Legnicy i Jeleniej Górze).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„wymiany akceleratora liniowego do </w:t>
            </w:r>
            <w:proofErr w:type="spellStart"/>
            <w:r w:rsidRPr="00107BF3">
              <w:rPr>
                <w:rFonts w:asciiTheme="minorHAnsi" w:hAnsiTheme="minorHAnsi" w:cstheme="minorHAnsi"/>
                <w:i/>
                <w:szCs w:val="22"/>
              </w:rPr>
              <w:t>teleradioterapii</w:t>
            </w:r>
            <w:proofErr w:type="spellEnd"/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 – chyba, że taki wydatek zostanie uzasadniony stopniem zużycia urządzenia, w tym w </w:t>
            </w:r>
            <w:proofErr w:type="gramStart"/>
            <w:r w:rsidRPr="00107BF3">
              <w:rPr>
                <w:rFonts w:asciiTheme="minorHAnsi" w:hAnsiTheme="minorHAnsi" w:cstheme="minorHAnsi"/>
                <w:i/>
                <w:szCs w:val="22"/>
              </w:rPr>
              <w:t>szczególności gdy</w:t>
            </w:r>
            <w:proofErr w:type="gramEnd"/>
            <w:r w:rsidRPr="00107BF3">
              <w:rPr>
                <w:rFonts w:asciiTheme="minorHAnsi" w:hAnsiTheme="minorHAnsi" w:cstheme="minorHAnsi"/>
                <w:i/>
                <w:szCs w:val="22"/>
              </w:rPr>
              <w:t xml:space="preserve"> urządzenie ma więcej niż 10 lat”</w:t>
            </w:r>
            <w:r w:rsidRPr="00107BF3">
              <w:rPr>
                <w:rFonts w:asciiTheme="minorHAnsi" w:hAnsiTheme="minorHAnsi" w:cstheme="minorHAnsi"/>
                <w:szCs w:val="22"/>
              </w:rPr>
              <w:t xml:space="preserve"> – szczegółowe informacje na temat optymalizacji zakupu i lokalizację przyspieszaczy liniowych w Polsce (w tym w województwie dolnośląskim) znajdują się na stronie 162 mapy potrzeb zdrowotnych w zakresie onkologii dla województwa dolnośląskiego (tab. nr 25).</w:t>
            </w:r>
          </w:p>
          <w:p w:rsidR="00F447C2" w:rsidRPr="00107BF3" w:rsidRDefault="00F447C2" w:rsidP="00F447C2">
            <w:pPr>
              <w:jc w:val="both"/>
              <w:rPr>
                <w:rFonts w:cstheme="minorHAnsi"/>
                <w:b/>
              </w:rPr>
            </w:pPr>
            <w:r w:rsidRPr="00107BF3">
              <w:rPr>
                <w:rFonts w:cstheme="minorHAnsi"/>
                <w:b/>
              </w:rPr>
              <w:t xml:space="preserve">Infrastruktura wsparta w ramach projektu (w tym zarówno będąca wynikiem podjętych prac remontowo-budowlanych czy </w:t>
            </w:r>
            <w:r w:rsidR="009A24E0" w:rsidRPr="00107BF3">
              <w:rPr>
                <w:rFonts w:cstheme="minorHAnsi"/>
                <w:b/>
              </w:rPr>
              <w:t>termo</w:t>
            </w:r>
            <w:r w:rsidR="00772C15" w:rsidRPr="00107BF3">
              <w:rPr>
                <w:rFonts w:cstheme="minorHAnsi"/>
                <w:b/>
              </w:rPr>
              <w:t xml:space="preserve">modernizacyjnych), a także zakupiony sprzęt medyczny oraz </w:t>
            </w:r>
            <w:proofErr w:type="gramStart"/>
            <w:r w:rsidR="00772C15" w:rsidRPr="00107BF3">
              <w:rPr>
                <w:rFonts w:cstheme="minorHAnsi"/>
                <w:b/>
              </w:rPr>
              <w:t>ICT</w:t>
            </w:r>
            <w:r w:rsidR="009A24E0" w:rsidRPr="00107BF3">
              <w:rPr>
                <w:rFonts w:cstheme="minorHAnsi"/>
                <w:b/>
              </w:rPr>
              <w:t xml:space="preserve">  może</w:t>
            </w:r>
            <w:proofErr w:type="gramEnd"/>
            <w:r w:rsidR="009A24E0" w:rsidRPr="00107BF3">
              <w:rPr>
                <w:rFonts w:cstheme="minorHAnsi"/>
                <w:b/>
              </w:rPr>
              <w:t xml:space="preserve"> być wykorzystywany</w:t>
            </w:r>
            <w:r w:rsidRPr="00107BF3">
              <w:rPr>
                <w:rFonts w:cstheme="minorHAnsi"/>
                <w:b/>
              </w:rPr>
              <w:t xml:space="preserve"> przez beneficjentów wyłącznie na potrzeby udzielania świadczeń zdrowotnych </w:t>
            </w:r>
            <w:r w:rsidRPr="00107BF3">
              <w:rPr>
                <w:rFonts w:cstheme="minorHAnsi"/>
                <w:b/>
              </w:rPr>
              <w:lastRenderedPageBreak/>
              <w:t xml:space="preserve">finansowanych ze środków publicznych, zgodnie z zakresem projektu z zastrzeżeniem poniższych regulacji.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Zakupione w ramach przedmiotowego Konkursu wyroby medyczne powinny być zlokalizowane na oddziałach lub w innych jednostkach organizacyjnych szpitali regionalnych, udzielających świadczeń (zdrowotnych stacjonarnych i całodobowych na rzecz osób dorosłych) dedykowanych chorobom nowotworowym lub w pracowniach diagnostycznych współpracujących z ww. jednostkami.</w:t>
            </w:r>
          </w:p>
          <w:p w:rsidR="00F447C2" w:rsidRPr="00107BF3" w:rsidRDefault="00F447C2" w:rsidP="00F447C2">
            <w:pPr>
              <w:pStyle w:val="Akapitzlist"/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Dopuszczalna jest sytuacja, w której zakupione w ramach projektu wyroby medyczne wykorzystywane będą w ramach Ambulatoryjnej Opieki Specjalistycznej (AOS) do udzielania świadczeń opieki zdrowotnej na podstawie umowy zawartej z NFZ o udzielanie świadczeń opieki w rodzaju ambulatoryjna opieka zdrowotna, pod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warunkiem że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wykorzystywanie zakupionych wyrobów medycznych do udzielania świadczeń opieki zdrowotnej pacjentom w ramach AOS nie będzie kolidować z ich wykorzystywaniem do udzielania świadczeń pacjentom hospitalizowanym na oddziałach lub w innych jednostkach organizacyjnych szpitali regionalnych, udzielających świadczeń (zdrowotnych stacjonarnych i całodobowych na rzecz osób dorosłych) dedykowanych chorobom nowotworowym.</w:t>
            </w:r>
          </w:p>
          <w:p w:rsidR="00F447C2" w:rsidRPr="00107BF3" w:rsidRDefault="00F447C2" w:rsidP="00F447C2">
            <w:pPr>
              <w:pStyle w:val="Akapitzlist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8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Zakupione wyroby medyczne mogą być wykorzystywane również na potrzeby innych oddziałów szpitalnych do udzielania świadczeń opieki zdrowotnej na podstawie umowy zawartej z NFZ, pod warunkiem, że nie będzie to kolidować z ich wykorzystywaniem do udzielania świadczeń pacjentom hospitalizowanym na oddziałach lub w innych jednostkach organizacyjnych szpitali regionalnych, udzielających świadczeń (zdrowotnych stacjonarnych i całodobowych na rzecz osób dorosłych) dedykowanych chorobom nowotworowym, czy też jednostkach diagnostycznych współpracujących z ww. oddziałami. Ww. wydatki będą uznane za kwalifikowane pod warunkiem,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że  stopień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ich wykorzystania na potrzeby świadczeń zdrowotnych w zakresie onkologii wyniesie więcej niż 50% </w:t>
            </w:r>
            <w:r w:rsidR="00772C15" w:rsidRPr="00107BF3">
              <w:rPr>
                <w:rFonts w:asciiTheme="minorHAnsi" w:hAnsiTheme="minorHAnsi" w:cstheme="minorHAnsi"/>
                <w:szCs w:val="22"/>
              </w:rPr>
              <w:t>- decyduje liczba wykonanych badań</w:t>
            </w:r>
          </w:p>
          <w:p w:rsidR="00F447C2" w:rsidRPr="00107BF3" w:rsidRDefault="00F447C2" w:rsidP="00F447C2">
            <w:pPr>
              <w:pStyle w:val="Akapitzlist"/>
              <w:ind w:left="720"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8"/>
              </w:numPr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Dopuszczalne są sytuacje za zgodą Instytucji Zarządzającej, w których beneficjent w przypadku braku możliwości wykorzystywania zakupionych wyrobów medycznych w pełnym zakresie możliwości technicznych urządzenia z uwagi na wysokość posiadanej umowy o udzielanie świadczeń opieki zdrowotnej zawartej z NFZ, udziela świadczeń zdrowotnych na zasadach podwykonawstwa na rzecz innego podmiotu </w:t>
            </w:r>
            <w:r w:rsidRPr="00107BF3">
              <w:rPr>
                <w:rFonts w:asciiTheme="minorHAnsi" w:hAnsiTheme="minorHAnsi" w:cstheme="minorHAnsi"/>
                <w:szCs w:val="22"/>
              </w:rPr>
              <w:lastRenderedPageBreak/>
              <w:t xml:space="preserve">leczniczego. Świadczenia realizowane na rzecz innego podmiotu muszą być finansowane ze środków pochodzących z umowy o udzielanie świadczeń opieki zdrowotnej zawartej z NFZ przez ten podmiot leczniczy. </w:t>
            </w:r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>Umowa pomiędzy beneficjentem a kontrahentem powinna obejmować wyłącznie zwrot kosztów eksploatacyjnych i nie generować przychodu w projekcie.</w:t>
            </w:r>
            <w:r w:rsidRPr="00107BF3">
              <w:rPr>
                <w:rFonts w:asciiTheme="minorHAnsi" w:hAnsiTheme="minorHAnsi" w:cstheme="minorHAnsi"/>
                <w:szCs w:val="22"/>
              </w:rPr>
              <w:t xml:space="preserve"> Sytuacja taka możliwa jest pod warunkiem, że nie będzie kolidować z udzielaniem świadczeń zdrowotnych pacjentom oddziałów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szpitalnych  lub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jednostek organizacyjnych szpitali regionalnych, udzielających świadczeń (zdrowotnych stacjonarnych i całodobowych na rzecz osób dorosłych) dedykowanych chorobom nowotworowym oraz w jednostkach diagnostycznych współpracujących z ww. oddziałami. </w:t>
            </w:r>
          </w:p>
          <w:p w:rsidR="00F447C2" w:rsidRPr="00107BF3" w:rsidRDefault="00F447C2" w:rsidP="00F447C2">
            <w:pPr>
              <w:rPr>
                <w:u w:val="single"/>
              </w:rPr>
            </w:pP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u w:val="single"/>
              </w:rPr>
            </w:pPr>
            <w:r w:rsidRPr="00107BF3">
              <w:rPr>
                <w:rFonts w:asciiTheme="minorHAnsi" w:hAnsiTheme="minorHAnsi" w:cstheme="minorHAnsi"/>
                <w:szCs w:val="22"/>
                <w:u w:val="single"/>
              </w:rPr>
              <w:t>Preferowane będą projekty: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Zapewniające kompleksową opieką onkologiczną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Zakładające przeniesienie akcentów z usług wymagających hospitalizacji na rzecz POZ/AOS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Których wnioskodawcy zrealizowali, realizują lub planują realizację działań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konsolidacyjnych</w:t>
            </w:r>
            <w:proofErr w:type="gramEnd"/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Realizowane przez podmiot posiadający zatwierdzony program restrukturyzacji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Przewidujące wysoki poziom wykorzystania łóżek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Przyczyniające się do zwiększenia wykrywalności nowotworów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Przyczyniające się do poprawy, jakości i dostępności do świadczeń opieki zdrowotnej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Przewidujące wykorzystanie wyrobów medycznych w zakresie AOS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Zakładające doposażenie lub modernizację Bloku operacyjnego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Tych wnioskodawców, których kadra medyczna uczestniczy w kształceniu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ind w:left="360"/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cstheme="minorHAnsi"/>
              </w:rPr>
              <w:t xml:space="preserve">Szczegółowe informacje na temat zastosowanych w przedmiotowym naborze kryteriów wyboru projektów w załączniku nr 1 do Regulaminu. 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F447C2" w:rsidRPr="00107BF3" w:rsidRDefault="00F447C2" w:rsidP="00F447C2">
            <w:pPr>
              <w:contextualSpacing/>
              <w:jc w:val="both"/>
              <w:rPr>
                <w:rFonts w:cstheme="minorHAnsi"/>
              </w:rPr>
            </w:pPr>
            <w:r w:rsidRPr="00107BF3">
              <w:rPr>
                <w:rFonts w:cstheme="minorHAnsi"/>
              </w:rPr>
              <w:t>Nie będą finansowane: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w zakresie ICT (oprogramowanie, sprzęt), przekraczające 49% wartości całkowitych wydatków kwalifikowalnych projektu.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Wydatki dot. ICT (oprogramowanie, sprzęt) w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zakresie w jakim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związane są z realizacją działań wskazanych w Narzędziu 26 Policy Paper tj. upowszechnienie wymiany elektronicznej dokumentacji medycznej oraz Narzędziu 27 Policy Paper tj. upowszechnienie wykorzystania </w:t>
            </w:r>
            <w:proofErr w:type="spellStart"/>
            <w:r w:rsidRPr="00107BF3">
              <w:rPr>
                <w:rFonts w:asciiTheme="minorHAnsi" w:hAnsiTheme="minorHAnsi" w:cstheme="minorHAnsi"/>
                <w:szCs w:val="22"/>
              </w:rPr>
              <w:t>telemedycyny</w:t>
            </w:r>
            <w:proofErr w:type="spellEnd"/>
            <w:r w:rsidRPr="00107BF3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lastRenderedPageBreak/>
              <w:t xml:space="preserve">Wydatki dot. ICT (oprogramowanie,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sprzęt) które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nie są wyłącznie związane z udzielaniem świadczeń zdrowotnych w zakresie onkologii,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związane z termomodernizacją, przekraczające 49% wartości całkowitych wydatków kwalifikowalnych projektu.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Wydatki związane z  pracami remontowo – budowalnymi lub termomodernizacją, które nie są wyłącznie związane z udzielaniem świadczeń zdrowotnych w zakresie onkologii, za wyjątkiem infrastruktury wspólnej. Pod pojęciem infrastruktury wspólnej rozumie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się  m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>. in. dach, piwnice, klatki schodowe, windy, wewnętrzne ciągi komunikacyjne w budynku, w którym zlokalizowane będą oddziały oraz inne jednostki organizacyjne szpitali regionalnych udzielające świadczeń (zdrowotnych stacjonarnych i całodobowych na rzecz osób dorosłych), dedykowanych chorobom nowotworowym, a także pracownie diagnostyczne współpracujące z ww. oddziałami. Wydatki związane z pracami remontowo-budowlanymi lub termomodernizacją w ww. zakresie mogą zostać uznane za kwalifikowalne jedynie w proporcji równej udziałowi powierzchni tych oddziałów/jednostek organizacyjnych/pracowni diagnostycznych w całości powierzchni budynku, w którym się znajdują.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Wydatki na inwestycje polegające na dostosowaniu istniejącej infrastruktury do obowiązujących przepisów –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chyba że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ich realizacja jest uzasadniona z punktu widzenia poprawy efektywności (w tym kosztowej) i dostępu do świadczeń opieki zdrowotnej.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związane z modernizacją i wyposażeniem pomieszczeń socjalnych, gospodarczych oraz części administracyjnej niezwiązanej z bezpośrednią obsługą pacjentów, z wyjątkiem projektów dotyczących zakupu i wdrożenia technologii informatyczno-komunikacyjnych</w:t>
            </w:r>
            <w:r w:rsidR="007D2583" w:rsidRPr="00107BF3">
              <w:rPr>
                <w:rFonts w:asciiTheme="minorHAnsi" w:hAnsiTheme="minorHAnsi" w:cstheme="minorHAnsi"/>
                <w:szCs w:val="22"/>
              </w:rPr>
              <w:t xml:space="preserve"> (ICT)</w:t>
            </w:r>
            <w:r w:rsidRPr="00107BF3">
              <w:rPr>
                <w:rFonts w:asciiTheme="minorHAnsi" w:hAnsiTheme="minorHAnsi" w:cstheme="minorHAnsi"/>
                <w:szCs w:val="22"/>
              </w:rPr>
              <w:t>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6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dot. zakupu sprzętu medycznego, który w mniej niż 50% będzie wykorzystywany na potrzeby świadczeń zdrowotnych w zakresie onkologii</w:t>
            </w:r>
            <w:r w:rsidR="00CA5856" w:rsidRPr="00107BF3">
              <w:rPr>
                <w:rFonts w:asciiTheme="minorHAnsi" w:hAnsiTheme="minorHAnsi" w:cstheme="minorHAnsi"/>
                <w:szCs w:val="22"/>
              </w:rPr>
              <w:t xml:space="preserve"> - decyduje liczba wykonanych badań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związane z zakupem sprzętu medycznego, na którym będą świadczone usługi medyczne odpłatne, generujące przychód w projekcie.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Wydatki dot. zakupu urządzeń do </w:t>
            </w:r>
            <w:proofErr w:type="spellStart"/>
            <w:r w:rsidRPr="00107BF3">
              <w:rPr>
                <w:rFonts w:asciiTheme="minorHAnsi" w:hAnsiTheme="minorHAnsi" w:cstheme="minorHAnsi"/>
                <w:szCs w:val="22"/>
              </w:rPr>
              <w:t>Pozytynowej</w:t>
            </w:r>
            <w:proofErr w:type="spellEnd"/>
            <w:r w:rsidRPr="00107BF3">
              <w:rPr>
                <w:rFonts w:asciiTheme="minorHAnsi" w:hAnsiTheme="minorHAnsi" w:cstheme="minorHAnsi"/>
                <w:szCs w:val="22"/>
              </w:rPr>
              <w:t xml:space="preserve"> Tomografii Emisyjnej (PET).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na budowę i modernizację parkingów, dróg dojazdowych i wewnętrznych.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29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Wydatki na zagospodarowanie otoczenia w zieleń i drobną architekturę.</w:t>
            </w:r>
          </w:p>
          <w:p w:rsidR="00F447C2" w:rsidRPr="00107BF3" w:rsidRDefault="00F447C2" w:rsidP="00F447C2">
            <w:pPr>
              <w:pStyle w:val="Akapitzlist"/>
              <w:spacing w:before="0" w:after="200" w:line="276" w:lineRule="auto"/>
              <w:ind w:left="720"/>
              <w:contextualSpacing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107BF3">
              <w:rPr>
                <w:rFonts w:cstheme="minorHAnsi"/>
              </w:rPr>
              <w:t>Kategorią interwencji dla niniejszego konkursu jest kategoria 053 Infrastruktura ochrony zdrowia</w:t>
            </w:r>
          </w:p>
          <w:p w:rsidR="002368A3" w:rsidRPr="00107BF3" w:rsidRDefault="002368A3" w:rsidP="00FA2094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447C2" w:rsidRPr="00107BF3" w:rsidRDefault="00F447C2" w:rsidP="00F447C2">
            <w:pPr>
              <w:pStyle w:val="Default"/>
              <w:rPr>
                <w:color w:val="auto"/>
              </w:rPr>
            </w:pP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lastRenderedPageBreak/>
              <w:t>4</w:t>
            </w:r>
            <w:r w:rsidR="00984533" w:rsidRPr="00107BF3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07BF3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F447C2" w:rsidRPr="00107BF3" w:rsidRDefault="00F447C2" w:rsidP="00F447C2">
            <w:pPr>
              <w:spacing w:after="0"/>
              <w:jc w:val="both"/>
              <w:rPr>
                <w:rFonts w:cs="Calibri"/>
              </w:rPr>
            </w:pPr>
            <w:r w:rsidRPr="00107BF3">
              <w:rPr>
                <w:rFonts w:cs="Calibri"/>
              </w:rPr>
              <w:t xml:space="preserve">O dofinansowanie w ramach konkursu mogą ubiegać się podmioty (publiczne i prywatne) wykonujące działalność leczniczą – zgodnie z ustawą o działalności leczniczej, udzielające świadczeń opieki zdrowotnej finansowanych ze środków publicznych w zakresie leczenia szpitalnego (tj. na podstawie umowy o udzielanie świadczeń opieki zdrowotnej zawartej z dyrektorem dolnośląskiego </w:t>
            </w:r>
            <w:proofErr w:type="gramStart"/>
            <w:r w:rsidRPr="00107BF3">
              <w:rPr>
                <w:rFonts w:cs="Calibri"/>
              </w:rPr>
              <w:t>oddziału  NFZ</w:t>
            </w:r>
            <w:proofErr w:type="gramEnd"/>
            <w:r w:rsidRPr="00107BF3">
              <w:rPr>
                <w:rFonts w:cs="Calibri"/>
              </w:rPr>
              <w:t>):</w:t>
            </w:r>
          </w:p>
          <w:p w:rsidR="00F447C2" w:rsidRPr="00107BF3" w:rsidRDefault="00F447C2" w:rsidP="00F447C2">
            <w:pPr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  <w:r w:rsidRPr="00107BF3">
              <w:rPr>
                <w:rFonts w:asciiTheme="minorHAnsi" w:hAnsiTheme="minorHAnsi" w:cs="Calibri"/>
              </w:rPr>
              <w:t xml:space="preserve">W przypadku gdy zakres projektu jest zbieżny z posiadana umową z NFZ (onkologia) wnioskodawca zobowiązany jest załączyć do dokumentacji projektowej wyciąg z umowy z zawartej z dyrektorem </w:t>
            </w:r>
            <w:proofErr w:type="gramStart"/>
            <w:r w:rsidRPr="00107BF3">
              <w:rPr>
                <w:rFonts w:asciiTheme="minorHAnsi" w:hAnsiTheme="minorHAnsi" w:cs="Calibri"/>
              </w:rPr>
              <w:t>dolnośląskiego  oddziału</w:t>
            </w:r>
            <w:proofErr w:type="gramEnd"/>
            <w:r w:rsidRPr="00107BF3">
              <w:rPr>
                <w:rFonts w:asciiTheme="minorHAnsi" w:hAnsiTheme="minorHAnsi" w:cs="Calibri"/>
              </w:rPr>
              <w:t xml:space="preserve"> NFZ, wraz </w:t>
            </w:r>
            <w:r w:rsidRPr="00107BF3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z podpisami świadczeniodawcy oraz przedstawiciela funduszu + załącznik </w:t>
            </w:r>
            <w:r w:rsidRPr="00107BF3">
              <w:rPr>
                <w:rFonts w:asciiTheme="minorHAnsi" w:hAnsiTheme="minorHAnsi" w:cs="Calibri"/>
              </w:rPr>
              <w:t>potwierdzający zakontraktowanie</w:t>
            </w:r>
            <w:r w:rsidRPr="00107BF3">
              <w:rPr>
                <w:rFonts w:asciiTheme="minorHAnsi" w:eastAsiaTheme="minorHAnsi" w:hAnsiTheme="minorHAnsi" w:cs="Calibri"/>
                <w:szCs w:val="22"/>
                <w:lang w:eastAsia="en-US"/>
              </w:rPr>
              <w:t xml:space="preserve"> świadczeń w zakresie będącym przedmiotem projektu.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107BF3">
              <w:rPr>
                <w:rFonts w:asciiTheme="minorHAnsi" w:hAnsiTheme="minorHAnsi" w:cs="Arial"/>
              </w:rPr>
              <w:t xml:space="preserve"> W przypadku projektu przewidującego poszerzenie (rozwój) działalności medycznej lub zwiększenie potencjału w tym zakresie beneficjent zobowiązany zostanie do posiadana umowy </w:t>
            </w:r>
            <w:r w:rsidRPr="00107BF3">
              <w:rPr>
                <w:rFonts w:asciiTheme="minorHAnsi" w:hAnsiTheme="minorHAnsi" w:cs="Calibri"/>
              </w:rPr>
              <w:t xml:space="preserve">o udzielania świadczeń opieki </w:t>
            </w:r>
            <w:proofErr w:type="gramStart"/>
            <w:r w:rsidR="007D2583" w:rsidRPr="00107BF3">
              <w:rPr>
                <w:rFonts w:asciiTheme="minorHAnsi" w:hAnsiTheme="minorHAnsi" w:cs="Calibri"/>
              </w:rPr>
              <w:t>zdrowotnej  zawartej</w:t>
            </w:r>
            <w:proofErr w:type="gramEnd"/>
            <w:r w:rsidR="007D2583" w:rsidRPr="00107BF3">
              <w:rPr>
                <w:rFonts w:asciiTheme="minorHAnsi" w:hAnsiTheme="minorHAnsi" w:cs="Calibri"/>
              </w:rPr>
              <w:t xml:space="preserve"> z</w:t>
            </w:r>
            <w:r w:rsidRPr="00107BF3">
              <w:rPr>
                <w:rFonts w:asciiTheme="minorHAnsi" w:hAnsiTheme="minorHAnsi" w:cs="Calibri"/>
              </w:rPr>
              <w:t xml:space="preserve"> dyrektorem dolnośl</w:t>
            </w:r>
            <w:r w:rsidR="007D2583" w:rsidRPr="00107BF3">
              <w:rPr>
                <w:rFonts w:asciiTheme="minorHAnsi" w:hAnsiTheme="minorHAnsi" w:cs="Calibri"/>
              </w:rPr>
              <w:t>ąskiego  oddziału  NFZ</w:t>
            </w:r>
            <w:r w:rsidRPr="00107BF3">
              <w:rPr>
                <w:rFonts w:asciiTheme="minorHAnsi" w:hAnsiTheme="minorHAnsi" w:cs="Calibri"/>
              </w:rPr>
              <w:t xml:space="preserve"> w adekwatnym dla projektu zakresie (tj. onkologia) najpóźniej w kolejnym okresie kontraktowania świadczeń po zakończeniu realizacji projektu</w:t>
            </w:r>
            <w:r w:rsidRPr="00107BF3">
              <w:rPr>
                <w:rStyle w:val="Odwoanieprzypisudolnego"/>
                <w:rFonts w:asciiTheme="minorHAnsi" w:hAnsiTheme="minorHAnsi" w:cs="Calibri"/>
              </w:rPr>
              <w:footnoteReference w:id="1"/>
            </w:r>
            <w:r w:rsidRPr="00107BF3">
              <w:rPr>
                <w:rFonts w:asciiTheme="minorHAnsi" w:hAnsiTheme="minorHAnsi" w:cs="Calibri"/>
              </w:rPr>
              <w:t>.</w:t>
            </w:r>
            <w:r w:rsidRPr="00107BF3">
              <w:rPr>
                <w:rFonts w:asciiTheme="minorHAnsi" w:hAnsiTheme="minorHAnsi" w:cs="Arial"/>
              </w:rPr>
              <w:t xml:space="preserve"> W takim przypadku wnioskodawca zobowiązany jest załączyć do dokumentacji projektowej stosowne oświadczenie oraz wyciąg</w:t>
            </w:r>
            <w:r w:rsidRPr="00107BF3">
              <w:rPr>
                <w:rFonts w:asciiTheme="minorHAnsi" w:hAnsiTheme="minorHAnsi" w:cs="Calibri"/>
              </w:rPr>
              <w:t xml:space="preserve"> z umowy z zawartej z dyrektorem </w:t>
            </w:r>
            <w:proofErr w:type="gramStart"/>
            <w:r w:rsidRPr="00107BF3">
              <w:rPr>
                <w:rFonts w:asciiTheme="minorHAnsi" w:hAnsiTheme="minorHAnsi" w:cs="Calibri"/>
              </w:rPr>
              <w:t>dolnośląskiego  oddziału</w:t>
            </w:r>
            <w:proofErr w:type="gramEnd"/>
            <w:r w:rsidRPr="00107BF3">
              <w:rPr>
                <w:rFonts w:asciiTheme="minorHAnsi" w:hAnsiTheme="minorHAnsi" w:cs="Calibri"/>
              </w:rPr>
              <w:t xml:space="preserve"> NFZ, wraz </w:t>
            </w:r>
            <w:r w:rsidRPr="00107BF3">
              <w:rPr>
                <w:rFonts w:asciiTheme="minorHAnsi" w:eastAsiaTheme="minorHAnsi" w:hAnsiTheme="minorHAnsi" w:cs="Calibri"/>
                <w:szCs w:val="22"/>
                <w:lang w:eastAsia="en-US"/>
              </w:rPr>
              <w:t>z podpisami świadczeniodawcy oraz przedstawiciela funduszu</w:t>
            </w:r>
            <w:r w:rsidRPr="00107BF3">
              <w:rPr>
                <w:rFonts w:asciiTheme="minorHAnsi" w:hAnsiTheme="minorHAnsi" w:cs="Calibri"/>
              </w:rPr>
              <w:t xml:space="preserve"> (bez załączników). </w:t>
            </w:r>
            <w:r w:rsidRPr="00107BF3">
              <w:rPr>
                <w:rFonts w:asciiTheme="minorHAnsi" w:hAnsiTheme="minorHAnsi" w:cs="Arial"/>
              </w:rPr>
              <w:t xml:space="preserve">  </w:t>
            </w:r>
            <w:r w:rsidRPr="00107BF3">
              <w:rPr>
                <w:rFonts w:asciiTheme="minorHAnsi" w:hAnsiTheme="minorHAnsi" w:cs="Calibri"/>
              </w:rPr>
              <w:t xml:space="preserve">W przypadku niepodjęcia świadczenia usług opieki zdrowotnej w adekwatnym dla projektu zakresie beneficjent zostanie zobowiązany do zwrotu dofinansowania.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107BF3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107BF3">
              <w:rPr>
                <w:rFonts w:eastAsia="TTE1ABE920t00" w:cs="Arial"/>
              </w:rPr>
              <w:t xml:space="preserve">Beneficjenci wykluczeni z możliwości otrzymania dofinansowania na podstawie zapisów linii demarkacyjnej: 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TTE1ABE920t00" w:cs="Arial"/>
              </w:rPr>
            </w:pPr>
            <w:proofErr w:type="gramStart"/>
            <w:r w:rsidRPr="00107BF3">
              <w:rPr>
                <w:rFonts w:asciiTheme="minorHAnsi" w:eastAsia="TTE1ABE920t00" w:hAnsiTheme="minorHAnsi" w:cs="Arial"/>
              </w:rPr>
              <w:t>podmioty</w:t>
            </w:r>
            <w:proofErr w:type="gramEnd"/>
            <w:r w:rsidRPr="00107BF3">
              <w:rPr>
                <w:rFonts w:asciiTheme="minorHAnsi" w:eastAsia="TTE1ABE920t00" w:hAnsiTheme="minorHAnsi" w:cs="Arial"/>
              </w:rPr>
              <w:t xml:space="preserve"> lecznicze udzielające świadczeń zdrowotnych w zakresie ratownictwa medycznego,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eastAsia="TTE1ABE920t00" w:cs="Arial"/>
              </w:rPr>
            </w:pPr>
            <w:r w:rsidRPr="00107BF3">
              <w:rPr>
                <w:rFonts w:asciiTheme="minorHAnsi" w:eastAsia="TTE1ABE920t00" w:hAnsiTheme="minorHAnsi" w:cs="Arial"/>
              </w:rPr>
              <w:t xml:space="preserve">podmioty lecznicze, a także </w:t>
            </w:r>
            <w:proofErr w:type="gramStart"/>
            <w:r w:rsidRPr="00107BF3">
              <w:rPr>
                <w:rFonts w:asciiTheme="minorHAnsi" w:eastAsia="TTE1ABE920t00" w:hAnsiTheme="minorHAnsi" w:cs="Arial"/>
              </w:rPr>
              <w:t>przedsiębiorcy  powstali</w:t>
            </w:r>
            <w:proofErr w:type="gramEnd"/>
            <w:r w:rsidRPr="00107BF3">
              <w:rPr>
                <w:rFonts w:asciiTheme="minorHAnsi" w:eastAsia="TTE1ABE920t00" w:hAnsiTheme="minorHAnsi" w:cs="Arial"/>
              </w:rPr>
              <w:t xml:space="preserve"> z ich przekształcenia, utworzone przez ministra lub centralny organ </w:t>
            </w:r>
            <w:r w:rsidRPr="00107BF3">
              <w:rPr>
                <w:rFonts w:asciiTheme="minorHAnsi" w:eastAsia="TTE1ABE920t00" w:hAnsiTheme="minorHAnsi" w:cs="Arial"/>
              </w:rPr>
              <w:lastRenderedPageBreak/>
              <w:t xml:space="preserve">administracji rządowej, publiczną uczelnię medyczną lub publiczną uczelnię prowadzącą działalność dydaktyczną i badawczą w dziedzinie nauk medycznych, instytuty badawcze prowadzące badania naukowe i prace rozwojowe w dziedzinie nauk medycznych, uczestniczące w systemie ochrony zdrowia- tj. ponadregionalne podmioty lecznicze, </w:t>
            </w:r>
          </w:p>
          <w:p w:rsidR="00F447C2" w:rsidRPr="00107BF3" w:rsidRDefault="00F447C2" w:rsidP="00F447C2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eastAsia="TTE1ABE920t00" w:cs="Arial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107BF3">
              <w:rPr>
                <w:rFonts w:eastAsia="TTE1ABE920t00" w:cs="Arial"/>
              </w:rPr>
              <w:t xml:space="preserve">Projekty ww. beneficjentów mogą być realizowane tylko w ramach </w:t>
            </w:r>
            <w:proofErr w:type="spellStart"/>
            <w:r w:rsidRPr="00107BF3">
              <w:rPr>
                <w:rFonts w:eastAsia="TTE1ABE920t00" w:cs="Arial"/>
              </w:rPr>
              <w:t>POIiŚ</w:t>
            </w:r>
            <w:proofErr w:type="spellEnd"/>
            <w:r w:rsidRPr="00107BF3">
              <w:rPr>
                <w:rFonts w:eastAsia="TTE1ABE920t00" w:cs="Arial"/>
              </w:rPr>
              <w:t>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TE1ABE920t00" w:cs="Arial"/>
              </w:rPr>
            </w:pPr>
            <w:r w:rsidRPr="00107BF3">
              <w:rPr>
                <w:rFonts w:eastAsia="TTE1ABE920t00" w:cs="Arial"/>
              </w:rPr>
              <w:t xml:space="preserve">W toku oceny projektów weryfikowana będzie efektywność finansowa beneficjenta. W związku z powyższym wnioskodawca zobowiązany jest do przedstawienia we wniosku o dofinansowanie 3 wskaźników: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</w:rPr>
            </w:pP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Wskaźnik bieżącej płynności finansowej = aktywa bieżące/ zobowiązania bieżące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>Wskaźnik udziału kapitałów własnych w finansowaniu majątku = kapitały własne / aktywa ogółem</w:t>
            </w:r>
          </w:p>
          <w:p w:rsidR="00F447C2" w:rsidRPr="00107BF3" w:rsidRDefault="00F447C2" w:rsidP="00F447C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Cs w:val="22"/>
              </w:rPr>
            </w:pPr>
            <w:r w:rsidRPr="00107BF3">
              <w:rPr>
                <w:rFonts w:asciiTheme="minorHAnsi" w:hAnsiTheme="minorHAnsi" w:cstheme="minorHAnsi"/>
                <w:szCs w:val="22"/>
              </w:rPr>
              <w:t xml:space="preserve"> Wskaźnik rentowności działalności operacyjnej (EBITDA) = Wynik z działalności operacyjnej + </w:t>
            </w:r>
            <w:proofErr w:type="gramStart"/>
            <w:r w:rsidRPr="00107BF3">
              <w:rPr>
                <w:rFonts w:asciiTheme="minorHAnsi" w:hAnsiTheme="minorHAnsi" w:cstheme="minorHAnsi"/>
                <w:szCs w:val="22"/>
              </w:rPr>
              <w:t>amortyzacja /  przychody</w:t>
            </w:r>
            <w:proofErr w:type="gramEnd"/>
            <w:r w:rsidRPr="00107BF3">
              <w:rPr>
                <w:rFonts w:asciiTheme="minorHAnsi" w:hAnsiTheme="minorHAnsi" w:cstheme="minorHAnsi"/>
                <w:szCs w:val="22"/>
              </w:rPr>
              <w:t xml:space="preserve"> ze sprzedaży + pozostałe przychody operacyjne *100%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</w:rPr>
            </w:pPr>
          </w:p>
          <w:p w:rsidR="00F447C2" w:rsidRPr="00107BF3" w:rsidRDefault="007D2583" w:rsidP="00F447C2">
            <w:pPr>
              <w:spacing w:after="0"/>
              <w:jc w:val="both"/>
              <w:rPr>
                <w:rFonts w:eastAsia="TTE1ABE920t00" w:cs="Arial"/>
              </w:rPr>
            </w:pPr>
            <w:r w:rsidRPr="00107BF3">
              <w:rPr>
                <w:rFonts w:cstheme="minorHAnsi"/>
                <w:bCs/>
                <w:u w:val="single"/>
              </w:rPr>
              <w:t>Szczegółowa metodologia oceny</w:t>
            </w:r>
            <w:r w:rsidR="00F447C2" w:rsidRPr="00107BF3">
              <w:rPr>
                <w:rFonts w:cstheme="minorHAnsi"/>
                <w:bCs/>
                <w:u w:val="single"/>
              </w:rPr>
              <w:t xml:space="preserve"> cząstkowej poszczególnych wskaźników w ramach kryterium efektywności finansowej beneficjenta została opisana w kryteriach wyboru projektów - </w:t>
            </w:r>
            <w:r w:rsidR="00F447C2" w:rsidRPr="00107BF3">
              <w:rPr>
                <w:rFonts w:cs="Arial"/>
                <w:u w:val="single"/>
              </w:rPr>
              <w:t>załącznik nr 1 do Regulaminu.</w:t>
            </w:r>
            <w:r w:rsidR="00F447C2" w:rsidRPr="00107BF3">
              <w:rPr>
                <w:rFonts w:eastAsia="TTE1ABE920t00" w:cs="Arial"/>
              </w:rPr>
              <w:t xml:space="preserve"> </w:t>
            </w: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lastRenderedPageBreak/>
              <w:t>5</w:t>
            </w:r>
            <w:r w:rsidR="00984533"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:rsidR="00AA0A4C" w:rsidRPr="00107BF3" w:rsidRDefault="00AA0A4C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84533" w:rsidRPr="00107BF3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667869" w:rsidRPr="00107BF3" w:rsidRDefault="00667869" w:rsidP="00667869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</w:p>
          <w:p w:rsidR="00F447C2" w:rsidRPr="00107BF3" w:rsidRDefault="00F447C2" w:rsidP="00F447C2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  <w:r w:rsidRPr="00107BF3">
              <w:rPr>
                <w:rFonts w:eastAsia="Droid Sans Fallback" w:cs="Calibri"/>
              </w:rPr>
              <w:t>Konkurs będzie miał charakter horyzontalny:</w:t>
            </w:r>
          </w:p>
          <w:p w:rsidR="00F447C2" w:rsidRPr="00107BF3" w:rsidRDefault="00F447C2" w:rsidP="00F447C2">
            <w:pPr>
              <w:suppressAutoHyphens/>
              <w:spacing w:after="0"/>
              <w:jc w:val="both"/>
              <w:rPr>
                <w:rFonts w:eastAsia="Droid Sans Fallback" w:cs="Calibri"/>
              </w:rPr>
            </w:pPr>
          </w:p>
          <w:p w:rsidR="00F447C2" w:rsidRPr="00107BF3" w:rsidRDefault="007D2583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bookmarkStart w:id="2" w:name="_GoBack"/>
            <w:r w:rsidRPr="00107BF3">
              <w:rPr>
                <w:rFonts w:eastAsia="Droid Sans Fallback" w:cs="Calibri"/>
              </w:rPr>
              <w:t>A</w:t>
            </w:r>
            <w:r w:rsidR="00F447C2" w:rsidRPr="00107BF3">
              <w:rPr>
                <w:rFonts w:eastAsia="Droid Sans Fallback" w:cs="Calibri"/>
              </w:rPr>
              <w:t>lokacja</w:t>
            </w:r>
            <w:bookmarkEnd w:id="2"/>
            <w:r w:rsidR="00F447C2" w:rsidRPr="00107BF3">
              <w:rPr>
                <w:rFonts w:eastAsia="Droid Sans Fallback" w:cs="Calibri"/>
              </w:rPr>
              <w:t xml:space="preserve"> przeznaczona na konkurs </w:t>
            </w:r>
            <w:proofErr w:type="gramStart"/>
            <w:r w:rsidR="00F447C2" w:rsidRPr="00107BF3">
              <w:rPr>
                <w:rFonts w:eastAsia="Droid Sans Fallback" w:cs="Calibri"/>
              </w:rPr>
              <w:t xml:space="preserve">wynosi </w:t>
            </w:r>
            <w:r w:rsidR="00E51621">
              <w:rPr>
                <w:rFonts w:eastAsia="Droid Sans Fallback" w:cs="Calibri"/>
                <w:b/>
              </w:rPr>
              <w:t xml:space="preserve">36 895 100  </w:t>
            </w:r>
            <w:r w:rsidR="00F447C2" w:rsidRPr="00107BF3">
              <w:rPr>
                <w:rFonts w:eastAsia="Droid Sans Fallback" w:cs="Calibri"/>
                <w:b/>
              </w:rPr>
              <w:t>EUR</w:t>
            </w:r>
            <w:proofErr w:type="gramEnd"/>
            <w:r w:rsidR="00F447C2" w:rsidRPr="00107BF3">
              <w:rPr>
                <w:rFonts w:eastAsia="Droid Sans Fallback" w:cs="Calibri"/>
                <w:b/>
              </w:rPr>
              <w:t xml:space="preserve">, tj. </w:t>
            </w:r>
            <w:r w:rsidR="00E51621">
              <w:rPr>
                <w:rFonts w:eastAsia="Droid Sans Fallback" w:cs="Calibri"/>
                <w:b/>
              </w:rPr>
              <w:t>155 756 354,16</w:t>
            </w:r>
            <w:r w:rsidR="00107BF3" w:rsidRPr="00107BF3">
              <w:rPr>
                <w:rFonts w:eastAsia="Droid Sans Fallback" w:cs="Calibri"/>
                <w:b/>
              </w:rPr>
              <w:t xml:space="preserve"> </w:t>
            </w:r>
            <w:r w:rsidR="00F447C2" w:rsidRPr="00107BF3">
              <w:rPr>
                <w:rFonts w:eastAsia="Droid Sans Fallback" w:cs="Calibri"/>
                <w:b/>
              </w:rPr>
              <w:t>zł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  <w:r w:rsidRPr="00107BF3">
              <w:rPr>
                <w:rFonts w:cs="MS Sans Serif"/>
              </w:rPr>
              <w:t>Alokacja przeliczona po kursie Europejskiego Banku Centralneg</w:t>
            </w:r>
            <w:r w:rsidR="00107BF3" w:rsidRPr="00107BF3">
              <w:rPr>
                <w:rFonts w:cs="MS Sans Serif"/>
              </w:rPr>
              <w:t xml:space="preserve">o (EBC) obowiązującym w </w:t>
            </w:r>
            <w:proofErr w:type="gramStart"/>
            <w:r w:rsidR="00107BF3" w:rsidRPr="00107BF3">
              <w:rPr>
                <w:rFonts w:cs="MS Sans Serif"/>
              </w:rPr>
              <w:t>maju 2017  r</w:t>
            </w:r>
            <w:proofErr w:type="gramEnd"/>
            <w:r w:rsidR="00107BF3" w:rsidRPr="00107BF3">
              <w:rPr>
                <w:rFonts w:cs="MS Sans Serif"/>
              </w:rPr>
              <w:t>., 1 euro = 4,2216</w:t>
            </w:r>
            <w:r w:rsidRPr="00107BF3">
              <w:rPr>
                <w:rFonts w:cs="MS Sans Serif"/>
              </w:rPr>
              <w:t xml:space="preserve"> zł.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after="0"/>
              <w:jc w:val="both"/>
              <w:rPr>
                <w:rFonts w:cs="MS Sans Serif"/>
              </w:rPr>
            </w:pPr>
          </w:p>
          <w:p w:rsidR="00F447C2" w:rsidRPr="00107BF3" w:rsidRDefault="00F447C2" w:rsidP="00F447C2">
            <w:pPr>
              <w:spacing w:after="0"/>
              <w:jc w:val="both"/>
            </w:pPr>
            <w:r w:rsidRPr="00107BF3">
              <w:t xml:space="preserve">Ze względu na kurs euro limit dostępnych środków może ulec zmianie. Z tego powodu dokładna kwota dofinansowania zostanie określona na etapie zatwierdzania Listy ocenionych </w:t>
            </w:r>
            <w:proofErr w:type="gramStart"/>
            <w:r w:rsidRPr="00107BF3">
              <w:t>projektów .</w:t>
            </w:r>
            <w:proofErr w:type="gramEnd"/>
          </w:p>
          <w:p w:rsidR="00984533" w:rsidRPr="00107BF3" w:rsidRDefault="00984533" w:rsidP="00F447C2">
            <w:pPr>
              <w:spacing w:after="0"/>
              <w:jc w:val="both"/>
              <w:rPr>
                <w:rFonts w:cs="Calibri"/>
              </w:rPr>
            </w:pP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t>6</w:t>
            </w:r>
            <w:r w:rsidR="00984533"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667869" w:rsidRPr="00107BF3" w:rsidRDefault="00667869" w:rsidP="00667869">
            <w:pPr>
              <w:spacing w:before="120" w:after="120"/>
              <w:jc w:val="both"/>
              <w:rPr>
                <w:rFonts w:cs="Arial"/>
              </w:rPr>
            </w:pPr>
            <w:r w:rsidRPr="00107BF3">
              <w:rPr>
                <w:rFonts w:cs="Arial"/>
              </w:rPr>
              <w:t>Minimalna wartość</w:t>
            </w:r>
            <w:r w:rsidRPr="00107BF3">
              <w:t xml:space="preserve"> </w:t>
            </w:r>
            <w:r w:rsidRPr="00107BF3">
              <w:rPr>
                <w:rFonts w:cs="Arial"/>
              </w:rPr>
              <w:t>projektu:</w:t>
            </w:r>
          </w:p>
          <w:p w:rsidR="00667869" w:rsidRPr="00107BF3" w:rsidRDefault="00667869" w:rsidP="00667869">
            <w:pPr>
              <w:spacing w:before="30" w:after="30"/>
              <w:rPr>
                <w:rFonts w:cs="Arial"/>
              </w:rPr>
            </w:pPr>
            <w:r w:rsidRPr="00107BF3">
              <w:rPr>
                <w:rFonts w:cs="Arial"/>
              </w:rPr>
              <w:t xml:space="preserve">- 100 tys. PLN w przypadku projektów dotyczących wyłącznie wyposażenia w sprzęt medyczny, </w:t>
            </w:r>
          </w:p>
          <w:p w:rsidR="00984533" w:rsidRPr="00107BF3" w:rsidRDefault="00667869" w:rsidP="00667869">
            <w:pPr>
              <w:spacing w:before="30" w:after="30"/>
              <w:rPr>
                <w:rFonts w:cs="Arial"/>
              </w:rPr>
            </w:pPr>
            <w:r w:rsidRPr="00107BF3">
              <w:rPr>
                <w:rFonts w:cs="Arial"/>
              </w:rPr>
              <w:t>- 150 tys. PLN w przypadku pozostałych projektów.</w:t>
            </w: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t>7</w:t>
            </w:r>
            <w:r w:rsidR="00984533"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984533" w:rsidRPr="00107BF3" w:rsidRDefault="00DF49F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07BF3">
              <w:rPr>
                <w:rFonts w:cs="Arial"/>
              </w:rPr>
              <w:t>Nie dotyczy</w:t>
            </w: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lastRenderedPageBreak/>
              <w:t>8</w:t>
            </w:r>
            <w:r w:rsidR="00984533"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07BF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447C2" w:rsidRPr="00107BF3" w:rsidRDefault="00F447C2" w:rsidP="00F447C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Poziom dofinansowania UE na poziomie projektu </w:t>
            </w:r>
            <w:proofErr w:type="gramStart"/>
            <w:r w:rsidRPr="00107BF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wynosi </w:t>
            </w:r>
            <w:r w:rsidRPr="00107BF3" w:rsidDel="00B5309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107BF3">
              <w:rPr>
                <w:rFonts w:asciiTheme="minorHAnsi" w:hAnsiTheme="minorHAnsi"/>
                <w:color w:val="auto"/>
                <w:sz w:val="22"/>
                <w:szCs w:val="22"/>
              </w:rPr>
              <w:t>85% kosztów</w:t>
            </w:r>
            <w:proofErr w:type="gramEnd"/>
            <w:r w:rsidRPr="00107BF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kwalifikowalnych </w:t>
            </w:r>
          </w:p>
          <w:p w:rsidR="00E92452" w:rsidRPr="00107BF3" w:rsidRDefault="00E92452" w:rsidP="00F447C2">
            <w:pPr>
              <w:suppressAutoHyphens/>
              <w:spacing w:after="0"/>
              <w:jc w:val="both"/>
              <w:rPr>
                <w:rFonts w:cs="Calibri"/>
              </w:rPr>
            </w:pP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t>9</w:t>
            </w:r>
            <w:r w:rsidR="00984533"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Minimalny wkład własny </w:t>
            </w:r>
            <w:proofErr w:type="gramStart"/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beneficjenta jako</w:t>
            </w:r>
            <w:proofErr w:type="gramEnd"/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% wydatków kwalifikowalnych: </w:t>
            </w:r>
          </w:p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F447C2" w:rsidRPr="00107BF3" w:rsidRDefault="00F447C2" w:rsidP="00F447C2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color w:val="auto"/>
                <w:sz w:val="22"/>
                <w:szCs w:val="22"/>
              </w:rPr>
              <w:t>Minimalny wkład własny beneficjenta na poziomie projektu wynosi 15% wydatków kwalifikowalnych</w:t>
            </w:r>
          </w:p>
          <w:p w:rsidR="002929E5" w:rsidRPr="00107BF3" w:rsidRDefault="002929E5" w:rsidP="00F447C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84533" w:rsidRPr="00107BF3" w:rsidTr="005E1A6B">
        <w:tc>
          <w:tcPr>
            <w:tcW w:w="568" w:type="dxa"/>
          </w:tcPr>
          <w:p w:rsidR="00984533" w:rsidRPr="00107BF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t>1</w:t>
            </w:r>
            <w:r w:rsidR="007C46DB" w:rsidRPr="00107BF3">
              <w:rPr>
                <w:rFonts w:cs="Calibri"/>
                <w:b/>
                <w:bCs/>
              </w:rPr>
              <w:t>0</w:t>
            </w:r>
            <w:r w:rsidRPr="00107BF3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107BF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Wnioskodawca wypełnia wniosek o dofinansowanie za pośrednictwem aplikacji – generator wniosków o dofinansowanie EFRR – dostępny na stronie </w:t>
            </w:r>
            <w:hyperlink r:id="rId11" w:history="1">
              <w:r w:rsidRPr="00107BF3">
                <w:rPr>
                  <w:rStyle w:val="Hipercze"/>
                  <w:color w:val="auto"/>
                </w:rPr>
                <w:t>https://snow-umwd.dolnyslask.pl</w:t>
              </w:r>
            </w:hyperlink>
            <w:r w:rsidRPr="00107BF3">
              <w:t xml:space="preserve"> i przesyła do IOK w ramach niniejszego konkursu w terminie od godz. 8.00 dnia 30 września 2016 r. do godz. 15.00 dnia 29 listopada 2016 r.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107BF3">
              <w:br/>
              <w:t xml:space="preserve">w ramach Regionalnego Programu Operacyjnego Województwa Dolnośląskiego 2014-2020. System umożliwia tworzenie, edycję oraz wydruk wniosków </w:t>
            </w:r>
            <w:r w:rsidRPr="00107BF3">
              <w:br/>
              <w:t xml:space="preserve">o dofinansowanie, a także zapewnia możliwość ich złożenia do właściwej instytucji.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Ponadto do siedziby IOK należy dostarczyć jeden egzemplarz wydrukowanej z aplikacji Generator Wniosków papierowej wersji wniosku, opatrzonej czytelnym podpisem/</w:t>
            </w:r>
            <w:proofErr w:type="spellStart"/>
            <w:r w:rsidRPr="00107BF3">
              <w:t>ami</w:t>
            </w:r>
            <w:proofErr w:type="spellEnd"/>
            <w:r w:rsidRPr="00107BF3">
              <w:t xml:space="preserve"> lub parafą i z pieczęcią imienną osoby/</w:t>
            </w:r>
            <w:proofErr w:type="spellStart"/>
            <w:r w:rsidRPr="00107BF3">
              <w:t>ób</w:t>
            </w:r>
            <w:proofErr w:type="spellEnd"/>
            <w:r w:rsidRPr="00107BF3">
              <w:t xml:space="preserve"> uprawnionej/</w:t>
            </w:r>
            <w:proofErr w:type="spellStart"/>
            <w:r w:rsidRPr="00107BF3">
              <w:t>ych</w:t>
            </w:r>
            <w:proofErr w:type="spellEnd"/>
            <w:r w:rsidRPr="00107BF3">
              <w:t xml:space="preserve"> do reprezentowania Wnioskodawcy (wraz z podpisanymi załącznikami).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Jednocześnie, wymaganą analizę finansową (w postaci arkuszy kalkulacyjnych w formacie Excel z aktywnymi formułami) przedłożyć należy na nośniku CD.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Za datę wpływu do IOK uznaje się datę wpływu wniosku w wersji papierowej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 Papierowa wersja wniosku może zostać dostarczona: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proofErr w:type="gramStart"/>
            <w:r w:rsidRPr="00107BF3">
              <w:t>a</w:t>
            </w:r>
            <w:proofErr w:type="gramEnd"/>
            <w:r w:rsidRPr="00107BF3">
              <w:t>) osobiście lub za pośrednictwem kuriera do kancelarii Departamentu Funduszy Europejskich mieszczącej się pod adresem: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Urząd Marszałkowski Województwa Dolnośląskiego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Departament Funduszy Europejskich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proofErr w:type="gramStart"/>
            <w:r w:rsidRPr="00107BF3">
              <w:t>ul</w:t>
            </w:r>
            <w:proofErr w:type="gramEnd"/>
            <w:r w:rsidRPr="00107BF3">
              <w:t>. Mazowiecka 17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50-412 Wrocław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II piętro, pokój nr 2020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proofErr w:type="gramStart"/>
            <w:r w:rsidRPr="00107BF3">
              <w:t>b</w:t>
            </w:r>
            <w:proofErr w:type="gramEnd"/>
            <w:r w:rsidRPr="00107BF3">
              <w:t xml:space="preserve">) za pośrednictwem polskiego operatora wyznaczonego,  w rozumieniu ustawy z dnia 23 listopada 2012 r. - Prawo pocztowe, na adres: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Urząd Marszałkowski Województwa Dolnośląskiego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Departament Funduszy Europejskich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proofErr w:type="gramStart"/>
            <w:r w:rsidRPr="00107BF3">
              <w:t>ul</w:t>
            </w:r>
            <w:proofErr w:type="gramEnd"/>
            <w:r w:rsidRPr="00107BF3">
              <w:t>. Mazowiecka 17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07BF3">
              <w:t>50-412 Wrocław</w:t>
            </w:r>
          </w:p>
          <w:p w:rsidR="00F447C2" w:rsidRPr="00107BF3" w:rsidRDefault="00F447C2" w:rsidP="00F447C2">
            <w:pPr>
              <w:spacing w:after="0"/>
              <w:jc w:val="center"/>
            </w:pPr>
            <w:r w:rsidRPr="00107BF3">
              <w:t>II piętro, pokój nr 2020</w:t>
            </w:r>
          </w:p>
          <w:p w:rsidR="00F447C2" w:rsidRPr="00107BF3" w:rsidRDefault="00F447C2" w:rsidP="00F447C2">
            <w:pPr>
              <w:spacing w:after="0"/>
              <w:jc w:val="both"/>
            </w:pPr>
          </w:p>
          <w:p w:rsidR="00F447C2" w:rsidRPr="00107BF3" w:rsidRDefault="00F447C2" w:rsidP="00F447C2">
            <w:pPr>
              <w:autoSpaceDE w:val="0"/>
              <w:autoSpaceDN w:val="0"/>
              <w:spacing w:before="120" w:after="120"/>
              <w:jc w:val="both"/>
            </w:pPr>
            <w:r w:rsidRPr="00107BF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107BF3">
              <w:rPr>
                <w:rFonts w:cs="Arial"/>
              </w:rPr>
              <w:t xml:space="preserve">Prezesa Urzędu Komunikacji Elektronicznej z dnia 30 czerwca 2015 r., wydaną na podstawie art. 71 </w:t>
            </w:r>
            <w:r w:rsidRPr="00107BF3">
              <w:t xml:space="preserve">ustawy z dnia 23 listopada 2012 r. - Prawo pocztowe, dokonany został </w:t>
            </w:r>
            <w:r w:rsidRPr="00107BF3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F447C2" w:rsidRPr="00107BF3" w:rsidRDefault="00F447C2" w:rsidP="00F447C2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107BF3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107BF3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Wniosek wraz z </w:t>
            </w:r>
            <w:proofErr w:type="gramStart"/>
            <w:r w:rsidRPr="00107BF3">
              <w:t>załącznikami (jeśli</w:t>
            </w:r>
            <w:proofErr w:type="gramEnd"/>
            <w:r w:rsidRPr="00107BF3">
              <w:t xml:space="preserve"> dotyczy) należy złożyć w zamkniętej kopercie, (lub innym opakowaniu np. pudełku) której opis zawiera następujące informacje: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- pełna nazwa Wnioskodawcy wraz z adresem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- wniosek o dofinansowanie projektu w ramach naboru nr …………..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- tytuł projektu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- numer wniosku o dofinansowanie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- „Nie otwierać przed wpływem do Wydziału Wdrażania EFRR”.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7143A8" w:rsidRPr="00107BF3" w:rsidRDefault="007143A8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</w:t>
            </w:r>
            <w:r w:rsidRPr="00107BF3">
              <w:lastRenderedPageBreak/>
              <w:t>korespondencyjny w ciągu 14 dni od daty złożenia.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Oświadczenia oraz dane zawarte we wniosku o dofinansowanie projektu są składane pod rygorem odpowiedzialności karnej za składanie fałszywych zeznań. </w:t>
            </w:r>
          </w:p>
          <w:p w:rsidR="00F447C2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0294B" w:rsidRPr="00107BF3" w:rsidRDefault="00F447C2" w:rsidP="00F447C2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107BF3"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107BF3">
              <w:br/>
              <w:t>w formie komunikatu we wszystkich miejscach, gdzie opublikowano ogłoszenie</w:t>
            </w:r>
          </w:p>
        </w:tc>
      </w:tr>
      <w:tr w:rsidR="007C46DB" w:rsidRPr="00107BF3" w:rsidTr="005E1A6B">
        <w:tc>
          <w:tcPr>
            <w:tcW w:w="568" w:type="dxa"/>
          </w:tcPr>
          <w:p w:rsidR="007C46DB" w:rsidRPr="00107BF3" w:rsidRDefault="007C46DB" w:rsidP="002929E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07BF3">
              <w:rPr>
                <w:rFonts w:cs="Calibri"/>
                <w:b/>
                <w:bCs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07BF3" w:rsidRDefault="007C46DB" w:rsidP="002929E5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107BF3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107BF3" w:rsidRDefault="007C46DB" w:rsidP="002929E5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107BF3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107BF3">
                <w:rPr>
                  <w:rStyle w:val="Hipercze"/>
                  <w:rFonts w:cs="Calibri"/>
                  <w:color w:val="auto"/>
                </w:rPr>
                <w:t>www.rpo.dolnyslask.</w:t>
              </w:r>
              <w:proofErr w:type="gramStart"/>
              <w:r w:rsidRPr="00107BF3">
                <w:rPr>
                  <w:rStyle w:val="Hipercze"/>
                  <w:rFonts w:cs="Calibri"/>
                  <w:color w:val="auto"/>
                </w:rPr>
                <w:t>pl</w:t>
              </w:r>
            </w:hyperlink>
            <w:r w:rsidRPr="00107BF3">
              <w:rPr>
                <w:rFonts w:cs="Calibri"/>
              </w:rPr>
              <w:t xml:space="preserve">  oraz</w:t>
            </w:r>
            <w:proofErr w:type="gramEnd"/>
            <w:r w:rsidRPr="00107BF3">
              <w:rPr>
                <w:rFonts w:cs="Calibri"/>
              </w:rPr>
              <w:t xml:space="preserve"> na portalu Funduszy Europejskich (</w:t>
            </w:r>
            <w:hyperlink r:id="rId13" w:history="1">
              <w:r w:rsidRPr="00107BF3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Pr="00107BF3">
              <w:rPr>
                <w:rFonts w:cs="Calibri"/>
              </w:rPr>
              <w:t>)</w:t>
            </w:r>
            <w:r w:rsidRPr="00107BF3">
              <w:t>.</w:t>
            </w:r>
            <w:hyperlink r:id="rId14" w:history="1"/>
          </w:p>
        </w:tc>
      </w:tr>
    </w:tbl>
    <w:p w:rsidR="00F259B1" w:rsidRPr="00107BF3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107BF3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B7" w:rsidRDefault="007443B7" w:rsidP="00E873C4">
      <w:pPr>
        <w:spacing w:after="0" w:line="240" w:lineRule="auto"/>
      </w:pPr>
      <w:r>
        <w:separator/>
      </w:r>
    </w:p>
  </w:endnote>
  <w:endnote w:type="continuationSeparator" w:id="0">
    <w:p w:rsidR="007443B7" w:rsidRDefault="007443B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29606"/>
      <w:docPartObj>
        <w:docPartGallery w:val="Page Numbers (Bottom of Page)"/>
        <w:docPartUnique/>
      </w:docPartObj>
    </w:sdtPr>
    <w:sdtContent>
      <w:p w:rsidR="00C54264" w:rsidRDefault="00195632">
        <w:pPr>
          <w:pStyle w:val="Stopka"/>
          <w:jc w:val="right"/>
        </w:pPr>
        <w:r>
          <w:fldChar w:fldCharType="begin"/>
        </w:r>
        <w:r w:rsidR="007443B7">
          <w:instrText>PAGE   \* MERGEFORMAT</w:instrText>
        </w:r>
        <w:r>
          <w:fldChar w:fldCharType="separate"/>
        </w:r>
        <w:r w:rsidR="00E516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4264" w:rsidRDefault="00C542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B7" w:rsidRDefault="007443B7" w:rsidP="00E873C4">
      <w:pPr>
        <w:spacing w:after="0" w:line="240" w:lineRule="auto"/>
      </w:pPr>
      <w:r>
        <w:separator/>
      </w:r>
    </w:p>
  </w:footnote>
  <w:footnote w:type="continuationSeparator" w:id="0">
    <w:p w:rsidR="007443B7" w:rsidRDefault="007443B7" w:rsidP="00E873C4">
      <w:pPr>
        <w:spacing w:after="0" w:line="240" w:lineRule="auto"/>
      </w:pPr>
      <w:r>
        <w:continuationSeparator/>
      </w:r>
    </w:p>
  </w:footnote>
  <w:footnote w:id="1">
    <w:p w:rsidR="00C54264" w:rsidRPr="007D6470" w:rsidRDefault="00C54264" w:rsidP="00F447C2">
      <w:pPr>
        <w:pStyle w:val="Tekstprzypisudolnego"/>
        <w:rPr>
          <w:sz w:val="16"/>
          <w:szCs w:val="16"/>
        </w:rPr>
      </w:pPr>
      <w:r w:rsidRPr="007D6470">
        <w:rPr>
          <w:rStyle w:val="Odwoanieprzypisudolnego"/>
          <w:sz w:val="16"/>
          <w:szCs w:val="16"/>
        </w:rPr>
        <w:footnoteRef/>
      </w:r>
      <w:r w:rsidRPr="007D6470">
        <w:rPr>
          <w:sz w:val="16"/>
          <w:szCs w:val="16"/>
        </w:rPr>
        <w:t xml:space="preserve"> Spełnienie tego warunku będzie elementem kontroli w czasie realizacji projektu oraz po zakończeniu jego realizacji w ramach tzw. kontroli trwałości.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A4"/>
    <w:multiLevelType w:val="hybridMultilevel"/>
    <w:tmpl w:val="AF723A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F41BA"/>
    <w:multiLevelType w:val="hybridMultilevel"/>
    <w:tmpl w:val="6896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7BA6"/>
    <w:multiLevelType w:val="hybridMultilevel"/>
    <w:tmpl w:val="AA30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B7915"/>
    <w:multiLevelType w:val="hybridMultilevel"/>
    <w:tmpl w:val="E3B2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D486C"/>
    <w:multiLevelType w:val="hybridMultilevel"/>
    <w:tmpl w:val="66F06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F1F58"/>
    <w:multiLevelType w:val="hybridMultilevel"/>
    <w:tmpl w:val="FF1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A64A2"/>
    <w:multiLevelType w:val="hybridMultilevel"/>
    <w:tmpl w:val="C20E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31770"/>
    <w:multiLevelType w:val="hybridMultilevel"/>
    <w:tmpl w:val="3C16674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41EDF"/>
    <w:multiLevelType w:val="hybridMultilevel"/>
    <w:tmpl w:val="24A08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6114"/>
    <w:multiLevelType w:val="hybridMultilevel"/>
    <w:tmpl w:val="28F25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C31A0"/>
    <w:multiLevelType w:val="hybridMultilevel"/>
    <w:tmpl w:val="BB70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B17E3"/>
    <w:multiLevelType w:val="hybridMultilevel"/>
    <w:tmpl w:val="AE3603AE"/>
    <w:lvl w:ilvl="0" w:tplc="A6D4C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2035D6E"/>
    <w:multiLevelType w:val="hybridMultilevel"/>
    <w:tmpl w:val="0020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924EB"/>
    <w:multiLevelType w:val="hybridMultilevel"/>
    <w:tmpl w:val="19508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1A0C61"/>
    <w:multiLevelType w:val="hybridMultilevel"/>
    <w:tmpl w:val="8680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2323DA"/>
    <w:multiLevelType w:val="hybridMultilevel"/>
    <w:tmpl w:val="420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2"/>
  </w:num>
  <w:num w:numId="4">
    <w:abstractNumId w:val="37"/>
  </w:num>
  <w:num w:numId="5">
    <w:abstractNumId w:val="7"/>
  </w:num>
  <w:num w:numId="6">
    <w:abstractNumId w:val="44"/>
  </w:num>
  <w:num w:numId="7">
    <w:abstractNumId w:val="14"/>
  </w:num>
  <w:num w:numId="8">
    <w:abstractNumId w:val="22"/>
  </w:num>
  <w:num w:numId="9">
    <w:abstractNumId w:val="41"/>
  </w:num>
  <w:num w:numId="10">
    <w:abstractNumId w:val="27"/>
  </w:num>
  <w:num w:numId="11">
    <w:abstractNumId w:val="33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1"/>
  </w:num>
  <w:num w:numId="16">
    <w:abstractNumId w:val="2"/>
  </w:num>
  <w:num w:numId="17">
    <w:abstractNumId w:val="47"/>
  </w:num>
  <w:num w:numId="18">
    <w:abstractNumId w:val="30"/>
  </w:num>
  <w:num w:numId="19">
    <w:abstractNumId w:val="3"/>
  </w:num>
  <w:num w:numId="20">
    <w:abstractNumId w:val="28"/>
  </w:num>
  <w:num w:numId="21">
    <w:abstractNumId w:val="31"/>
  </w:num>
  <w:num w:numId="22">
    <w:abstractNumId w:val="45"/>
  </w:num>
  <w:num w:numId="23">
    <w:abstractNumId w:val="24"/>
  </w:num>
  <w:num w:numId="24">
    <w:abstractNumId w:val="39"/>
  </w:num>
  <w:num w:numId="25">
    <w:abstractNumId w:val="43"/>
  </w:num>
  <w:num w:numId="26">
    <w:abstractNumId w:val="25"/>
  </w:num>
  <w:num w:numId="27">
    <w:abstractNumId w:val="29"/>
  </w:num>
  <w:num w:numId="28">
    <w:abstractNumId w:val="11"/>
  </w:num>
  <w:num w:numId="29">
    <w:abstractNumId w:val="1"/>
  </w:num>
  <w:num w:numId="30">
    <w:abstractNumId w:val="8"/>
  </w:num>
  <w:num w:numId="31">
    <w:abstractNumId w:val="4"/>
  </w:num>
  <w:num w:numId="32">
    <w:abstractNumId w:val="6"/>
  </w:num>
  <w:num w:numId="33">
    <w:abstractNumId w:val="40"/>
  </w:num>
  <w:num w:numId="34">
    <w:abstractNumId w:val="17"/>
  </w:num>
  <w:num w:numId="35">
    <w:abstractNumId w:val="38"/>
  </w:num>
  <w:num w:numId="36">
    <w:abstractNumId w:val="15"/>
  </w:num>
  <w:num w:numId="37">
    <w:abstractNumId w:val="48"/>
  </w:num>
  <w:num w:numId="38">
    <w:abstractNumId w:val="34"/>
  </w:num>
  <w:num w:numId="39">
    <w:abstractNumId w:val="23"/>
  </w:num>
  <w:num w:numId="40">
    <w:abstractNumId w:val="13"/>
  </w:num>
  <w:num w:numId="41">
    <w:abstractNumId w:val="26"/>
  </w:num>
  <w:num w:numId="42">
    <w:abstractNumId w:val="10"/>
  </w:num>
  <w:num w:numId="43">
    <w:abstractNumId w:val="0"/>
  </w:num>
  <w:num w:numId="44">
    <w:abstractNumId w:val="16"/>
  </w:num>
  <w:num w:numId="45">
    <w:abstractNumId w:val="18"/>
  </w:num>
  <w:num w:numId="46">
    <w:abstractNumId w:val="9"/>
  </w:num>
  <w:num w:numId="47">
    <w:abstractNumId w:val="46"/>
  </w:num>
  <w:num w:numId="48">
    <w:abstractNumId w:val="36"/>
  </w:num>
  <w:num w:numId="49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077D9"/>
    <w:rsid w:val="00020C5D"/>
    <w:rsid w:val="00021D74"/>
    <w:rsid w:val="00034EE2"/>
    <w:rsid w:val="00040467"/>
    <w:rsid w:val="0004133F"/>
    <w:rsid w:val="00044F6E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07BF3"/>
    <w:rsid w:val="00110149"/>
    <w:rsid w:val="00110E7E"/>
    <w:rsid w:val="00124CCA"/>
    <w:rsid w:val="001253D8"/>
    <w:rsid w:val="00130AA7"/>
    <w:rsid w:val="00132BDF"/>
    <w:rsid w:val="00132DD2"/>
    <w:rsid w:val="00140C08"/>
    <w:rsid w:val="00141276"/>
    <w:rsid w:val="00141FBD"/>
    <w:rsid w:val="001442E1"/>
    <w:rsid w:val="0015088A"/>
    <w:rsid w:val="00151119"/>
    <w:rsid w:val="00160086"/>
    <w:rsid w:val="00163B95"/>
    <w:rsid w:val="00163C1F"/>
    <w:rsid w:val="001741B3"/>
    <w:rsid w:val="00180B34"/>
    <w:rsid w:val="00182231"/>
    <w:rsid w:val="001847A5"/>
    <w:rsid w:val="00195632"/>
    <w:rsid w:val="001B7E02"/>
    <w:rsid w:val="001D5ADE"/>
    <w:rsid w:val="00203AEB"/>
    <w:rsid w:val="00204163"/>
    <w:rsid w:val="002049F3"/>
    <w:rsid w:val="00213FDC"/>
    <w:rsid w:val="00214423"/>
    <w:rsid w:val="00216D57"/>
    <w:rsid w:val="0022084B"/>
    <w:rsid w:val="002238CA"/>
    <w:rsid w:val="002366CF"/>
    <w:rsid w:val="002368A3"/>
    <w:rsid w:val="00241CFE"/>
    <w:rsid w:val="002479B3"/>
    <w:rsid w:val="00263D0C"/>
    <w:rsid w:val="002771D8"/>
    <w:rsid w:val="002777A2"/>
    <w:rsid w:val="0028267C"/>
    <w:rsid w:val="00284BCE"/>
    <w:rsid w:val="002872B3"/>
    <w:rsid w:val="00291B94"/>
    <w:rsid w:val="002929E5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3ED3"/>
    <w:rsid w:val="00417D17"/>
    <w:rsid w:val="00424DF6"/>
    <w:rsid w:val="00427C56"/>
    <w:rsid w:val="00434B9B"/>
    <w:rsid w:val="00435B86"/>
    <w:rsid w:val="00453AC9"/>
    <w:rsid w:val="00456C95"/>
    <w:rsid w:val="004606D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553D6"/>
    <w:rsid w:val="0056015A"/>
    <w:rsid w:val="005616FF"/>
    <w:rsid w:val="00565A63"/>
    <w:rsid w:val="00571FD0"/>
    <w:rsid w:val="00574632"/>
    <w:rsid w:val="00575541"/>
    <w:rsid w:val="00585063"/>
    <w:rsid w:val="005B34B9"/>
    <w:rsid w:val="005C6AB4"/>
    <w:rsid w:val="005D1AEB"/>
    <w:rsid w:val="005D3F47"/>
    <w:rsid w:val="005D67D6"/>
    <w:rsid w:val="005E1A6B"/>
    <w:rsid w:val="005E2E99"/>
    <w:rsid w:val="005E3357"/>
    <w:rsid w:val="005E659B"/>
    <w:rsid w:val="005E776A"/>
    <w:rsid w:val="005F65D9"/>
    <w:rsid w:val="00600EB8"/>
    <w:rsid w:val="00626CA9"/>
    <w:rsid w:val="00630D34"/>
    <w:rsid w:val="00634D48"/>
    <w:rsid w:val="006545AC"/>
    <w:rsid w:val="00667869"/>
    <w:rsid w:val="00670468"/>
    <w:rsid w:val="00674CF3"/>
    <w:rsid w:val="006754E3"/>
    <w:rsid w:val="006762E1"/>
    <w:rsid w:val="0067677F"/>
    <w:rsid w:val="00683134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43A8"/>
    <w:rsid w:val="00715262"/>
    <w:rsid w:val="00716ADF"/>
    <w:rsid w:val="00723CFF"/>
    <w:rsid w:val="00737FE4"/>
    <w:rsid w:val="00740468"/>
    <w:rsid w:val="007443B7"/>
    <w:rsid w:val="0074779B"/>
    <w:rsid w:val="007556F0"/>
    <w:rsid w:val="007564BC"/>
    <w:rsid w:val="00761383"/>
    <w:rsid w:val="007625CF"/>
    <w:rsid w:val="00764E1A"/>
    <w:rsid w:val="00766179"/>
    <w:rsid w:val="00770468"/>
    <w:rsid w:val="00772C15"/>
    <w:rsid w:val="00777DAA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2583"/>
    <w:rsid w:val="007D5FE3"/>
    <w:rsid w:val="007E0AA1"/>
    <w:rsid w:val="007E4E1C"/>
    <w:rsid w:val="007E7954"/>
    <w:rsid w:val="007E7F5A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67EAB"/>
    <w:rsid w:val="00881F11"/>
    <w:rsid w:val="00891A07"/>
    <w:rsid w:val="00891DBA"/>
    <w:rsid w:val="0089254A"/>
    <w:rsid w:val="008936A8"/>
    <w:rsid w:val="008A6361"/>
    <w:rsid w:val="008B0CF1"/>
    <w:rsid w:val="008C0158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24E0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6F17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D7755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186"/>
    <w:rsid w:val="00BA6C94"/>
    <w:rsid w:val="00BC1814"/>
    <w:rsid w:val="00BC357F"/>
    <w:rsid w:val="00BC5BD2"/>
    <w:rsid w:val="00BD2093"/>
    <w:rsid w:val="00BE1653"/>
    <w:rsid w:val="00BE5EED"/>
    <w:rsid w:val="00BE7BF6"/>
    <w:rsid w:val="00BF749B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54264"/>
    <w:rsid w:val="00C62904"/>
    <w:rsid w:val="00C63D7D"/>
    <w:rsid w:val="00C652F8"/>
    <w:rsid w:val="00C73D60"/>
    <w:rsid w:val="00C76888"/>
    <w:rsid w:val="00C77521"/>
    <w:rsid w:val="00C77D65"/>
    <w:rsid w:val="00C918E6"/>
    <w:rsid w:val="00CA32FC"/>
    <w:rsid w:val="00CA5856"/>
    <w:rsid w:val="00CB0572"/>
    <w:rsid w:val="00CD676B"/>
    <w:rsid w:val="00CD6D41"/>
    <w:rsid w:val="00CE00BD"/>
    <w:rsid w:val="00CE03F4"/>
    <w:rsid w:val="00CF062E"/>
    <w:rsid w:val="00CF50DC"/>
    <w:rsid w:val="00CF5F23"/>
    <w:rsid w:val="00D0002D"/>
    <w:rsid w:val="00D116B3"/>
    <w:rsid w:val="00D12C60"/>
    <w:rsid w:val="00D176C2"/>
    <w:rsid w:val="00D21CD0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13A6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49FA"/>
    <w:rsid w:val="00DF5F45"/>
    <w:rsid w:val="00E0294B"/>
    <w:rsid w:val="00E05575"/>
    <w:rsid w:val="00E05670"/>
    <w:rsid w:val="00E24EFE"/>
    <w:rsid w:val="00E25638"/>
    <w:rsid w:val="00E2717D"/>
    <w:rsid w:val="00E51525"/>
    <w:rsid w:val="00E51621"/>
    <w:rsid w:val="00E5371F"/>
    <w:rsid w:val="00E56A15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3C5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425FB"/>
    <w:rsid w:val="00F447C2"/>
    <w:rsid w:val="00F653A6"/>
    <w:rsid w:val="00F66A4E"/>
    <w:rsid w:val="00F6718E"/>
    <w:rsid w:val="00F76B28"/>
    <w:rsid w:val="00F8093E"/>
    <w:rsid w:val="00F84251"/>
    <w:rsid w:val="00F8458B"/>
    <w:rsid w:val="00F91A90"/>
    <w:rsid w:val="00F92F37"/>
    <w:rsid w:val="00F975C3"/>
    <w:rsid w:val="00FA2094"/>
    <w:rsid w:val="00FA2D84"/>
    <w:rsid w:val="00FA6B9F"/>
    <w:rsid w:val="00FA749C"/>
    <w:rsid w:val="00FB53DA"/>
    <w:rsid w:val="00FB54B4"/>
    <w:rsid w:val="00FC3B1E"/>
    <w:rsid w:val="00FC665A"/>
    <w:rsid w:val="00FC700D"/>
    <w:rsid w:val="00FD0234"/>
    <w:rsid w:val="00FD433A"/>
    <w:rsid w:val="00FD6131"/>
    <w:rsid w:val="00FD635C"/>
    <w:rsid w:val="00FD6EC7"/>
    <w:rsid w:val="00FD7A82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styleId="Bezodstpw">
    <w:name w:val="No Spacing"/>
    <w:uiPriority w:val="1"/>
    <w:qFormat/>
    <w:rsid w:val="00044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ow-umwd.dolny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learning.mapypotrzebzdrowotnych@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learning.mapypotrzebzdrowotnych@mz.gov.pl" TargetMode="External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D9F-8D5D-4AFE-9F48-BD9609F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3353</Words>
  <Characters>20122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Martyna Pogorzelska</cp:lastModifiedBy>
  <cp:revision>2</cp:revision>
  <cp:lastPrinted>2017-05-16T13:06:00Z</cp:lastPrinted>
  <dcterms:created xsi:type="dcterms:W3CDTF">2017-05-22T11:53:00Z</dcterms:created>
  <dcterms:modified xsi:type="dcterms:W3CDTF">2017-05-22T11:53:00Z</dcterms:modified>
</cp:coreProperties>
</file>