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0C3896">
        <w:rPr>
          <w:rFonts w:asciiTheme="minorHAnsi" w:hAnsiTheme="minorHAnsi"/>
          <w:color w:val="000000" w:themeColor="text1"/>
        </w:rPr>
        <w:t xml:space="preserve">27 lipca </w:t>
      </w:r>
      <w:bookmarkStart w:id="0" w:name="_GoBack"/>
      <w:bookmarkEnd w:id="0"/>
      <w:r w:rsidR="007C2632" w:rsidRPr="001F10BE">
        <w:rPr>
          <w:rFonts w:asciiTheme="minorHAnsi" w:hAnsiTheme="minorHAnsi"/>
          <w:color w:val="000000" w:themeColor="text1"/>
        </w:rPr>
        <w:t xml:space="preserve">2016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4B1EE4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14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18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19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4A6850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CB03CB"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4B1EE4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4 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 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 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 xml:space="preserve">8 925 </w:t>
            </w:r>
            <w:r w:rsidR="0080106E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80106E" w:rsidRPr="004628DB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50" w:rsidRDefault="004A6850" w:rsidP="005947CE">
      <w:pPr>
        <w:spacing w:line="240" w:lineRule="auto"/>
      </w:pPr>
      <w:r>
        <w:separator/>
      </w:r>
    </w:p>
  </w:endnote>
  <w:endnote w:type="continuationSeparator" w:id="0">
    <w:p w:rsidR="004A6850" w:rsidRDefault="004A6850" w:rsidP="005947CE">
      <w:pPr>
        <w:spacing w:line="240" w:lineRule="auto"/>
      </w:pPr>
      <w:r>
        <w:continuationSeparator/>
      </w:r>
    </w:p>
  </w:endnote>
  <w:endnote w:type="continuationNotice" w:id="1">
    <w:p w:rsidR="004A6850" w:rsidRDefault="004A68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C1608" w:rsidRPr="005947CE" w:rsidRDefault="00BC1608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0C3896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BC1608" w:rsidRDefault="00BC1608">
    <w:pPr>
      <w:pStyle w:val="Stopka"/>
    </w:pPr>
  </w:p>
  <w:p w:rsidR="00BC1608" w:rsidRDefault="00BC1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50" w:rsidRDefault="004A6850" w:rsidP="005947CE">
      <w:pPr>
        <w:spacing w:line="240" w:lineRule="auto"/>
      </w:pPr>
      <w:r>
        <w:separator/>
      </w:r>
    </w:p>
  </w:footnote>
  <w:footnote w:type="continuationSeparator" w:id="0">
    <w:p w:rsidR="004A6850" w:rsidRDefault="004A6850" w:rsidP="005947CE">
      <w:pPr>
        <w:spacing w:line="240" w:lineRule="auto"/>
      </w:pPr>
      <w:r>
        <w:continuationSeparator/>
      </w:r>
    </w:p>
  </w:footnote>
  <w:footnote w:type="continuationNotice" w:id="1">
    <w:p w:rsidR="004A6850" w:rsidRDefault="004A6850">
      <w:pPr>
        <w:spacing w:line="240" w:lineRule="auto"/>
      </w:pPr>
    </w:p>
  </w:footnote>
  <w:footnote w:id="2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C1608" w:rsidRPr="000A0232" w:rsidRDefault="00BC160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5658"/>
    <w:rsid w:val="00006491"/>
    <w:rsid w:val="00012A64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E12C7"/>
    <w:rsid w:val="001F10BE"/>
    <w:rsid w:val="001F21A5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6375"/>
    <w:rsid w:val="005C6299"/>
    <w:rsid w:val="005D0291"/>
    <w:rsid w:val="005E38A5"/>
    <w:rsid w:val="005F6A7C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92872"/>
    <w:rsid w:val="00AB7262"/>
    <w:rsid w:val="00AB7764"/>
    <w:rsid w:val="00AD1EE0"/>
    <w:rsid w:val="00B1533E"/>
    <w:rsid w:val="00B169C3"/>
    <w:rsid w:val="00B278E8"/>
    <w:rsid w:val="00B30043"/>
    <w:rsid w:val="00B57851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30BD3"/>
    <w:rsid w:val="00C3642F"/>
    <w:rsid w:val="00C401B9"/>
    <w:rsid w:val="00C40683"/>
    <w:rsid w:val="00C5585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948D-B4BE-4328-9913-D906A32B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B0D6-E973-49B7-AB8A-3D15B9B5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34</Pages>
  <Words>5588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Aleksandra Kondracka</cp:lastModifiedBy>
  <cp:revision>13</cp:revision>
  <cp:lastPrinted>2016-05-23T10:56:00Z</cp:lastPrinted>
  <dcterms:created xsi:type="dcterms:W3CDTF">2016-05-18T06:28:00Z</dcterms:created>
  <dcterms:modified xsi:type="dcterms:W3CDTF">2016-07-29T10:38:00Z</dcterms:modified>
</cp:coreProperties>
</file>