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0B80C" w14:textId="77777777" w:rsidR="00F1305C" w:rsidRPr="0064076F" w:rsidRDefault="0064076F" w:rsidP="007506D8">
      <w:pPr>
        <w:jc w:val="both"/>
        <w:rPr>
          <w:rFonts w:eastAsia="Times New Roman" w:cs="Arial"/>
          <w:b/>
          <w:sz w:val="24"/>
          <w:szCs w:val="24"/>
          <w:lang w:eastAsia="pl-PL"/>
        </w:rPr>
      </w:pPr>
      <w:bookmarkStart w:id="0" w:name="_GoBack"/>
      <w:bookmarkEnd w:id="0"/>
      <w:r w:rsidRPr="0064076F">
        <w:rPr>
          <w:b/>
          <w:sz w:val="24"/>
          <w:szCs w:val="24"/>
        </w:rPr>
        <w:t xml:space="preserve">6.3.B – Remont, </w:t>
      </w:r>
      <w:r w:rsidRPr="0064076F">
        <w:rPr>
          <w:rFonts w:eastAsia="Times New Roman" w:cs="Arial"/>
          <w:b/>
          <w:sz w:val="24"/>
          <w:szCs w:val="24"/>
          <w:lang w:eastAsia="pl-PL"/>
        </w:rPr>
        <w:t>odnowa części wspólnych wielorodzinnych budynków mieszkalnych</w:t>
      </w:r>
    </w:p>
    <w:p w14:paraId="08C171EA" w14:textId="77777777" w:rsidR="0064076F" w:rsidRDefault="0064076F" w:rsidP="00B73F23">
      <w:pPr>
        <w:spacing w:line="240" w:lineRule="auto"/>
        <w:jc w:val="both"/>
      </w:pPr>
      <w:r>
        <w:rPr>
          <w:rFonts w:eastAsia="Times New Roman" w:cs="Arial"/>
          <w:b/>
          <w:lang w:eastAsia="pl-PL"/>
        </w:rPr>
        <w:t xml:space="preserve">Pytanie: </w:t>
      </w:r>
      <w:r>
        <w:t>Czy w ramach działania 6.3 B możliwa jest wymiana stolarki okiennej w prywatnych mieszkaniach?</w:t>
      </w:r>
    </w:p>
    <w:p w14:paraId="003BD16A" w14:textId="77777777" w:rsidR="001766E0" w:rsidRDefault="0064076F" w:rsidP="001360DD">
      <w:pPr>
        <w:pStyle w:val="Poprawka"/>
        <w:jc w:val="both"/>
        <w:rPr>
          <w:rFonts w:asciiTheme="minorHAnsi" w:hAnsiTheme="minorHAnsi"/>
          <w:b/>
          <w:sz w:val="22"/>
          <w:szCs w:val="22"/>
        </w:rPr>
      </w:pPr>
      <w:r w:rsidRPr="0064076F">
        <w:rPr>
          <w:rFonts w:asciiTheme="minorHAnsi" w:hAnsiTheme="minorHAnsi"/>
          <w:b/>
          <w:sz w:val="22"/>
          <w:szCs w:val="22"/>
        </w:rPr>
        <w:t xml:space="preserve">Odpowiedź: </w:t>
      </w:r>
      <w:r w:rsidR="001360DD" w:rsidRPr="00284FE1">
        <w:rPr>
          <w:rFonts w:asciiTheme="minorHAnsi" w:hAnsiTheme="minorHAnsi"/>
          <w:sz w:val="22"/>
          <w:szCs w:val="22"/>
        </w:rPr>
        <w:t>Wymiana stolarki okiennej będzie możliwa przy:</w:t>
      </w:r>
    </w:p>
    <w:p w14:paraId="11DD73DA" w14:textId="0B7BE41E" w:rsidR="001360DD" w:rsidRDefault="001360DD" w:rsidP="001360DD">
      <w:pPr>
        <w:pStyle w:val="Poprawk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Kompleksowym remoncie elewacji budynku</w:t>
      </w:r>
      <w:r w:rsidR="000F0268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jako element robót</w:t>
      </w:r>
      <w:r w:rsidR="000F0268">
        <w:rPr>
          <w:rFonts w:asciiTheme="minorHAnsi" w:hAnsiTheme="minorHAnsi"/>
          <w:sz w:val="22"/>
          <w:szCs w:val="22"/>
        </w:rPr>
        <w:t xml:space="preserve"> remontowych</w:t>
      </w:r>
      <w:r>
        <w:rPr>
          <w:rFonts w:asciiTheme="minorHAnsi" w:hAnsiTheme="minorHAnsi"/>
          <w:sz w:val="22"/>
          <w:szCs w:val="22"/>
        </w:rPr>
        <w:t xml:space="preserve"> wykonywanych na elewacji;</w:t>
      </w:r>
    </w:p>
    <w:p w14:paraId="77B22957" w14:textId="77777777" w:rsidR="001360DD" w:rsidRDefault="001360DD" w:rsidP="001360DD">
      <w:pPr>
        <w:pStyle w:val="Poprawk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Zaleceniu Konserwatora Zabytków;</w:t>
      </w:r>
    </w:p>
    <w:p w14:paraId="08E8F131" w14:textId="2AEB12F7" w:rsidR="001360DD" w:rsidRDefault="001360DD" w:rsidP="001360DD">
      <w:pPr>
        <w:pStyle w:val="Poprawka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284FE1">
        <w:rPr>
          <w:rFonts w:asciiTheme="minorHAnsi" w:hAnsiTheme="minorHAnsi"/>
          <w:sz w:val="22"/>
          <w:szCs w:val="22"/>
        </w:rPr>
        <w:t>ermomodernizacji</w:t>
      </w:r>
      <w:r>
        <w:rPr>
          <w:rFonts w:asciiTheme="minorHAnsi" w:hAnsiTheme="minorHAnsi"/>
          <w:sz w:val="22"/>
          <w:szCs w:val="22"/>
        </w:rPr>
        <w:t xml:space="preserve"> budynku,</w:t>
      </w:r>
      <w:r w:rsidR="00284FE1">
        <w:rPr>
          <w:rFonts w:asciiTheme="minorHAnsi" w:hAnsiTheme="minorHAnsi"/>
          <w:sz w:val="22"/>
          <w:szCs w:val="22"/>
        </w:rPr>
        <w:t xml:space="preserve"> jako poprawa efektywności energetycznej budynku, w tym wypadku wartość </w:t>
      </w:r>
      <w:r w:rsidR="000F0268">
        <w:rPr>
          <w:rFonts w:asciiTheme="minorHAnsi" w:hAnsiTheme="minorHAnsi"/>
          <w:sz w:val="22"/>
          <w:szCs w:val="22"/>
        </w:rPr>
        <w:t xml:space="preserve"> robót</w:t>
      </w:r>
      <w:r w:rsidR="00284FE1">
        <w:rPr>
          <w:rFonts w:asciiTheme="minorHAnsi" w:hAnsiTheme="minorHAnsi"/>
          <w:sz w:val="22"/>
          <w:szCs w:val="22"/>
        </w:rPr>
        <w:t xml:space="preserve"> termomodernizacyjnych nie może przekraczać 49% wartości wydatków kwalifikowalnych na pojedynczy budynek w projekcie.</w:t>
      </w:r>
    </w:p>
    <w:p w14:paraId="6B7990C8" w14:textId="77777777" w:rsidR="001360DD" w:rsidRDefault="001360DD" w:rsidP="001360DD">
      <w:pPr>
        <w:pStyle w:val="Poprawka"/>
        <w:jc w:val="both"/>
      </w:pPr>
    </w:p>
    <w:p w14:paraId="31B43A66" w14:textId="77777777" w:rsidR="00BD1EA8" w:rsidRDefault="00BD1EA8" w:rsidP="001360DD">
      <w:pPr>
        <w:spacing w:line="240" w:lineRule="auto"/>
        <w:jc w:val="both"/>
        <w:rPr>
          <w:b/>
        </w:rPr>
      </w:pPr>
    </w:p>
    <w:p w14:paraId="6A312AB4" w14:textId="03DF9A2C" w:rsidR="001360DD" w:rsidRDefault="001360DD" w:rsidP="001360DD">
      <w:pPr>
        <w:spacing w:line="240" w:lineRule="auto"/>
        <w:jc w:val="both"/>
        <w:rPr>
          <w:iCs/>
        </w:rPr>
      </w:pPr>
      <w:r w:rsidRPr="0012689D">
        <w:rPr>
          <w:b/>
        </w:rPr>
        <w:t>Pytanie:</w:t>
      </w:r>
      <w:r w:rsidRPr="0012689D">
        <w:rPr>
          <w:iCs/>
        </w:rPr>
        <w:t xml:space="preserve">  W programie rewitalizacji zostało założone, że remontowi będzie podlegać elewacja danego budynku</w:t>
      </w:r>
      <w:r>
        <w:rPr>
          <w:iCs/>
        </w:rPr>
        <w:t>. C</w:t>
      </w:r>
      <w:r w:rsidRPr="0012689D">
        <w:rPr>
          <w:iCs/>
        </w:rPr>
        <w:t>hcielibyśmy dopisać wymianę stolarki okiennej, co przypadkowo nie zostało wpisane do LPR od razu (myśleliśmy</w:t>
      </w:r>
      <w:r>
        <w:rPr>
          <w:iCs/>
        </w:rPr>
        <w:t>,</w:t>
      </w:r>
      <w:r w:rsidRPr="0012689D">
        <w:rPr>
          <w:iCs/>
        </w:rPr>
        <w:t xml:space="preserve"> że zawiera się to już w remoncie elewacji budynku).</w:t>
      </w:r>
      <w:r>
        <w:rPr>
          <w:iCs/>
        </w:rPr>
        <w:t xml:space="preserve"> </w:t>
      </w:r>
      <w:r w:rsidRPr="004B5471">
        <w:rPr>
          <w:iCs/>
        </w:rPr>
        <w:t xml:space="preserve"> </w:t>
      </w:r>
      <w:r>
        <w:rPr>
          <w:iCs/>
        </w:rPr>
        <w:t>Zgodnie z wytycznymi programowymi i</w:t>
      </w:r>
      <w:r w:rsidRPr="004B5471">
        <w:rPr>
          <w:iCs/>
        </w:rPr>
        <w:t xml:space="preserve">stnieje możliwość niewielkich modyfikacji pomiędzy opisem projektu zawartym </w:t>
      </w:r>
      <w:r>
        <w:rPr>
          <w:iCs/>
        </w:rPr>
        <w:br/>
      </w:r>
      <w:r w:rsidRPr="004B5471">
        <w:rPr>
          <w:iCs/>
        </w:rPr>
        <w:t>w programie rewitalizacji, a opisem projektu we wniosku o dofinansowanie, o ile nie zmieni się j</w:t>
      </w:r>
      <w:r w:rsidR="00B32B8C">
        <w:rPr>
          <w:iCs/>
        </w:rPr>
        <w:t>ego cel i podstawowe założenia.</w:t>
      </w:r>
    </w:p>
    <w:p w14:paraId="7B401873" w14:textId="77777777" w:rsidR="00284FE1" w:rsidRPr="008E2C8C" w:rsidRDefault="00284FE1" w:rsidP="001360DD">
      <w:pPr>
        <w:spacing w:line="240" w:lineRule="auto"/>
        <w:jc w:val="both"/>
        <w:rPr>
          <w:iCs/>
        </w:rPr>
      </w:pPr>
      <w:r w:rsidRPr="0064076F">
        <w:rPr>
          <w:b/>
        </w:rPr>
        <w:t>Odpowiedź:</w:t>
      </w:r>
      <w:r>
        <w:rPr>
          <w:b/>
        </w:rPr>
        <w:t xml:space="preserve"> </w:t>
      </w:r>
      <w:r w:rsidRPr="00284FE1">
        <w:t>jak wyżej</w:t>
      </w:r>
      <w:r>
        <w:rPr>
          <w:b/>
        </w:rPr>
        <w:t xml:space="preserve"> </w:t>
      </w:r>
    </w:p>
    <w:p w14:paraId="64F6E48B" w14:textId="77777777" w:rsidR="001360DD" w:rsidRDefault="005E3987" w:rsidP="00840B16">
      <w:pPr>
        <w:spacing w:line="240" w:lineRule="auto"/>
        <w:jc w:val="both"/>
      </w:pPr>
      <w:r>
        <w:t>Jeśli remontowi będzie podlegać elewacja budynku, możliwa jest w tym przypadku wymiana okien, jako jeden z  elementów elewacji.</w:t>
      </w:r>
    </w:p>
    <w:p w14:paraId="6EAA9092" w14:textId="77777777" w:rsidR="00BD1EA8" w:rsidRDefault="00BD1EA8" w:rsidP="005E3987">
      <w:pPr>
        <w:spacing w:line="240" w:lineRule="auto"/>
        <w:jc w:val="both"/>
        <w:rPr>
          <w:b/>
        </w:rPr>
      </w:pPr>
    </w:p>
    <w:p w14:paraId="20791658" w14:textId="77777777" w:rsidR="005E3987" w:rsidRDefault="005E3987" w:rsidP="005E3987">
      <w:pPr>
        <w:spacing w:line="240" w:lineRule="auto"/>
        <w:jc w:val="both"/>
        <w:rPr>
          <w:iCs/>
        </w:rPr>
      </w:pPr>
      <w:r w:rsidRPr="00B4731B">
        <w:rPr>
          <w:b/>
        </w:rPr>
        <w:t>Pytanie:</w:t>
      </w:r>
      <w:r w:rsidRPr="00B4731B">
        <w:rPr>
          <w:iCs/>
        </w:rPr>
        <w:t xml:space="preserve"> </w:t>
      </w:r>
      <w:r>
        <w:rPr>
          <w:iCs/>
        </w:rPr>
        <w:t xml:space="preserve"> </w:t>
      </w:r>
      <w:r w:rsidRPr="00B4731B">
        <w:rPr>
          <w:iCs/>
        </w:rPr>
        <w:t>Czy jeżeli w programie rewitalizacji zostało założone, że remontowi będzie podlegać elewacja danego budynku, bez wzmianki o pozostałych elementach,  to można również dokonać remontu klatki schodowej, czy wówczas będ</w:t>
      </w:r>
      <w:r>
        <w:rPr>
          <w:iCs/>
        </w:rPr>
        <w:t>zie to koszt niekwalifikowalny?</w:t>
      </w:r>
    </w:p>
    <w:p w14:paraId="605AF79F" w14:textId="552856A8" w:rsidR="009F1AE6" w:rsidRPr="009F1AE6" w:rsidRDefault="005E3987" w:rsidP="009F1AE6">
      <w:pPr>
        <w:jc w:val="both"/>
        <w:rPr>
          <w:iCs/>
        </w:rPr>
      </w:pPr>
      <w:r w:rsidRPr="00764CAA">
        <w:rPr>
          <w:b/>
          <w:iCs/>
        </w:rPr>
        <w:t xml:space="preserve">Odpowiedź: </w:t>
      </w:r>
      <w:r w:rsidRPr="00F00948">
        <w:rPr>
          <w:iCs/>
        </w:rPr>
        <w:t>Nie</w:t>
      </w:r>
      <w:r>
        <w:rPr>
          <w:b/>
          <w:iCs/>
        </w:rPr>
        <w:t xml:space="preserve">. </w:t>
      </w:r>
      <w:r w:rsidRPr="00764CAA">
        <w:rPr>
          <w:iCs/>
        </w:rPr>
        <w:t>Jeśli w programie rewitalizacji w zakresie</w:t>
      </w:r>
      <w:r>
        <w:rPr>
          <w:b/>
          <w:iCs/>
        </w:rPr>
        <w:t xml:space="preserve"> </w:t>
      </w:r>
      <w:r>
        <w:rPr>
          <w:iCs/>
        </w:rPr>
        <w:t xml:space="preserve">rzeczowym projektu nie został wskazany remont klatki schodowej, a tylko elewacja budynku, to </w:t>
      </w:r>
      <w:r w:rsidR="009F1AE6">
        <w:rPr>
          <w:iCs/>
        </w:rPr>
        <w:t xml:space="preserve">w ramach składanego wniosku </w:t>
      </w:r>
      <w:r w:rsidR="00B32B8C">
        <w:rPr>
          <w:iCs/>
        </w:rPr>
        <w:br/>
      </w:r>
      <w:r w:rsidR="009F1AE6">
        <w:rPr>
          <w:iCs/>
        </w:rPr>
        <w:t>o dofinansowanie do RPO</w:t>
      </w:r>
      <w:r w:rsidR="006C7573">
        <w:rPr>
          <w:iCs/>
        </w:rPr>
        <w:t xml:space="preserve"> WD </w:t>
      </w:r>
      <w:r w:rsidR="009F1AE6">
        <w:rPr>
          <w:iCs/>
        </w:rPr>
        <w:t xml:space="preserve"> </w:t>
      </w:r>
      <w:r w:rsidR="009F1AE6" w:rsidRPr="006C7573">
        <w:rPr>
          <w:iCs/>
        </w:rPr>
        <w:t>nie ma możliwości</w:t>
      </w:r>
      <w:r w:rsidR="009F1AE6">
        <w:rPr>
          <w:iCs/>
        </w:rPr>
        <w:t xml:space="preserve"> rozszerzenia zakresu rzeczowego o remont klatki schodowej, nawet w ramach wydatków niekwalifikowalnych. Nie jest zabronione natomiast wykonanie takiego remontu przez inwestora jednakże tylko poza zakresem projektu/wniosku </w:t>
      </w:r>
      <w:r w:rsidR="00B32B8C">
        <w:rPr>
          <w:iCs/>
        </w:rPr>
        <w:br/>
      </w:r>
      <w:r w:rsidR="009F1AE6">
        <w:rPr>
          <w:iCs/>
        </w:rPr>
        <w:t xml:space="preserve">o dofinansowanie składanego w ramach RPO.  </w:t>
      </w:r>
    </w:p>
    <w:p w14:paraId="1CDA7DCF" w14:textId="0BE6EBE2" w:rsidR="005E3987" w:rsidRDefault="005E3987" w:rsidP="005E3987">
      <w:pPr>
        <w:spacing w:line="240" w:lineRule="auto"/>
        <w:jc w:val="both"/>
        <w:rPr>
          <w:iCs/>
        </w:rPr>
      </w:pPr>
      <w:r>
        <w:rPr>
          <w:iCs/>
        </w:rPr>
        <w:t xml:space="preserve">  </w:t>
      </w:r>
    </w:p>
    <w:p w14:paraId="05192906" w14:textId="77777777" w:rsidR="00BD1EA8" w:rsidRDefault="00BD1EA8" w:rsidP="00BD1EA8">
      <w:pPr>
        <w:pStyle w:val="HTML-wstpniesformatowany"/>
        <w:jc w:val="both"/>
        <w:rPr>
          <w:rFonts w:asciiTheme="minorHAnsi" w:hAnsiTheme="minorHAnsi"/>
          <w:b/>
          <w:sz w:val="22"/>
          <w:szCs w:val="22"/>
        </w:rPr>
      </w:pPr>
    </w:p>
    <w:p w14:paraId="31476ED9" w14:textId="77777777" w:rsidR="00A15610" w:rsidRDefault="00A15610" w:rsidP="00BD1EA8">
      <w:pPr>
        <w:pStyle w:val="HTML-wstpniesformatowany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Pytania ws partnerstw w projektach:</w:t>
      </w:r>
    </w:p>
    <w:p w14:paraId="1C743FFE" w14:textId="77777777" w:rsidR="00BD1EA8" w:rsidRPr="007C0983" w:rsidRDefault="00A15610" w:rsidP="00BD1EA8">
      <w:pPr>
        <w:pStyle w:val="HTML-wstpniesformatowany"/>
        <w:jc w:val="both"/>
        <w:rPr>
          <w:rFonts w:asciiTheme="minorHAnsi" w:hAnsiTheme="minorHAnsi"/>
          <w:sz w:val="22"/>
          <w:szCs w:val="22"/>
        </w:rPr>
      </w:pPr>
      <w:r w:rsidRPr="00A15610">
        <w:rPr>
          <w:rFonts w:asciiTheme="minorHAnsi" w:hAnsiTheme="minorHAnsi"/>
          <w:sz w:val="22"/>
          <w:szCs w:val="22"/>
        </w:rPr>
        <w:t>1.</w:t>
      </w:r>
      <w:r w:rsidR="00BD1EA8" w:rsidRPr="007C0983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BD1EA8" w:rsidRPr="007C0983">
        <w:rPr>
          <w:rFonts w:asciiTheme="minorHAnsi" w:hAnsiTheme="minorHAnsi"/>
          <w:sz w:val="22"/>
          <w:szCs w:val="22"/>
        </w:rPr>
        <w:t xml:space="preserve">Jeżeli wspólnoty zgłosiły projekt partnerski do LPR, a teraz dwie wspólnoty wycofały się </w:t>
      </w:r>
      <w:r w:rsidR="00BD1EA8" w:rsidRPr="007C0983">
        <w:rPr>
          <w:rFonts w:asciiTheme="minorHAnsi" w:hAnsiTheme="minorHAnsi"/>
          <w:sz w:val="22"/>
          <w:szCs w:val="22"/>
        </w:rPr>
        <w:br/>
        <w:t xml:space="preserve">z tego partnerstwa, czy w takim wypadku jest możliwość dołączenia się tych wspólnot do innego partnera (wspólnoty mieszkaniowej), lub też czy jest możliwość, aby te wspólnoty składały indywidualnie projekty, mimo zapisu partnerskiego w LPR oczywiście w zakresach prac wskazanym </w:t>
      </w:r>
      <w:r w:rsidR="00BD1EA8" w:rsidRPr="007C0983">
        <w:rPr>
          <w:rFonts w:asciiTheme="minorHAnsi" w:hAnsiTheme="minorHAnsi"/>
          <w:sz w:val="22"/>
          <w:szCs w:val="22"/>
        </w:rPr>
        <w:br/>
        <w:t>w LPR.</w:t>
      </w:r>
    </w:p>
    <w:p w14:paraId="32C7BFDA" w14:textId="77777777" w:rsidR="00BD1EA8" w:rsidRPr="00A15610" w:rsidRDefault="00A15610" w:rsidP="00BD1EA8">
      <w:pPr>
        <w:spacing w:line="240" w:lineRule="auto"/>
        <w:jc w:val="both"/>
      </w:pPr>
      <w:r w:rsidRPr="00A15610">
        <w:t>2.</w:t>
      </w:r>
      <w:r>
        <w:t xml:space="preserve"> </w:t>
      </w:r>
      <w:r w:rsidRPr="001A23A1">
        <w:t xml:space="preserve">W związku z zainteresowaniem Wspólnot Mieszkaniowych do składania wniosków </w:t>
      </w:r>
      <w:r w:rsidRPr="001A23A1">
        <w:br/>
        <w:t xml:space="preserve">o dofinansowanie projektów w ramach działania 6.3 RPO WD 2014-2020 w ramach partnerstw, proszę o informację czy istnieje taka możliwość w sytuacji gdy LPR obejmuje projekty indywidualne, </w:t>
      </w:r>
      <w:r w:rsidRPr="001A23A1">
        <w:lastRenderedPageBreak/>
        <w:t xml:space="preserve">nie obejmujące kilku Wspólnot Mieszkaniowych. Co należy zrobić, aby projekty partnerskie zostały wpisane na listę projektów LPR?   </w:t>
      </w:r>
    </w:p>
    <w:p w14:paraId="3417DA19" w14:textId="07915090" w:rsidR="0071726B" w:rsidRDefault="00BD1EA8" w:rsidP="00BD1EA8">
      <w:pPr>
        <w:spacing w:line="240" w:lineRule="auto"/>
        <w:jc w:val="both"/>
      </w:pPr>
      <w:r w:rsidRPr="007C0983">
        <w:rPr>
          <w:b/>
        </w:rPr>
        <w:t xml:space="preserve">Odpowiedź: </w:t>
      </w:r>
      <w:r w:rsidRPr="007C0983">
        <w:t>Możliwe jest</w:t>
      </w:r>
      <w:r w:rsidRPr="007C0983">
        <w:rPr>
          <w:b/>
        </w:rPr>
        <w:t xml:space="preserve"> </w:t>
      </w:r>
      <w:r w:rsidRPr="007C0983">
        <w:t xml:space="preserve">przystąpienie partnerów do innego partnerstwa wykazanego wcześniej </w:t>
      </w:r>
      <w:r>
        <w:br/>
      </w:r>
      <w:r w:rsidRPr="007C0983">
        <w:t>w LPR</w:t>
      </w:r>
      <w:r w:rsidR="00FC66A7">
        <w:t xml:space="preserve"> lub projektu indywidualnego wskazanego w LPR tworząc nowe partnerstwo</w:t>
      </w:r>
      <w:r w:rsidRPr="007C0983">
        <w:t>. Dodatkowo jest również możliwość złożenia wniosku o dofinansowanie</w:t>
      </w:r>
      <w:r>
        <w:t xml:space="preserve"> indywidualnie przez Wspólnotę, która wcześniej w LPR była wpisana do projek</w:t>
      </w:r>
      <w:r w:rsidR="0071726B">
        <w:t xml:space="preserve">tu partnerskiego. </w:t>
      </w:r>
      <w:r w:rsidR="00FC66A7">
        <w:t xml:space="preserve">Nie ma natomiast możliwości dołączenia </w:t>
      </w:r>
      <w:r w:rsidR="00B32B8C">
        <w:br/>
      </w:r>
      <w:r w:rsidR="00FC66A7">
        <w:t>i stworzenia projektu partnerskiego do innej Wspólnoty Mieszkaniowej nie wymienionej wcześniej nigdzie w LPR.</w:t>
      </w:r>
    </w:p>
    <w:p w14:paraId="1216CB00" w14:textId="02CBE76A" w:rsidR="0071726B" w:rsidRPr="0071726B" w:rsidRDefault="0071726B" w:rsidP="00BD1EA8">
      <w:pPr>
        <w:spacing w:line="240" w:lineRule="auto"/>
        <w:jc w:val="both"/>
        <w:rPr>
          <w:b/>
        </w:rPr>
      </w:pPr>
      <w:r>
        <w:t xml:space="preserve">Należy w takich wypadkach, </w:t>
      </w:r>
      <w:r w:rsidR="00BD1EA8">
        <w:t>we wniosku</w:t>
      </w:r>
      <w:r>
        <w:t xml:space="preserve"> o dofinansowanie</w:t>
      </w:r>
      <w:r w:rsidR="00BD1EA8">
        <w:t xml:space="preserve"> opisać zaistniałą sytuację</w:t>
      </w:r>
      <w:r w:rsidR="00E84DD1">
        <w:t xml:space="preserve"> </w:t>
      </w:r>
      <w:r w:rsidR="00B32B8C">
        <w:t>(m.in. przyczyny takiej zmiany)</w:t>
      </w:r>
      <w:r w:rsidR="00BD1EA8">
        <w:rPr>
          <w:b/>
        </w:rPr>
        <w:t xml:space="preserve">. </w:t>
      </w:r>
      <w:r w:rsidR="00BD1EA8" w:rsidRPr="007C0983">
        <w:t xml:space="preserve">Wskazać  </w:t>
      </w:r>
      <w:r w:rsidR="00E84DD1">
        <w:t xml:space="preserve">pierwotny projekt </w:t>
      </w:r>
      <w:r w:rsidR="00BD1EA8" w:rsidRPr="007C0983">
        <w:t xml:space="preserve">w </w:t>
      </w:r>
      <w:r w:rsidR="00B32B8C">
        <w:t xml:space="preserve"> ramach</w:t>
      </w:r>
      <w:r w:rsidR="00E84DD1">
        <w:t xml:space="preserve"> którego</w:t>
      </w:r>
      <w:r w:rsidR="00BD1EA8" w:rsidRPr="007C0983">
        <w:t xml:space="preserve"> wcześniej znajdował się </w:t>
      </w:r>
      <w:r w:rsidR="00E84DD1">
        <w:t xml:space="preserve">przedmiotowy </w:t>
      </w:r>
      <w:r w:rsidR="00BD1EA8" w:rsidRPr="007C0983">
        <w:t>projekt w LPR</w:t>
      </w:r>
      <w:r w:rsidR="00E84DD1">
        <w:t xml:space="preserve"> oraz ten do którego jest dopisywany</w:t>
      </w:r>
      <w:r w:rsidR="00BD1EA8" w:rsidRPr="007C0983">
        <w:t>.</w:t>
      </w:r>
      <w:r w:rsidR="00BD1EA8">
        <w:t xml:space="preserve"> </w:t>
      </w:r>
    </w:p>
    <w:p w14:paraId="0F767148" w14:textId="2AC76AC4" w:rsidR="00A15610" w:rsidRDefault="00BD1EA8" w:rsidP="00BD1EA8">
      <w:pPr>
        <w:spacing w:line="240" w:lineRule="auto"/>
        <w:jc w:val="both"/>
      </w:pPr>
      <w:r>
        <w:t xml:space="preserve"> </w:t>
      </w:r>
      <w:r w:rsidRPr="00A15610">
        <w:rPr>
          <w:u w:val="single"/>
        </w:rPr>
        <w:t>Nie może zmienić się zakres realizowanych zadań</w:t>
      </w:r>
      <w:r w:rsidR="00FC66A7">
        <w:rPr>
          <w:u w:val="single"/>
        </w:rPr>
        <w:t xml:space="preserve"> (podział nie może wpłynąć </w:t>
      </w:r>
      <w:r w:rsidR="002D58BB">
        <w:rPr>
          <w:u w:val="single"/>
        </w:rPr>
        <w:t>n</w:t>
      </w:r>
      <w:r w:rsidR="00FC66A7">
        <w:rPr>
          <w:u w:val="single"/>
        </w:rPr>
        <w:t>a zmianę zaplanowanego zakresu prac dla poszczególnych podmiotów)</w:t>
      </w:r>
      <w:r>
        <w:t>.</w:t>
      </w:r>
      <w:r w:rsidR="00A15610">
        <w:t xml:space="preserve"> </w:t>
      </w:r>
    </w:p>
    <w:p w14:paraId="4DE48610" w14:textId="4150B99E" w:rsidR="001360DD" w:rsidRDefault="00A15610" w:rsidP="00840B16">
      <w:pPr>
        <w:spacing w:line="240" w:lineRule="auto"/>
        <w:jc w:val="both"/>
        <w:rPr>
          <w:b/>
          <w:color w:val="000000" w:themeColor="text1"/>
        </w:rPr>
      </w:pPr>
      <w:r w:rsidRPr="00A15610">
        <w:rPr>
          <w:color w:val="000000" w:themeColor="text1"/>
        </w:rPr>
        <w:t xml:space="preserve">W przypadku „podziału” partnerstwa </w:t>
      </w:r>
      <w:r w:rsidRPr="00A15610">
        <w:rPr>
          <w:rFonts w:ascii="Calibri" w:hAnsi="Calibri"/>
          <w:color w:val="000000" w:themeColor="text1"/>
        </w:rPr>
        <w:t>należy także w takim przypadku przedstawić jak całkowity koszt pierwotnego projektu został „podzielony” przy zmianie między LPR a składanymi wnioskami.  Może ulec zmianie tytuł projektu, wobec zapisanego w LPR, lecz tak aby odzwierciedlał</w:t>
      </w:r>
      <w:r w:rsidR="00E84DD1">
        <w:rPr>
          <w:rFonts w:ascii="Calibri" w:hAnsi="Calibri"/>
          <w:color w:val="000000" w:themeColor="text1"/>
        </w:rPr>
        <w:t xml:space="preserve"> ogólny</w:t>
      </w:r>
      <w:r w:rsidRPr="00A15610">
        <w:rPr>
          <w:rFonts w:ascii="Calibri" w:hAnsi="Calibri"/>
          <w:color w:val="000000" w:themeColor="text1"/>
        </w:rPr>
        <w:t xml:space="preserve"> zakres projektu</w:t>
      </w:r>
      <w:r w:rsidR="00E84DD1">
        <w:rPr>
          <w:rFonts w:ascii="Calibri" w:hAnsi="Calibri"/>
          <w:color w:val="000000" w:themeColor="text1"/>
        </w:rPr>
        <w:t xml:space="preserve"> i jego lokaliza</w:t>
      </w:r>
      <w:r w:rsidR="00B32B8C">
        <w:rPr>
          <w:rFonts w:ascii="Calibri" w:hAnsi="Calibri"/>
          <w:color w:val="000000" w:themeColor="text1"/>
        </w:rPr>
        <w:t>cję</w:t>
      </w:r>
      <w:r w:rsidRPr="00A15610">
        <w:rPr>
          <w:rFonts w:ascii="Calibri" w:hAnsi="Calibri"/>
          <w:color w:val="000000" w:themeColor="text1"/>
        </w:rPr>
        <w:t xml:space="preserve"> składanego do naboru w działaniu 6.3.</w:t>
      </w:r>
    </w:p>
    <w:p w14:paraId="52F7E269" w14:textId="77777777" w:rsidR="0071726B" w:rsidRDefault="0071726B" w:rsidP="00840B16">
      <w:pPr>
        <w:spacing w:line="240" w:lineRule="auto"/>
        <w:jc w:val="both"/>
        <w:rPr>
          <w:b/>
          <w:color w:val="000000" w:themeColor="text1"/>
        </w:rPr>
      </w:pPr>
    </w:p>
    <w:p w14:paraId="0AB5C4BE" w14:textId="77777777" w:rsidR="0071726B" w:rsidRPr="0071726B" w:rsidRDefault="0071726B" w:rsidP="0071726B">
      <w:pPr>
        <w:spacing w:line="240" w:lineRule="auto"/>
        <w:jc w:val="both"/>
        <w:rPr>
          <w:iCs/>
        </w:rPr>
      </w:pPr>
      <w:r w:rsidRPr="0071726B">
        <w:rPr>
          <w:b/>
        </w:rPr>
        <w:t>Pytanie:</w:t>
      </w:r>
      <w:r w:rsidRPr="0071726B">
        <w:rPr>
          <w:iCs/>
        </w:rPr>
        <w:t xml:space="preserve">  Czy zakres rzeczowy projektu wpisywany we wniosku o dofinansowanie może różnić się od zakresu rzeczowego projektu wpisanego w Lokalnym Programie Rewitalizacji?</w:t>
      </w:r>
    </w:p>
    <w:p w14:paraId="7A496464" w14:textId="45730AF3" w:rsidR="0071726B" w:rsidRDefault="0071726B" w:rsidP="0071726B">
      <w:pPr>
        <w:spacing w:line="240" w:lineRule="auto"/>
        <w:jc w:val="both"/>
        <w:rPr>
          <w:b/>
          <w:iCs/>
        </w:rPr>
      </w:pPr>
      <w:r w:rsidRPr="0071726B">
        <w:rPr>
          <w:b/>
          <w:iCs/>
        </w:rPr>
        <w:t xml:space="preserve">Odpowiedź: </w:t>
      </w:r>
      <w:r w:rsidRPr="0071726B">
        <w:rPr>
          <w:iCs/>
        </w:rPr>
        <w:t>Zakres rzeczowy określony w programie rewitalizacji nie może ulec zwiększeniu we wniosku o dofinansowanie</w:t>
      </w:r>
      <w:r w:rsidR="002D58BB">
        <w:rPr>
          <w:iCs/>
        </w:rPr>
        <w:t xml:space="preserve">. </w:t>
      </w:r>
      <w:r w:rsidRPr="0071726B">
        <w:rPr>
          <w:iCs/>
        </w:rPr>
        <w:t>Zakres może zostać  zmniejszony, nie na odwrót.</w:t>
      </w:r>
      <w:r>
        <w:rPr>
          <w:b/>
          <w:iCs/>
        </w:rPr>
        <w:t xml:space="preserve">  </w:t>
      </w:r>
    </w:p>
    <w:p w14:paraId="6C9D5972" w14:textId="77777777" w:rsidR="0071726B" w:rsidRPr="0071726B" w:rsidRDefault="0071726B" w:rsidP="00840B16">
      <w:pPr>
        <w:spacing w:line="240" w:lineRule="auto"/>
        <w:jc w:val="both"/>
        <w:rPr>
          <w:b/>
          <w:color w:val="000000" w:themeColor="text1"/>
        </w:rPr>
      </w:pPr>
    </w:p>
    <w:p w14:paraId="6B7D53D6" w14:textId="77777777" w:rsidR="0064076F" w:rsidRPr="0071726B" w:rsidRDefault="0064076F" w:rsidP="00840B16">
      <w:pPr>
        <w:spacing w:line="240" w:lineRule="auto"/>
        <w:jc w:val="both"/>
      </w:pPr>
      <w:r w:rsidRPr="0071726B">
        <w:rPr>
          <w:b/>
        </w:rPr>
        <w:t xml:space="preserve">Pytanie: </w:t>
      </w:r>
      <w:r w:rsidRPr="0071726B">
        <w:t>Czy można w ramach działania 6.3 B zagospodarować/odnowić teren wokół budynku?</w:t>
      </w:r>
    </w:p>
    <w:p w14:paraId="42062876" w14:textId="54F7DB30" w:rsidR="0064076F" w:rsidRPr="0071726B" w:rsidRDefault="0064076F" w:rsidP="00840B16">
      <w:pPr>
        <w:spacing w:line="240" w:lineRule="auto"/>
        <w:jc w:val="both"/>
        <w:rPr>
          <w:color w:val="000000" w:themeColor="text1"/>
        </w:rPr>
      </w:pPr>
      <w:r w:rsidRPr="0071726B">
        <w:rPr>
          <w:b/>
        </w:rPr>
        <w:t xml:space="preserve">Odpowiedź: </w:t>
      </w:r>
      <w:r w:rsidRPr="0071726B">
        <w:rPr>
          <w:color w:val="000000" w:themeColor="text1"/>
        </w:rPr>
        <w:t xml:space="preserve">Nabór dotyczy części wspólnych </w:t>
      </w:r>
      <w:r w:rsidR="00FC66A7">
        <w:rPr>
          <w:color w:val="000000" w:themeColor="text1"/>
        </w:rPr>
        <w:t>wielorodzinnych budynków mieszkalnych</w:t>
      </w:r>
      <w:r w:rsidRPr="0071726B">
        <w:rPr>
          <w:color w:val="000000" w:themeColor="text1"/>
        </w:rPr>
        <w:t>, a nie nieruchomości</w:t>
      </w:r>
      <w:r w:rsidR="00E84DD1">
        <w:rPr>
          <w:color w:val="000000" w:themeColor="text1"/>
        </w:rPr>
        <w:t xml:space="preserve"> wraz z zagospodarowaniem terenu wokół nich</w:t>
      </w:r>
      <w:r w:rsidRPr="0071726B">
        <w:rPr>
          <w:color w:val="000000" w:themeColor="text1"/>
        </w:rPr>
        <w:t>, stąd nie</w:t>
      </w:r>
      <w:r w:rsidR="002B6F80" w:rsidRPr="0071726B">
        <w:rPr>
          <w:color w:val="000000" w:themeColor="text1"/>
        </w:rPr>
        <w:t xml:space="preserve"> ma</w:t>
      </w:r>
      <w:r w:rsidRPr="0071726B">
        <w:rPr>
          <w:color w:val="000000" w:themeColor="text1"/>
        </w:rPr>
        <w:t xml:space="preserve"> możliwości dofinansowania tego typu wydatków.</w:t>
      </w:r>
    </w:p>
    <w:p w14:paraId="014B0A1E" w14:textId="77777777" w:rsidR="002B6F80" w:rsidRPr="0071726B" w:rsidRDefault="002B6F80" w:rsidP="00840B16">
      <w:pPr>
        <w:spacing w:line="240" w:lineRule="auto"/>
        <w:jc w:val="both"/>
        <w:rPr>
          <w:b/>
        </w:rPr>
      </w:pPr>
    </w:p>
    <w:p w14:paraId="36CFCCCF" w14:textId="77777777" w:rsidR="0064076F" w:rsidRPr="0071726B" w:rsidRDefault="0064076F" w:rsidP="00840B16">
      <w:pPr>
        <w:spacing w:line="240" w:lineRule="auto"/>
        <w:jc w:val="both"/>
      </w:pPr>
      <w:r w:rsidRPr="0071726B">
        <w:rPr>
          <w:b/>
        </w:rPr>
        <w:t>Pytanie:</w:t>
      </w:r>
      <w:r w:rsidRPr="0071726B">
        <w:t xml:space="preserve"> Gmina posiada lokal w budynku mieszkalnym, tworząc z innymi właścicielami lokali wspólnotę mieszkaniową. Czy zostanie naruszona zasada trwałości projektu gdy lokal ten zostanie wykupiony przez prywatną osobę?</w:t>
      </w:r>
    </w:p>
    <w:p w14:paraId="5CF0E59C" w14:textId="4D3D5858" w:rsidR="0064076F" w:rsidRPr="0071726B" w:rsidRDefault="0064076F" w:rsidP="00840B16">
      <w:pPr>
        <w:spacing w:line="240" w:lineRule="auto"/>
        <w:jc w:val="both"/>
        <w:rPr>
          <w:b/>
        </w:rPr>
      </w:pPr>
      <w:r w:rsidRPr="0071726B">
        <w:rPr>
          <w:b/>
        </w:rPr>
        <w:t>Odpowiedź:</w:t>
      </w:r>
      <w:r w:rsidRPr="0071726B">
        <w:rPr>
          <w:color w:val="1F497D"/>
        </w:rPr>
        <w:t xml:space="preserve"> </w:t>
      </w:r>
      <w:r w:rsidRPr="0071726B">
        <w:rPr>
          <w:color w:val="000000" w:themeColor="text1"/>
        </w:rPr>
        <w:t>Zakładając, że gmina mająca lokal w tej wspólnocie nie będzie w żaden sposób występować w projekcie (np. jako partner)</w:t>
      </w:r>
      <w:r w:rsidR="00E84DD1">
        <w:rPr>
          <w:color w:val="000000" w:themeColor="text1"/>
        </w:rPr>
        <w:t xml:space="preserve"> to nie zostanie naruszona zasada trwałości projektu</w:t>
      </w:r>
      <w:r w:rsidRPr="0071726B">
        <w:rPr>
          <w:color w:val="000000" w:themeColor="text1"/>
        </w:rPr>
        <w:t>.</w:t>
      </w:r>
      <w:r w:rsidR="00840B16" w:rsidRPr="0071726B">
        <w:rPr>
          <w:color w:val="000000" w:themeColor="text1"/>
        </w:rPr>
        <w:t xml:space="preserve"> </w:t>
      </w:r>
      <w:r w:rsidR="00840B16" w:rsidRPr="0071726B">
        <w:t xml:space="preserve">Jeśli w dalszym ciągu Beneficjentem będzie wspólnota mieszkaniowa, tylko jej członkowie się zmienią, nie zostanie naruszona zasada trwałości. Tego typu działanie będzie miało zastosowanie do każdej sprzedaży lokalu w budynku, zmianie poszczególnych członków wspólnoty. Zmiana członków wspólnoty/zarządu powinna być zgłoszona do IZ RPO WD. </w:t>
      </w:r>
      <w:r w:rsidR="00FC66A7">
        <w:rPr>
          <w:color w:val="000000" w:themeColor="text1"/>
        </w:rPr>
        <w:t xml:space="preserve">Ważną kwestią jest również przeznaczenie danego lokalu, </w:t>
      </w:r>
      <w:r w:rsidR="00840B16" w:rsidRPr="0071726B">
        <w:rPr>
          <w:color w:val="000000" w:themeColor="text1"/>
        </w:rPr>
        <w:t>aby</w:t>
      </w:r>
      <w:r w:rsidR="00FC66A7">
        <w:rPr>
          <w:color w:val="000000" w:themeColor="text1"/>
        </w:rPr>
        <w:t xml:space="preserve"> nie uległo ono zmianie czyli aby</w:t>
      </w:r>
      <w:r w:rsidR="00840B16" w:rsidRPr="0071726B">
        <w:rPr>
          <w:color w:val="000000" w:themeColor="text1"/>
        </w:rPr>
        <w:t xml:space="preserve"> sprzedawane mieszkania nadal spełniały swoją funkcję mieszkalną</w:t>
      </w:r>
      <w:r w:rsidR="00FC66A7">
        <w:rPr>
          <w:color w:val="000000" w:themeColor="text1"/>
        </w:rPr>
        <w:t xml:space="preserve">, a lokale usługowe, </w:t>
      </w:r>
      <w:r w:rsidR="00F24C2F">
        <w:rPr>
          <w:color w:val="000000" w:themeColor="text1"/>
        </w:rPr>
        <w:t xml:space="preserve"> swoją zaplanowaną funkcję (usługową, administracyjną etc.)</w:t>
      </w:r>
    </w:p>
    <w:p w14:paraId="20A570C2" w14:textId="77777777" w:rsidR="002B6F80" w:rsidRPr="0071726B" w:rsidRDefault="002B6F80" w:rsidP="0064076F">
      <w:pPr>
        <w:spacing w:line="240" w:lineRule="auto"/>
        <w:rPr>
          <w:b/>
        </w:rPr>
      </w:pPr>
    </w:p>
    <w:p w14:paraId="05E38936" w14:textId="77777777" w:rsidR="0064076F" w:rsidRPr="0071726B" w:rsidRDefault="0064076F" w:rsidP="0064076F">
      <w:pPr>
        <w:spacing w:line="240" w:lineRule="auto"/>
      </w:pPr>
      <w:r w:rsidRPr="0071726B">
        <w:rPr>
          <w:b/>
        </w:rPr>
        <w:lastRenderedPageBreak/>
        <w:t>Pytanie:</w:t>
      </w:r>
      <w:r w:rsidR="0056437F" w:rsidRPr="0071726B">
        <w:rPr>
          <w:b/>
        </w:rPr>
        <w:t xml:space="preserve"> </w:t>
      </w:r>
      <w:r w:rsidR="0056437F" w:rsidRPr="0071726B">
        <w:t>Jak należy przedstawić analizę finansową w projekcie partnerskim? Czy należy zrobić analizę dla każdego partnera osobno?</w:t>
      </w:r>
    </w:p>
    <w:p w14:paraId="0513A214" w14:textId="4EB9A444" w:rsidR="002B6F80" w:rsidRPr="0071726B" w:rsidRDefault="0064076F" w:rsidP="002B6F80">
      <w:pPr>
        <w:spacing w:line="240" w:lineRule="auto"/>
        <w:jc w:val="both"/>
        <w:rPr>
          <w:color w:val="1F497D"/>
        </w:rPr>
      </w:pPr>
      <w:r w:rsidRPr="0071726B">
        <w:rPr>
          <w:b/>
        </w:rPr>
        <w:t>Odpowiedź:</w:t>
      </w:r>
      <w:r w:rsidRPr="0071726B">
        <w:rPr>
          <w:b/>
          <w:color w:val="000000" w:themeColor="text1"/>
        </w:rPr>
        <w:t xml:space="preserve"> </w:t>
      </w:r>
      <w:r w:rsidR="002B6F80" w:rsidRPr="0071726B">
        <w:rPr>
          <w:color w:val="000000" w:themeColor="text1"/>
        </w:rPr>
        <w:t>Analiza finansowa przeprowadzana jest dla projektu</w:t>
      </w:r>
      <w:r w:rsidR="00FF6B1F">
        <w:rPr>
          <w:color w:val="000000" w:themeColor="text1"/>
        </w:rPr>
        <w:t>,</w:t>
      </w:r>
      <w:r w:rsidR="002B6F80" w:rsidRPr="0071726B">
        <w:rPr>
          <w:color w:val="000000" w:themeColor="text1"/>
        </w:rPr>
        <w:t xml:space="preserve"> ma ona na celu wskazanie opłacalności inwestycji i ustalenie właściwego (maksymalnego) dofinansowania z funduszy UE. Należy przeprowadzić więc jedną projekcję finansową, uwzględniając dane Partnerów. Przykładowe analizy finansowe (np. z podmiotem realizującym projekt) zamieszczone są na stronie internetowej IZ RPO WD:</w:t>
      </w:r>
      <w:r w:rsidR="002B6F80" w:rsidRPr="0071726B">
        <w:rPr>
          <w:color w:val="1F497D"/>
        </w:rPr>
        <w:t xml:space="preserve"> </w:t>
      </w:r>
    </w:p>
    <w:p w14:paraId="5D3D9B5A" w14:textId="77777777" w:rsidR="002B6F80" w:rsidRPr="0071726B" w:rsidRDefault="002A3AC6" w:rsidP="007506D8">
      <w:pPr>
        <w:spacing w:line="240" w:lineRule="auto"/>
        <w:jc w:val="both"/>
        <w:rPr>
          <w:color w:val="1F497D"/>
        </w:rPr>
      </w:pPr>
      <w:hyperlink r:id="rId8" w:history="1">
        <w:r w:rsidR="002B6F80" w:rsidRPr="0071726B">
          <w:rPr>
            <w:rStyle w:val="Hipercze"/>
          </w:rPr>
          <w:t>http://rpo.dolnyslask.pl/analiza-finansowa-na-potrzeby-aplikacji-o-srodki-europejskiego-funduszu-rozwoju-regionalnego-w-ramach-rpo-wd-2014-2020-przyklady/</w:t>
        </w:r>
      </w:hyperlink>
    </w:p>
    <w:p w14:paraId="1F7DAD7B" w14:textId="77777777" w:rsidR="007506D8" w:rsidRPr="0071726B" w:rsidRDefault="007506D8" w:rsidP="0064076F">
      <w:pPr>
        <w:spacing w:line="240" w:lineRule="auto"/>
        <w:rPr>
          <w:b/>
        </w:rPr>
      </w:pPr>
    </w:p>
    <w:p w14:paraId="3374FCBC" w14:textId="171A1473" w:rsidR="00115936" w:rsidRPr="0071726B" w:rsidRDefault="0064076F" w:rsidP="007C0983">
      <w:pPr>
        <w:jc w:val="both"/>
      </w:pPr>
      <w:r w:rsidRPr="0071726B">
        <w:rPr>
          <w:b/>
        </w:rPr>
        <w:t>Pytanie:</w:t>
      </w:r>
      <w:r w:rsidR="002B6F80" w:rsidRPr="0071726B">
        <w:rPr>
          <w:b/>
        </w:rPr>
        <w:t xml:space="preserve"> </w:t>
      </w:r>
      <w:r w:rsidR="00BC638B" w:rsidRPr="0071726B">
        <w:rPr>
          <w:iCs/>
        </w:rPr>
        <w:t xml:space="preserve">Wspólnota Mieszkaniowa otrzymała nakaz z PINB na wykonanie prac remontowych elewacji oraz klatki schodowe. Decyzja nie obligowała Wspólnoty do sporządzenia dokumentacji, jednakże na jej podstawie została sporządzona dokumentacja projektowo - kosztorysowa. Następnie dokumentacja została zatwierdzona przez Wojewódzkiego Konserwatora Zabytków. W związku </w:t>
      </w:r>
      <w:r w:rsidR="00E90CEB" w:rsidRPr="0071726B">
        <w:rPr>
          <w:iCs/>
        </w:rPr>
        <w:br/>
      </w:r>
      <w:r w:rsidR="00BC638B" w:rsidRPr="0071726B">
        <w:rPr>
          <w:iCs/>
        </w:rPr>
        <w:t xml:space="preserve">z faktem, iż dokumentacja została sporządzona na podstawie nakazu Wydział Budownictwa Starostwa Powiatowego nie wyda decyzji pozwolenia na budowę i nie przyjmie zgłoszenia wykonywanych prac. Czy do </w:t>
      </w:r>
      <w:r w:rsidR="00B4731B" w:rsidRPr="0071726B">
        <w:rPr>
          <w:iCs/>
        </w:rPr>
        <w:t>wniosku</w:t>
      </w:r>
      <w:r w:rsidR="00BC638B" w:rsidRPr="0071726B">
        <w:rPr>
          <w:iCs/>
        </w:rPr>
        <w:t xml:space="preserve"> aplikacyjnego wystarczy dołą</w:t>
      </w:r>
      <w:r w:rsidR="00FF6B1F">
        <w:rPr>
          <w:iCs/>
        </w:rPr>
        <w:t>czyć w/w decyzję PINB i projekt</w:t>
      </w:r>
      <w:r w:rsidR="00BC638B" w:rsidRPr="0071726B">
        <w:rPr>
          <w:iCs/>
        </w:rPr>
        <w:t>. Czy będą wymagane dokumenty dodatkowe zezwalające na przystąpienie prac?</w:t>
      </w:r>
      <w:r w:rsidR="00115936" w:rsidRPr="0071726B">
        <w:rPr>
          <w:iCs/>
        </w:rPr>
        <w:t xml:space="preserve"> </w:t>
      </w:r>
    </w:p>
    <w:p w14:paraId="2A1082DA" w14:textId="77777777" w:rsidR="00BC638B" w:rsidRPr="0071726B" w:rsidRDefault="00BC638B" w:rsidP="00115936">
      <w:pPr>
        <w:spacing w:line="240" w:lineRule="auto"/>
        <w:rPr>
          <w:iCs/>
        </w:rPr>
      </w:pPr>
    </w:p>
    <w:p w14:paraId="5678B4C5" w14:textId="77777777" w:rsidR="0064076F" w:rsidRPr="0071726B" w:rsidRDefault="0064076F" w:rsidP="001766E0">
      <w:pPr>
        <w:spacing w:line="240" w:lineRule="auto"/>
        <w:jc w:val="both"/>
        <w:rPr>
          <w:b/>
        </w:rPr>
      </w:pPr>
      <w:r w:rsidRPr="0071726B">
        <w:rPr>
          <w:b/>
        </w:rPr>
        <w:t>Odpowiedź:</w:t>
      </w:r>
      <w:r w:rsidR="001766E0" w:rsidRPr="0071726B">
        <w:rPr>
          <w:b/>
        </w:rPr>
        <w:t xml:space="preserve"> </w:t>
      </w:r>
      <w:r w:rsidR="001766E0" w:rsidRPr="0071726B">
        <w:t xml:space="preserve">Decyzja wydana przez PINB jest wystarczająca do dołączenia jej do wniosku </w:t>
      </w:r>
      <w:r w:rsidR="00E90CEB" w:rsidRPr="0071726B">
        <w:br/>
      </w:r>
      <w:r w:rsidR="001766E0" w:rsidRPr="0071726B">
        <w:t>o dofinansowanie. Tym bardzi</w:t>
      </w:r>
      <w:r w:rsidR="00115936" w:rsidRPr="0071726B">
        <w:t xml:space="preserve">ej, że została dodatkowo zatwierdzona przez Wojewódzkiego Konserwatora Zabytków. </w:t>
      </w:r>
    </w:p>
    <w:p w14:paraId="6FBBBFA8" w14:textId="77777777" w:rsidR="00D33395" w:rsidRPr="0071726B" w:rsidRDefault="00D33395" w:rsidP="008E2C8C">
      <w:pPr>
        <w:spacing w:line="240" w:lineRule="auto"/>
        <w:jc w:val="both"/>
        <w:rPr>
          <w:b/>
        </w:rPr>
      </w:pPr>
    </w:p>
    <w:p w14:paraId="10B484EC" w14:textId="77777777" w:rsidR="00B73F23" w:rsidRPr="0071726B" w:rsidRDefault="00B73F23" w:rsidP="00B73F23">
      <w:pPr>
        <w:spacing w:after="0" w:line="240" w:lineRule="auto"/>
        <w:jc w:val="both"/>
      </w:pPr>
      <w:r w:rsidRPr="0071726B">
        <w:rPr>
          <w:b/>
        </w:rPr>
        <w:t xml:space="preserve">Pytanie: </w:t>
      </w:r>
      <w:r w:rsidRPr="0071726B">
        <w:t xml:space="preserve">Czy w każdym typie projektów w części dotyczącej analizy finansowej należy uwzględnić środki finansowe na realizację działań zapobiegawczych i łagodzących oddziaływanie infrastruktury na środowisko w myśl zasad "zanieczyszczający płaci" i "użytkownik płaci" (z uwzględnieniem "Metodyki zastosowania kryterium dostępności cenowej w projektach inwestycyjnych </w:t>
      </w:r>
      <w:r w:rsidRPr="0071726B">
        <w:br/>
        <w:t>z dofinansowaniem UE</w:t>
      </w:r>
    </w:p>
    <w:p w14:paraId="785C12FE" w14:textId="77777777" w:rsidR="00B73F23" w:rsidRPr="0071726B" w:rsidRDefault="002A3AC6" w:rsidP="00B73F23">
      <w:pPr>
        <w:spacing w:after="0" w:line="240" w:lineRule="auto"/>
        <w:jc w:val="both"/>
      </w:pPr>
      <w:hyperlink r:id="rId9" w:history="1">
        <w:r w:rsidR="00B73F23" w:rsidRPr="0071726B">
          <w:rPr>
            <w:rStyle w:val="Hipercze"/>
          </w:rPr>
          <w:t>http://www.funduszeeuropejskie.gov.pl/media/8776/metodyka_dostepnosci_cenowej.pdf</w:t>
        </w:r>
      </w:hyperlink>
      <w:r w:rsidR="00B73F23" w:rsidRPr="0071726B">
        <w:t>)?</w:t>
      </w:r>
    </w:p>
    <w:p w14:paraId="7F51A27D" w14:textId="77777777" w:rsidR="008E2C8C" w:rsidRPr="0071726B" w:rsidRDefault="008E2C8C" w:rsidP="008E2C8C">
      <w:pPr>
        <w:spacing w:line="240" w:lineRule="auto"/>
        <w:jc w:val="both"/>
        <w:rPr>
          <w:b/>
        </w:rPr>
      </w:pPr>
    </w:p>
    <w:p w14:paraId="79D39E4D" w14:textId="77777777" w:rsidR="00B73F23" w:rsidRPr="0071726B" w:rsidRDefault="00B73F23" w:rsidP="00B73F23">
      <w:pPr>
        <w:jc w:val="both"/>
      </w:pPr>
      <w:r w:rsidRPr="0071726B">
        <w:rPr>
          <w:b/>
        </w:rPr>
        <w:t xml:space="preserve">Odpowiedź: </w:t>
      </w:r>
      <w:r w:rsidRPr="0071726B">
        <w:t xml:space="preserve">Powyższy obowiązek dotyczy wyłącznie tych projektów, których charakter/specyfika zgodnie z zapisami zawartymi w przytaczanej Metodyce wymaga podjęcia działań zapobiegawczych </w:t>
      </w:r>
      <w:r w:rsidRPr="0071726B">
        <w:br/>
        <w:t xml:space="preserve">i łagodzących oddziaływanie infrastruktury na środowisko w myśl zasad "zanieczyszczający płaci" </w:t>
      </w:r>
      <w:r w:rsidRPr="0071726B">
        <w:br/>
        <w:t>i "użytkownik płaci" . W przeciwnym wypadku, nie ma potrzeby uwzględniania środków finansowych w analizie finansowej.</w:t>
      </w:r>
    </w:p>
    <w:p w14:paraId="466CEAC8" w14:textId="77777777" w:rsidR="001A23A1" w:rsidRPr="001A23A1" w:rsidRDefault="001A23A1" w:rsidP="0071726B">
      <w:pPr>
        <w:jc w:val="both"/>
      </w:pPr>
      <w:r w:rsidRPr="0071726B">
        <w:rPr>
          <w:highlight w:val="yellow"/>
        </w:rPr>
        <w:br/>
      </w:r>
    </w:p>
    <w:p w14:paraId="5B77C968" w14:textId="77777777" w:rsidR="00B73F23" w:rsidRPr="00D33395" w:rsidRDefault="00B73F23" w:rsidP="00B73F23">
      <w:pPr>
        <w:spacing w:line="240" w:lineRule="auto"/>
        <w:rPr>
          <w:b/>
        </w:rPr>
      </w:pPr>
    </w:p>
    <w:p w14:paraId="1D7670F4" w14:textId="77777777" w:rsidR="00B73F23" w:rsidRDefault="00B73F23" w:rsidP="008E2C8C">
      <w:pPr>
        <w:spacing w:line="240" w:lineRule="auto"/>
        <w:jc w:val="both"/>
        <w:rPr>
          <w:b/>
        </w:rPr>
      </w:pPr>
    </w:p>
    <w:p w14:paraId="63D7EFC5" w14:textId="77777777" w:rsidR="00B73F23" w:rsidRPr="008E2C8C" w:rsidRDefault="00B73F23" w:rsidP="008E2C8C">
      <w:pPr>
        <w:spacing w:line="240" w:lineRule="auto"/>
        <w:jc w:val="both"/>
        <w:rPr>
          <w:b/>
        </w:rPr>
      </w:pPr>
    </w:p>
    <w:sectPr w:rsidR="00B73F23" w:rsidRPr="008E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0B60C5" w15:done="0"/>
  <w15:commentEx w15:paraId="5D8C44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727CC" w14:textId="77777777" w:rsidR="009D6136" w:rsidRDefault="009D6136" w:rsidP="0064076F">
      <w:pPr>
        <w:spacing w:after="0" w:line="240" w:lineRule="auto"/>
      </w:pPr>
      <w:r>
        <w:separator/>
      </w:r>
    </w:p>
  </w:endnote>
  <w:endnote w:type="continuationSeparator" w:id="0">
    <w:p w14:paraId="3F969BE4" w14:textId="77777777" w:rsidR="009D6136" w:rsidRDefault="009D6136" w:rsidP="0064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D90BF" w14:textId="77777777" w:rsidR="009D6136" w:rsidRDefault="009D6136" w:rsidP="0064076F">
      <w:pPr>
        <w:spacing w:after="0" w:line="240" w:lineRule="auto"/>
      </w:pPr>
      <w:r>
        <w:separator/>
      </w:r>
    </w:p>
  </w:footnote>
  <w:footnote w:type="continuationSeparator" w:id="0">
    <w:p w14:paraId="14A62636" w14:textId="77777777" w:rsidR="009D6136" w:rsidRDefault="009D6136" w:rsidP="0064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FF6"/>
    <w:multiLevelType w:val="hybridMultilevel"/>
    <w:tmpl w:val="4FA00970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F0983"/>
    <w:multiLevelType w:val="hybridMultilevel"/>
    <w:tmpl w:val="45DC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73C4"/>
    <w:multiLevelType w:val="hybridMultilevel"/>
    <w:tmpl w:val="1E96C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Sicińska-Rup">
    <w15:presenceInfo w15:providerId="AD" w15:userId="S-1-5-21-993268263-2097026863-2477634896-3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1B"/>
    <w:rsid w:val="000F0268"/>
    <w:rsid w:val="000F2F1B"/>
    <w:rsid w:val="00115936"/>
    <w:rsid w:val="0012689D"/>
    <w:rsid w:val="001360DD"/>
    <w:rsid w:val="001679CA"/>
    <w:rsid w:val="001766E0"/>
    <w:rsid w:val="001A23A1"/>
    <w:rsid w:val="00206AE5"/>
    <w:rsid w:val="00284FE1"/>
    <w:rsid w:val="002A3AC6"/>
    <w:rsid w:val="002B6F80"/>
    <w:rsid w:val="002D58BB"/>
    <w:rsid w:val="00324A58"/>
    <w:rsid w:val="00447CC0"/>
    <w:rsid w:val="004B5471"/>
    <w:rsid w:val="0056437F"/>
    <w:rsid w:val="005E3987"/>
    <w:rsid w:val="0064076F"/>
    <w:rsid w:val="006A00C7"/>
    <w:rsid w:val="006C7573"/>
    <w:rsid w:val="0071726B"/>
    <w:rsid w:val="007506D8"/>
    <w:rsid w:val="00764CAA"/>
    <w:rsid w:val="007C0983"/>
    <w:rsid w:val="00840B16"/>
    <w:rsid w:val="00846E48"/>
    <w:rsid w:val="008E2C8C"/>
    <w:rsid w:val="008F7486"/>
    <w:rsid w:val="009942B9"/>
    <w:rsid w:val="009D6136"/>
    <w:rsid w:val="009F1AE6"/>
    <w:rsid w:val="00A15610"/>
    <w:rsid w:val="00B32B8C"/>
    <w:rsid w:val="00B4731B"/>
    <w:rsid w:val="00B66CE7"/>
    <w:rsid w:val="00B73F23"/>
    <w:rsid w:val="00BA1183"/>
    <w:rsid w:val="00BC638B"/>
    <w:rsid w:val="00BD1EA8"/>
    <w:rsid w:val="00BF09F9"/>
    <w:rsid w:val="00D33395"/>
    <w:rsid w:val="00E84DD1"/>
    <w:rsid w:val="00E90CEB"/>
    <w:rsid w:val="00EA2C65"/>
    <w:rsid w:val="00EC287F"/>
    <w:rsid w:val="00F00948"/>
    <w:rsid w:val="00F06130"/>
    <w:rsid w:val="00F11C32"/>
    <w:rsid w:val="00F1305C"/>
    <w:rsid w:val="00F24C2F"/>
    <w:rsid w:val="00FC66A7"/>
    <w:rsid w:val="00FD481F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E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4076F"/>
    <w:rPr>
      <w:vertAlign w:val="superscript"/>
    </w:rPr>
  </w:style>
  <w:style w:type="paragraph" w:styleId="Poprawka">
    <w:name w:val="Revision"/>
    <w:basedOn w:val="Normalny"/>
    <w:uiPriority w:val="99"/>
    <w:semiHidden/>
    <w:rsid w:val="006407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437F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B6F8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E2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E2C8C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AE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4076F"/>
    <w:rPr>
      <w:vertAlign w:val="superscript"/>
    </w:rPr>
  </w:style>
  <w:style w:type="paragraph" w:styleId="Poprawka">
    <w:name w:val="Revision"/>
    <w:basedOn w:val="Normalny"/>
    <w:uiPriority w:val="99"/>
    <w:semiHidden/>
    <w:rsid w:val="006407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437F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B6F8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E2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E2C8C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AE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dolnyslask.pl/analiza-finansowa-na-potrzeby-aplikacji-o-srodki-europejskiego-funduszu-rozwoju-regionalnego-w-ramach-rpo-wd-2014-2020-przyklady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media/8776/metodyka_dostepnosci_cenowe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Pencakowska</dc:creator>
  <cp:lastModifiedBy>Bożena Pencakowska</cp:lastModifiedBy>
  <cp:revision>4</cp:revision>
  <cp:lastPrinted>2016-08-24T06:10:00Z</cp:lastPrinted>
  <dcterms:created xsi:type="dcterms:W3CDTF">2016-08-24T11:10:00Z</dcterms:created>
  <dcterms:modified xsi:type="dcterms:W3CDTF">2016-08-24T11:19:00Z</dcterms:modified>
</cp:coreProperties>
</file>