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E0129B">
        <w:rPr>
          <w:rFonts w:asciiTheme="minorHAnsi" w:eastAsia="Droid Sans Fallback" w:hAnsiTheme="minorHAnsi" w:cs="Calibri"/>
          <w:b/>
          <w:color w:val="00000A"/>
          <w:sz w:val="24"/>
          <w:szCs w:val="24"/>
        </w:rPr>
        <w:t>3</w:t>
      </w:r>
      <w:r w:rsidR="00641C1D">
        <w:rPr>
          <w:rFonts w:asciiTheme="minorHAnsi" w:eastAsia="Droid Sans Fallback" w:hAnsiTheme="minorHAnsi" w:cs="Calibri"/>
          <w:b/>
          <w:color w:val="00000A"/>
          <w:sz w:val="24"/>
          <w:szCs w:val="24"/>
        </w:rPr>
        <w:t>.4.</w:t>
      </w:r>
      <w:r w:rsidR="00600E11">
        <w:rPr>
          <w:rFonts w:asciiTheme="minorHAnsi" w:eastAsia="Droid Sans Fallback" w:hAnsiTheme="minorHAnsi" w:cs="Calibri"/>
          <w:b/>
          <w:color w:val="00000A"/>
          <w:sz w:val="24"/>
          <w:szCs w:val="24"/>
        </w:rPr>
        <w:t>3</w:t>
      </w:r>
      <w:r w:rsidR="009B235B" w:rsidRPr="009B235B">
        <w:rPr>
          <w:rFonts w:asciiTheme="minorHAnsi" w:eastAsia="Droid Sans Fallback" w:hAnsiTheme="minorHAnsi" w:cs="Calibri"/>
          <w:b/>
          <w:color w:val="00000A"/>
          <w:sz w:val="24"/>
          <w:szCs w:val="24"/>
        </w:rPr>
        <w:t xml:space="preserve"> </w:t>
      </w:r>
      <w:r w:rsidR="00E0129B">
        <w:rPr>
          <w:rFonts w:asciiTheme="minorHAnsi" w:hAnsiTheme="minorHAnsi" w:cs="Arial"/>
          <w:b/>
          <w:bCs/>
          <w:sz w:val="24"/>
          <w:szCs w:val="24"/>
        </w:rPr>
        <w:t xml:space="preserve">Wdrażanie strategii niskoemisyjnych – </w:t>
      </w:r>
      <w:r w:rsidR="00641C1D">
        <w:rPr>
          <w:rFonts w:asciiTheme="minorHAnsi" w:hAnsiTheme="minorHAnsi" w:cs="Arial"/>
          <w:b/>
          <w:bCs/>
          <w:sz w:val="24"/>
          <w:szCs w:val="24"/>
        </w:rPr>
        <w:t xml:space="preserve">ZIT </w:t>
      </w:r>
      <w:r w:rsidR="00600E11">
        <w:rPr>
          <w:rFonts w:asciiTheme="minorHAnsi" w:hAnsiTheme="minorHAnsi" w:cs="Arial"/>
          <w:b/>
          <w:bCs/>
          <w:sz w:val="24"/>
          <w:szCs w:val="24"/>
        </w:rPr>
        <w:t>AJ</w:t>
      </w:r>
      <w:r w:rsidR="00641C1D">
        <w:rPr>
          <w:rFonts w:asciiTheme="minorHAnsi" w:hAnsiTheme="minorHAnsi" w:cs="Arial"/>
          <w:b/>
          <w:bCs/>
          <w:sz w:val="24"/>
          <w:szCs w:val="24"/>
        </w:rPr>
        <w:t xml:space="preserve"> </w:t>
      </w:r>
      <w:r w:rsidR="009B235B" w:rsidRPr="009B235B">
        <w:rPr>
          <w:rFonts w:asciiTheme="minorHAnsi" w:hAnsiTheme="minorHAnsi" w:cs="Arial"/>
          <w:b/>
          <w:sz w:val="24"/>
          <w:szCs w:val="24"/>
        </w:rPr>
        <w:t>typ projekt</w:t>
      </w:r>
      <w:r w:rsidR="00E0129B">
        <w:rPr>
          <w:rFonts w:asciiTheme="minorHAnsi" w:hAnsiTheme="minorHAnsi" w:cs="Arial"/>
          <w:b/>
          <w:sz w:val="24"/>
          <w:szCs w:val="24"/>
        </w:rPr>
        <w:t xml:space="preserve">u </w:t>
      </w:r>
      <w:r w:rsidR="00600E11">
        <w:rPr>
          <w:rFonts w:asciiTheme="minorHAnsi" w:hAnsiTheme="minorHAnsi" w:cs="Arial"/>
          <w:b/>
          <w:sz w:val="24"/>
          <w:szCs w:val="24"/>
        </w:rPr>
        <w:t xml:space="preserve">a), </w:t>
      </w:r>
      <w:r w:rsidR="00641C1D">
        <w:rPr>
          <w:rFonts w:asciiTheme="minorHAnsi" w:hAnsiTheme="minorHAnsi" w:cs="Arial"/>
          <w:b/>
          <w:sz w:val="24"/>
          <w:szCs w:val="24"/>
        </w:rPr>
        <w:t xml:space="preserve">b), c), </w:t>
      </w:r>
      <w:r w:rsidR="00E0129B">
        <w:rPr>
          <w:rFonts w:asciiTheme="minorHAnsi" w:hAnsiTheme="minorHAnsi" w:cs="Arial"/>
          <w:b/>
          <w:sz w:val="24"/>
          <w:szCs w:val="24"/>
        </w:rPr>
        <w:t>d</w:t>
      </w:r>
      <w:r w:rsidR="009B235B" w:rsidRPr="009B235B">
        <w:rPr>
          <w:rFonts w:asciiTheme="minorHAnsi" w:hAnsiTheme="minorHAnsi" w:cs="Arial"/>
          <w:b/>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sidRPr="00217AF8">
        <w:rPr>
          <w:rFonts w:asciiTheme="minorHAnsi" w:eastAsiaTheme="minorHAnsi" w:hAnsiTheme="minorHAnsi" w:cs="Calibri"/>
          <w:szCs w:val="22"/>
          <w:lang w:eastAsia="en-US"/>
        </w:rPr>
        <w:t xml:space="preserve"> projektu</w:t>
      </w:r>
      <w:r w:rsidRPr="00217AF8">
        <w:rPr>
          <w:rFonts w:asciiTheme="minorHAnsi" w:eastAsiaTheme="minorHAnsi" w:hAnsiTheme="minorHAnsi" w:cs="Calibri"/>
          <w:szCs w:val="22"/>
          <w:lang w:eastAsia="en-US"/>
        </w:rPr>
        <w:t xml:space="preserve">. </w:t>
      </w: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 xml:space="preserve">, </w:t>
      </w:r>
      <w:r w:rsidR="00A618E4">
        <w:rPr>
          <w:rFonts w:asciiTheme="minorHAnsi" w:hAnsiTheme="minorHAnsi"/>
          <w:b/>
          <w:sz w:val="22"/>
          <w:szCs w:val="22"/>
        </w:rPr>
        <w:t xml:space="preserve">SzOOP RPO WD 2014 – 2020, </w:t>
      </w:r>
      <w:r w:rsidR="00A459F4" w:rsidRPr="00217AF8">
        <w:rPr>
          <w:rFonts w:asciiTheme="minorHAnsi" w:hAnsiTheme="minorHAnsi"/>
          <w:b/>
          <w:sz w:val="22"/>
          <w:szCs w:val="22"/>
        </w:rPr>
        <w:t xml:space="preserve">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7E025A" w:rsidRPr="00217AF8">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2541CD">
        <w:rPr>
          <w:rFonts w:asciiTheme="minorHAnsi" w:hAnsiTheme="minorHAnsi"/>
          <w:b/>
          <w:szCs w:val="22"/>
        </w:rPr>
        <w:t>3</w:t>
      </w:r>
      <w:r w:rsidR="00E32094" w:rsidRPr="00217AF8">
        <w:rPr>
          <w:rFonts w:asciiTheme="minorHAnsi" w:hAnsiTheme="minorHAnsi"/>
          <w:b/>
          <w:szCs w:val="22"/>
        </w:rPr>
        <w:t>.4</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2F271D">
        <w:rPr>
          <w:rFonts w:asciiTheme="minorHAnsi" w:hAnsiTheme="minorHAnsi"/>
          <w:b/>
          <w:szCs w:val="22"/>
        </w:rPr>
        <w:t xml:space="preserve">a), </w:t>
      </w:r>
      <w:r w:rsidR="002D3B91">
        <w:rPr>
          <w:rFonts w:asciiTheme="minorHAnsi" w:hAnsiTheme="minorHAnsi"/>
          <w:b/>
          <w:szCs w:val="22"/>
        </w:rPr>
        <w:t xml:space="preserve">b), c), </w:t>
      </w:r>
      <w:r w:rsidR="002541CD">
        <w:rPr>
          <w:rFonts w:asciiTheme="minorHAnsi" w:hAnsiTheme="minorHAnsi"/>
          <w:b/>
          <w:szCs w:val="22"/>
        </w:rPr>
        <w:t xml:space="preserve">d) </w:t>
      </w:r>
      <w:r w:rsidRPr="00217AF8">
        <w:rPr>
          <w:rFonts w:asciiTheme="minorHAnsi" w:hAnsiTheme="minorHAnsi"/>
          <w:b/>
          <w:szCs w:val="22"/>
        </w:rPr>
        <w:t>określono poniższe wskaźniki produktu:</w:t>
      </w:r>
    </w:p>
    <w:p w:rsidR="008C495E" w:rsidRPr="00217AF8" w:rsidRDefault="008C495E" w:rsidP="00710917">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217AF8" w:rsidTr="008554A8">
        <w:trPr>
          <w:cantSplit/>
          <w:trHeight w:val="20"/>
          <w:jc w:val="center"/>
        </w:trPr>
        <w:tc>
          <w:tcPr>
            <w:tcW w:w="1120" w:type="pct"/>
            <w:shd w:val="clear" w:color="auto" w:fill="auto"/>
          </w:tcPr>
          <w:p w:rsidR="005657D8" w:rsidRPr="00217AF8" w:rsidRDefault="005657D8" w:rsidP="00710917">
            <w:pPr>
              <w:spacing w:before="0" w:line="240" w:lineRule="auto"/>
              <w:jc w:val="center"/>
              <w:rPr>
                <w:rFonts w:asciiTheme="minorHAnsi" w:hAnsiTheme="minorHAnsi"/>
                <w:b/>
                <w:szCs w:val="22"/>
              </w:rPr>
            </w:pPr>
            <w:r w:rsidRPr="00217AF8">
              <w:rPr>
                <w:rFonts w:asciiTheme="minorHAnsi" w:hAnsiTheme="minorHAnsi"/>
                <w:b/>
                <w:szCs w:val="22"/>
              </w:rPr>
              <w:t>Nazwa wskaźnika produktu</w:t>
            </w:r>
          </w:p>
        </w:tc>
        <w:tc>
          <w:tcPr>
            <w:tcW w:w="491" w:type="pct"/>
          </w:tcPr>
          <w:p w:rsidR="005657D8" w:rsidRPr="00217AF8" w:rsidRDefault="005657D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425" w:type="pct"/>
            <w:shd w:val="clear" w:color="auto" w:fill="auto"/>
          </w:tcPr>
          <w:p w:rsidR="005657D8" w:rsidRPr="00217AF8" w:rsidRDefault="005657D8" w:rsidP="0071091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964" w:type="pct"/>
          </w:tcPr>
          <w:p w:rsidR="005657D8" w:rsidRPr="00217AF8" w:rsidRDefault="005657D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w:t>
            </w:r>
            <w:r w:rsidR="007E025A" w:rsidRPr="00217AF8">
              <w:rPr>
                <w:rFonts w:asciiTheme="minorHAnsi" w:hAnsiTheme="minorHAnsi"/>
                <w:b/>
                <w:bCs/>
                <w:szCs w:val="22"/>
              </w:rPr>
              <w:t> </w:t>
            </w:r>
            <w:r w:rsidRPr="00217AF8">
              <w:rPr>
                <w:rFonts w:asciiTheme="minorHAnsi" w:hAnsiTheme="minorHAnsi"/>
                <w:b/>
                <w:bCs/>
                <w:szCs w:val="22"/>
              </w:rPr>
              <w:t>którym określono wskaźnik</w:t>
            </w:r>
          </w:p>
        </w:tc>
      </w:tr>
      <w:tr w:rsidR="00B37011" w:rsidRPr="00217AF8" w:rsidTr="008554A8">
        <w:trPr>
          <w:cantSplit/>
          <w:trHeight w:val="20"/>
          <w:jc w:val="center"/>
        </w:trPr>
        <w:tc>
          <w:tcPr>
            <w:tcW w:w="1120" w:type="pct"/>
            <w:shd w:val="clear" w:color="auto" w:fill="auto"/>
          </w:tcPr>
          <w:p w:rsidR="00B37011" w:rsidRPr="00B37011" w:rsidRDefault="00B37011" w:rsidP="00B37011">
            <w:pPr>
              <w:spacing w:before="40" w:after="40" w:line="240" w:lineRule="auto"/>
              <w:contextualSpacing/>
              <w:jc w:val="both"/>
              <w:rPr>
                <w:rFonts w:asciiTheme="minorHAnsi" w:hAnsiTheme="minorHAnsi"/>
              </w:rPr>
            </w:pPr>
            <w:r w:rsidRPr="00B37011">
              <w:rPr>
                <w:rFonts w:asciiTheme="minorHAnsi" w:hAnsiTheme="minorHAnsi"/>
              </w:rPr>
              <w:t>Liczba zakupionych jednostek taboru pasażerskiego w publicznym transporcie zbiorowym komunikacji miejskiej</w:t>
            </w:r>
          </w:p>
        </w:tc>
        <w:tc>
          <w:tcPr>
            <w:tcW w:w="491" w:type="pct"/>
          </w:tcPr>
          <w:p w:rsidR="00B37011" w:rsidRDefault="00B37011" w:rsidP="00710917">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6D0B1C" w:rsidRPr="006D0B1C" w:rsidRDefault="006D0B1C" w:rsidP="006D0B1C">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 xml:space="preserve">Liczba zakupionych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6D0B1C" w:rsidRPr="006D0B1C" w:rsidRDefault="006D0B1C" w:rsidP="006D0B1C">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t>przez autobus należy rozumieć pojazd samochodowy przeznaczony konstrukcyjnie do przewozu więcej niż 9 osób łącznie z kierowcą;</w:t>
            </w:r>
          </w:p>
          <w:p w:rsidR="006D0B1C" w:rsidRPr="006D0B1C" w:rsidRDefault="006D0B1C" w:rsidP="006D0B1C">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t>przez tramwaj należy rozumieć pojazd przeznaczony do przewozu osób lub rzeczy zasilany energią elektryczną, poruszający się po szynach na drogach publicznych;</w:t>
            </w:r>
          </w:p>
          <w:p w:rsidR="006D0B1C" w:rsidRPr="006D0B1C" w:rsidRDefault="006D0B1C" w:rsidP="006D0B1C">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t xml:space="preserve">przez trolejbus należy rozumieć autobus przystosowany do zasilania energią elektryczną z sieci trakcyjnej; </w:t>
            </w:r>
          </w:p>
          <w:p w:rsidR="00B37011" w:rsidRPr="005C4D94" w:rsidRDefault="006D0B1C" w:rsidP="006D0B1C">
            <w:pPr>
              <w:spacing w:line="240" w:lineRule="auto"/>
              <w:jc w:val="both"/>
              <w:rPr>
                <w:rFonts w:asciiTheme="minorHAnsi" w:eastAsiaTheme="minorHAnsi" w:hAnsiTheme="minorHAnsi" w:cs="Arial"/>
                <w:szCs w:val="22"/>
                <w:lang w:val="en-029" w:eastAsia="en-US"/>
              </w:rPr>
            </w:pPr>
            <w:r w:rsidRPr="006D0B1C">
              <w:rPr>
                <w:rFonts w:asciiTheme="minorHAnsi" w:eastAsiaTheme="minorHAnsi" w:hAnsiTheme="minorHAnsi" w:cs="Arial"/>
                <w:szCs w:val="22"/>
                <w:lang w:val="en-029" w:eastAsia="en-US"/>
              </w:rPr>
              <w:t>•</w:t>
            </w:r>
            <w:r w:rsidRPr="006D0B1C">
              <w:rPr>
                <w:rFonts w:asciiTheme="minorHAnsi" w:eastAsiaTheme="minorHAnsi" w:hAnsiTheme="minorHAnsi" w:cs="Arial"/>
                <w:szCs w:val="22"/>
                <w:lang w:val="en-029"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(szynobus), wagony metra).</w:t>
            </w:r>
          </w:p>
        </w:tc>
        <w:tc>
          <w:tcPr>
            <w:tcW w:w="964" w:type="pct"/>
          </w:tcPr>
          <w:p w:rsidR="00B37011" w:rsidRPr="00217AF8" w:rsidRDefault="00527017"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B37011" w:rsidRPr="00217AF8" w:rsidTr="008554A8">
        <w:trPr>
          <w:cantSplit/>
          <w:trHeight w:val="20"/>
          <w:jc w:val="center"/>
        </w:trPr>
        <w:tc>
          <w:tcPr>
            <w:tcW w:w="1120" w:type="pct"/>
            <w:shd w:val="clear" w:color="auto" w:fill="auto"/>
          </w:tcPr>
          <w:p w:rsidR="00B37011" w:rsidRPr="00B37011" w:rsidRDefault="00B37011" w:rsidP="00B37011">
            <w:pPr>
              <w:spacing w:before="40" w:after="40" w:line="240" w:lineRule="auto"/>
              <w:contextualSpacing/>
              <w:jc w:val="both"/>
              <w:rPr>
                <w:rFonts w:asciiTheme="minorHAnsi" w:hAnsiTheme="minorHAnsi"/>
              </w:rPr>
            </w:pPr>
            <w:r w:rsidRPr="00B37011">
              <w:rPr>
                <w:rFonts w:asciiTheme="minorHAnsi" w:hAnsiTheme="minorHAnsi"/>
              </w:rPr>
              <w:lastRenderedPageBreak/>
              <w:t>Liczba zmodernizowanych jednostek taboru pasażerskiego w publicznym transporcie zbiorowym komunikacji miejskiej</w:t>
            </w:r>
          </w:p>
        </w:tc>
        <w:tc>
          <w:tcPr>
            <w:tcW w:w="491" w:type="pct"/>
          </w:tcPr>
          <w:p w:rsidR="00B37011" w:rsidRDefault="00B37011" w:rsidP="00710917">
            <w:pPr>
              <w:spacing w:line="240" w:lineRule="auto"/>
              <w:jc w:val="both"/>
              <w:rPr>
                <w:rFonts w:asciiTheme="minorHAnsi" w:hAnsiTheme="minorHAnsi"/>
                <w:szCs w:val="22"/>
              </w:rPr>
            </w:pPr>
            <w:r>
              <w:rPr>
                <w:rFonts w:asciiTheme="minorHAnsi" w:hAnsiTheme="minorHAnsi"/>
                <w:szCs w:val="22"/>
              </w:rPr>
              <w:t>szt.</w:t>
            </w:r>
          </w:p>
        </w:tc>
        <w:tc>
          <w:tcPr>
            <w:tcW w:w="2425" w:type="pct"/>
            <w:shd w:val="clear" w:color="auto" w:fill="auto"/>
          </w:tcPr>
          <w:p w:rsidR="00527017" w:rsidRPr="00527017" w:rsidRDefault="00527017" w:rsidP="00242C3F">
            <w:pPr>
              <w:spacing w:before="0"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 xml:space="preserve">Liczba poddanych modernizacji autobusów, tramwajów, trolejbusów, środków pasażerskiego transportu wodnego, pojazdów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autobus należy rozumieć pojazd samochodowy przeznaczony konstrukcyjnie do przewozu więcej niż 9 osób łącznie z kierowcą;</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tramwaj należy rozumieć pojazd przeznaczony do przewozu osób lub rzeczy zasilany energią elektryczną, poruszający się po szynach na drogach publicznych;</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trolejbus należy rozumieć autobus przystosowany do zasilania energią elektryczną z sieci trakcyjnej;</w:t>
            </w:r>
          </w:p>
          <w:p w:rsidR="00B37011" w:rsidRPr="005C4D94"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(szynobus), wagony metra).</w:t>
            </w:r>
          </w:p>
        </w:tc>
        <w:tc>
          <w:tcPr>
            <w:tcW w:w="964" w:type="pct"/>
          </w:tcPr>
          <w:p w:rsidR="00B37011" w:rsidRPr="00217AF8" w:rsidRDefault="00527017"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D717F5" w:rsidRPr="00217AF8" w:rsidTr="008554A8">
        <w:trPr>
          <w:cantSplit/>
          <w:trHeight w:val="20"/>
          <w:jc w:val="center"/>
        </w:trPr>
        <w:tc>
          <w:tcPr>
            <w:tcW w:w="1120" w:type="pct"/>
            <w:shd w:val="clear" w:color="auto" w:fill="auto"/>
          </w:tcPr>
          <w:p w:rsidR="00D717F5" w:rsidRPr="00B37011" w:rsidRDefault="00D717F5" w:rsidP="00B37011">
            <w:pPr>
              <w:spacing w:before="40" w:after="40" w:line="240" w:lineRule="auto"/>
              <w:contextualSpacing/>
              <w:jc w:val="both"/>
              <w:rPr>
                <w:rFonts w:asciiTheme="minorHAnsi" w:hAnsiTheme="minorHAnsi"/>
              </w:rPr>
            </w:pPr>
            <w:r w:rsidRPr="00D717F5">
              <w:rPr>
                <w:rFonts w:asciiTheme="minorHAnsi" w:hAnsiTheme="minorHAnsi"/>
              </w:rPr>
              <w:lastRenderedPageBreak/>
              <w:t>Pojemność zakupionego taboru pasażerskiego w publicznym transporcie zbiorowym</w:t>
            </w:r>
          </w:p>
        </w:tc>
        <w:tc>
          <w:tcPr>
            <w:tcW w:w="491" w:type="pct"/>
          </w:tcPr>
          <w:p w:rsidR="00D717F5" w:rsidRDefault="00D717F5" w:rsidP="00710917">
            <w:pPr>
              <w:spacing w:line="240" w:lineRule="auto"/>
              <w:jc w:val="both"/>
              <w:rPr>
                <w:rFonts w:asciiTheme="minorHAnsi" w:hAnsiTheme="minorHAnsi"/>
                <w:szCs w:val="22"/>
              </w:rPr>
            </w:pPr>
            <w:r>
              <w:rPr>
                <w:rFonts w:asciiTheme="minorHAnsi" w:hAnsiTheme="minorHAnsi"/>
                <w:szCs w:val="22"/>
              </w:rPr>
              <w:t>osoby</w:t>
            </w:r>
          </w:p>
        </w:tc>
        <w:tc>
          <w:tcPr>
            <w:tcW w:w="2425" w:type="pct"/>
            <w:shd w:val="clear" w:color="auto" w:fill="auto"/>
          </w:tcPr>
          <w:p w:rsidR="00527017" w:rsidRPr="00527017" w:rsidRDefault="00527017" w:rsidP="00E05C43">
            <w:pPr>
              <w:spacing w:before="0"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 xml:space="preserve">Łączna liczba miejsc siedzących i stojących przeznaczonych do użytku pasażerów w zakupionych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autobus należy rozumieć pojazd samochodowy przeznaczony konstrukcyjnie do przewozu więcej niż 9 osób łącznie z kierowcą;</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tramwaj należy rozumieć pojazd przeznaczony do przewozu osób lub rzeczy zasilany energią elektryczną, poruszający się po szynach na drogach publicznych;</w:t>
            </w:r>
          </w:p>
          <w:p w:rsidR="00527017" w:rsidRPr="00527017"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trolejbus należy rozumieć autobus przystosowany do zasilania energią elektryczną z sieci trakcyjnej;</w:t>
            </w:r>
          </w:p>
          <w:p w:rsidR="00D717F5" w:rsidRPr="005C4D94" w:rsidRDefault="00527017" w:rsidP="00527017">
            <w:pPr>
              <w:spacing w:line="240" w:lineRule="auto"/>
              <w:jc w:val="both"/>
              <w:rPr>
                <w:rFonts w:asciiTheme="minorHAnsi" w:eastAsiaTheme="minorHAnsi" w:hAnsiTheme="minorHAnsi" w:cs="Arial"/>
                <w:szCs w:val="22"/>
                <w:lang w:val="en-029" w:eastAsia="en-US"/>
              </w:rPr>
            </w:pPr>
            <w:r w:rsidRPr="00527017">
              <w:rPr>
                <w:rFonts w:asciiTheme="minorHAnsi" w:eastAsiaTheme="minorHAnsi" w:hAnsiTheme="minorHAnsi" w:cs="Arial"/>
                <w:szCs w:val="22"/>
                <w:lang w:val="en-029" w:eastAsia="en-US"/>
              </w:rPr>
              <w:t>•</w:t>
            </w:r>
            <w:r w:rsidRPr="00527017">
              <w:rPr>
                <w:rFonts w:asciiTheme="minorHAnsi" w:eastAsiaTheme="minorHAnsi" w:hAnsiTheme="minorHAnsi" w:cs="Arial"/>
                <w:szCs w:val="22"/>
                <w:lang w:val="en-029" w:eastAsia="en-US"/>
              </w:rPr>
              <w:tab/>
              <w:t>przez pojazd kolejowy należy rozumieć pojazd dostosowany do poruszania się na własnych kołach po torach kolejowych, z napędem lub bez napędu (w tym elektryczny zespół trakcyjny, spalinowy zespół trakcyjny, wagon elektryczny, wagon spalinowy, autobus szynowy (szynobus), wagony metra).</w:t>
            </w:r>
          </w:p>
        </w:tc>
        <w:tc>
          <w:tcPr>
            <w:tcW w:w="964" w:type="pct"/>
          </w:tcPr>
          <w:p w:rsidR="00D717F5" w:rsidRPr="00217AF8" w:rsidRDefault="00527017"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203A01" w:rsidRPr="00217AF8" w:rsidTr="00D30D5B">
        <w:trPr>
          <w:cantSplit/>
          <w:trHeight w:val="20"/>
          <w:jc w:val="center"/>
        </w:trPr>
        <w:tc>
          <w:tcPr>
            <w:tcW w:w="1120" w:type="pct"/>
            <w:shd w:val="clear" w:color="auto" w:fill="auto"/>
            <w:vAlign w:val="center"/>
          </w:tcPr>
          <w:p w:rsidR="00203A01" w:rsidRPr="00651BC2" w:rsidRDefault="00203A01" w:rsidP="005711E3">
            <w:pPr>
              <w:spacing w:before="0" w:line="240" w:lineRule="auto"/>
              <w:rPr>
                <w:rFonts w:asciiTheme="minorHAnsi" w:hAnsiTheme="minorHAnsi" w:cs="Arial"/>
                <w:szCs w:val="22"/>
              </w:rPr>
            </w:pPr>
            <w:r w:rsidRPr="00651BC2">
              <w:rPr>
                <w:rFonts w:asciiTheme="minorHAnsi" w:hAnsiTheme="minorHAnsi" w:cs="Arial"/>
                <w:szCs w:val="22"/>
              </w:rPr>
              <w:lastRenderedPageBreak/>
              <w:t>Pojemność</w:t>
            </w:r>
          </w:p>
          <w:p w:rsidR="00203A01" w:rsidRPr="00651BC2" w:rsidRDefault="00203A01" w:rsidP="005711E3">
            <w:pPr>
              <w:spacing w:before="0" w:line="240" w:lineRule="auto"/>
              <w:rPr>
                <w:rFonts w:asciiTheme="minorHAnsi" w:hAnsiTheme="minorHAnsi" w:cs="Arial"/>
                <w:szCs w:val="22"/>
              </w:rPr>
            </w:pPr>
            <w:r>
              <w:rPr>
                <w:rFonts w:asciiTheme="minorHAnsi" w:hAnsiTheme="minorHAnsi" w:cs="Arial"/>
                <w:szCs w:val="22"/>
              </w:rPr>
              <w:t xml:space="preserve">zmodernizowanego </w:t>
            </w:r>
          </w:p>
          <w:p w:rsidR="00203A01" w:rsidRPr="00651BC2" w:rsidRDefault="00203A01" w:rsidP="005711E3">
            <w:pPr>
              <w:spacing w:before="0" w:line="240" w:lineRule="auto"/>
              <w:rPr>
                <w:rFonts w:asciiTheme="minorHAnsi" w:hAnsiTheme="minorHAnsi" w:cs="Arial"/>
                <w:szCs w:val="22"/>
              </w:rPr>
            </w:pPr>
            <w:r w:rsidRPr="00651BC2">
              <w:rPr>
                <w:rFonts w:asciiTheme="minorHAnsi" w:hAnsiTheme="minorHAnsi" w:cs="Arial"/>
                <w:szCs w:val="22"/>
              </w:rPr>
              <w:t xml:space="preserve">taboru </w:t>
            </w:r>
          </w:p>
          <w:p w:rsidR="00203A01" w:rsidRPr="00651BC2" w:rsidRDefault="00203A01" w:rsidP="005711E3">
            <w:pPr>
              <w:spacing w:before="0" w:line="240" w:lineRule="auto"/>
              <w:rPr>
                <w:rFonts w:asciiTheme="minorHAnsi" w:hAnsiTheme="minorHAnsi" w:cs="Arial"/>
                <w:szCs w:val="22"/>
              </w:rPr>
            </w:pPr>
            <w:r w:rsidRPr="00651BC2">
              <w:rPr>
                <w:rFonts w:asciiTheme="minorHAnsi" w:hAnsiTheme="minorHAnsi" w:cs="Arial"/>
                <w:szCs w:val="22"/>
              </w:rPr>
              <w:t xml:space="preserve">pasażerskiego w publicznym transporcie </w:t>
            </w:r>
          </w:p>
          <w:p w:rsidR="00203A01" w:rsidRPr="00651BC2" w:rsidRDefault="00203A01" w:rsidP="005711E3">
            <w:pPr>
              <w:spacing w:before="0" w:line="240" w:lineRule="auto"/>
              <w:rPr>
                <w:rFonts w:asciiTheme="minorHAnsi" w:hAnsiTheme="minorHAnsi" w:cs="Arial"/>
                <w:szCs w:val="22"/>
              </w:rPr>
            </w:pPr>
            <w:r w:rsidRPr="00651BC2">
              <w:rPr>
                <w:rFonts w:asciiTheme="minorHAnsi" w:hAnsiTheme="minorHAnsi" w:cs="Arial"/>
                <w:szCs w:val="22"/>
              </w:rPr>
              <w:t>zbiorowym</w:t>
            </w:r>
          </w:p>
          <w:p w:rsidR="00203A01" w:rsidRPr="00651BC2" w:rsidRDefault="00203A01" w:rsidP="005711E3">
            <w:pPr>
              <w:spacing w:before="0" w:line="240" w:lineRule="auto"/>
              <w:rPr>
                <w:rFonts w:asciiTheme="minorHAnsi" w:hAnsiTheme="minorHAnsi" w:cs="Arial"/>
                <w:szCs w:val="22"/>
              </w:rPr>
            </w:pPr>
          </w:p>
        </w:tc>
        <w:tc>
          <w:tcPr>
            <w:tcW w:w="491" w:type="pct"/>
            <w:vAlign w:val="center"/>
          </w:tcPr>
          <w:p w:rsidR="00203A01" w:rsidRDefault="00203A01"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osoby</w:t>
            </w:r>
          </w:p>
        </w:tc>
        <w:tc>
          <w:tcPr>
            <w:tcW w:w="2425" w:type="pct"/>
            <w:shd w:val="clear" w:color="auto" w:fill="auto"/>
            <w:vAlign w:val="center"/>
          </w:tcPr>
          <w:p w:rsidR="00203A01" w:rsidRPr="00BB01A5" w:rsidRDefault="00203A0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 xml:space="preserve">Łączna liczba miejsc siedzących i stojących przeznaczonych do użytku pasażerów w poddanych modernizacji autobusach, tramwajach, trolejbusach, środkach pasażerskiego transportu wodnego, pojazdach kolejowych wykorzystywanych w gminnych przewozach pasażerskich, wykonywanych w granicach administracyjnych miasta (również na terenie: miasta i gminy / miast / miast i gmin sąsiadujących, jeżeli zostało zawarte porozumienie lub został utworzony związek międzygminny, w celu wspólnej realizacji publicznego transportu zbiorowego). </w:t>
            </w:r>
          </w:p>
          <w:p w:rsidR="00203A01" w:rsidRPr="00BB01A5" w:rsidRDefault="00203A0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autobus należy rozumieć pojazd samochodowy przeznaczony konstrukcyjnie do przewozu więcej niż 9 osób łącznie z kierowcą;</w:t>
            </w:r>
          </w:p>
          <w:p w:rsidR="00203A01" w:rsidRPr="00BB01A5" w:rsidRDefault="00203A0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tramwaj należy rozumieć pojazd przeznaczony do przewozu osób lub rzeczy zasilany energią elektryczną, poruszający się po szynach na drogach publicznych;</w:t>
            </w:r>
          </w:p>
          <w:p w:rsidR="00203A01" w:rsidRPr="00BB01A5" w:rsidRDefault="00203A0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trolejbus należy rozumieć autobus przystosowany do zasilania energią elektryczną z sieci trakcyjnej;</w:t>
            </w:r>
          </w:p>
          <w:p w:rsidR="00203A01" w:rsidRPr="003C086C" w:rsidRDefault="00203A0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przez pojazd kolejowy należy rozumieć pojazd dostosowany do poruszania się na własnych kołach po torach kolejowych, z napędem lub bez napędu (w tym elektryczny zespół trakcyjny, spalinowy zespół trakcyjny, wagon elektryczny, wagon spalinowy, autobus szynowy (szynobus), wagony metra).</w:t>
            </w:r>
          </w:p>
        </w:tc>
        <w:tc>
          <w:tcPr>
            <w:tcW w:w="964" w:type="pct"/>
          </w:tcPr>
          <w:p w:rsidR="00203A01" w:rsidRPr="00AD7401" w:rsidRDefault="00203A01" w:rsidP="005711E3">
            <w:pPr>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wybudowanych dróg dla rowerów</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E8519D" w:rsidRPr="00E8519D" w:rsidRDefault="00E8519D" w:rsidP="00710917">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Długość wybudowanego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E8519D" w:rsidP="00710917">
            <w:pPr>
              <w:spacing w:line="240" w:lineRule="auto"/>
              <w:jc w:val="both"/>
              <w:rPr>
                <w:rFonts w:asciiTheme="minorHAnsi" w:eastAsiaTheme="minorHAnsi" w:hAnsiTheme="minorHAnsi" w:cs="Arial"/>
                <w:szCs w:val="22"/>
                <w:lang w:val="en-029" w:eastAsia="en-US"/>
              </w:rPr>
            </w:pPr>
            <w:r w:rsidRPr="00E8519D">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lastRenderedPageBreak/>
              <w:t>Długość przebudowanych dróg dla rowerów</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przebudowanego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02798D" w:rsidRPr="00217AF8" w:rsidTr="008554A8">
        <w:trPr>
          <w:cantSplit/>
          <w:trHeight w:val="20"/>
          <w:jc w:val="center"/>
        </w:trPr>
        <w:tc>
          <w:tcPr>
            <w:tcW w:w="1120" w:type="pct"/>
            <w:shd w:val="clear" w:color="auto" w:fill="auto"/>
          </w:tcPr>
          <w:p w:rsidR="0002798D" w:rsidRDefault="0002798D" w:rsidP="00710917">
            <w:pPr>
              <w:spacing w:before="60" w:after="60" w:line="240" w:lineRule="auto"/>
              <w:rPr>
                <w:rFonts w:asciiTheme="minorHAnsi" w:hAnsiTheme="minorHAnsi" w:cs="TimesNewRoman,Bold"/>
                <w:szCs w:val="22"/>
              </w:rPr>
            </w:pPr>
            <w:r w:rsidRPr="0002798D">
              <w:rPr>
                <w:rFonts w:asciiTheme="minorHAnsi" w:hAnsiTheme="minorHAnsi" w:cs="TimesNewRoman,Bold"/>
                <w:szCs w:val="22"/>
              </w:rPr>
              <w:t>Długość wyznaczonych ścieżek rowerowych</w:t>
            </w:r>
          </w:p>
        </w:tc>
        <w:tc>
          <w:tcPr>
            <w:tcW w:w="491" w:type="pct"/>
          </w:tcPr>
          <w:p w:rsidR="0002798D" w:rsidRDefault="0002798D" w:rsidP="00710917">
            <w:pPr>
              <w:spacing w:line="240" w:lineRule="auto"/>
              <w:jc w:val="both"/>
              <w:rPr>
                <w:rFonts w:asciiTheme="minorHAnsi" w:hAnsiTheme="minorHAnsi"/>
                <w:szCs w:val="22"/>
              </w:rPr>
            </w:pPr>
            <w:r>
              <w:rPr>
                <w:rFonts w:asciiTheme="minorHAnsi" w:hAnsiTheme="minorHAnsi"/>
                <w:szCs w:val="22"/>
              </w:rPr>
              <w:t>km</w:t>
            </w:r>
          </w:p>
        </w:tc>
        <w:tc>
          <w:tcPr>
            <w:tcW w:w="2425" w:type="pct"/>
            <w:shd w:val="clear" w:color="auto" w:fill="auto"/>
          </w:tcPr>
          <w:p w:rsidR="004D11E3" w:rsidRPr="004D11E3"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Długość wyznaczonego odcinka drogi przeznaczonej do ruchu rowerów, tj. oddzielonej od innych dróg lub jezdni tej samej drogi konstrukcyjnie lub za pomocą urządzeń bezpieczeństwa ruchu drogowego oraz oznaczonej odpowiednimi znakami drogowymi.</w:t>
            </w:r>
          </w:p>
          <w:p w:rsidR="0002798D" w:rsidRPr="00217AF8" w:rsidRDefault="004D11E3" w:rsidP="00710917">
            <w:pPr>
              <w:spacing w:line="240" w:lineRule="auto"/>
              <w:jc w:val="both"/>
              <w:rPr>
                <w:rFonts w:asciiTheme="minorHAnsi" w:eastAsiaTheme="minorHAnsi" w:hAnsiTheme="minorHAnsi" w:cs="Arial"/>
                <w:szCs w:val="22"/>
                <w:lang w:val="en-029" w:eastAsia="en-US"/>
              </w:rPr>
            </w:pPr>
            <w:r w:rsidRPr="004D11E3">
              <w:rPr>
                <w:rFonts w:asciiTheme="minorHAnsi" w:eastAsiaTheme="minorHAnsi" w:hAnsiTheme="minorHAnsi" w:cs="Arial"/>
                <w:szCs w:val="22"/>
                <w:lang w:val="en-029" w:eastAsia="en-US"/>
              </w:rPr>
              <w:t>Należy brać pod uwagę tylko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w:t>
            </w:r>
          </w:p>
        </w:tc>
        <w:tc>
          <w:tcPr>
            <w:tcW w:w="964" w:type="pct"/>
          </w:tcPr>
          <w:p w:rsidR="0002798D" w:rsidRPr="00217AF8" w:rsidRDefault="004D11E3" w:rsidP="00710917">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217AF8"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obiektów „Bike&amp;Ride”</w:t>
            </w:r>
          </w:p>
        </w:tc>
        <w:tc>
          <w:tcPr>
            <w:tcW w:w="491" w:type="pct"/>
            <w:vAlign w:val="center"/>
          </w:tcPr>
          <w:p w:rsidR="009676CA" w:rsidRPr="00217AF8"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8942AB" w:rsidP="00710917">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wybudowanych parkingów przeznaczonych do pozostawiania rowerów, umożliwiających skorzystanie z transportu zbiorowego.</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217AF8"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wybudowanych obiektów „parkuj i jedź”</w:t>
            </w:r>
          </w:p>
        </w:tc>
        <w:tc>
          <w:tcPr>
            <w:tcW w:w="491" w:type="pct"/>
            <w:vAlign w:val="center"/>
          </w:tcPr>
          <w:p w:rsidR="009676CA" w:rsidRPr="00217AF8"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0D655E" w:rsidP="00710917">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Liczba wybudowanych parkingów w systemie „parkuj i jedź” („Park&amp;Ride”), umożliwiających  skorzystanie z transportu zbiorowego.</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miejsc postojowych w wybudowanych obiektach „parkuj i jedź”</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3F12F2" w:rsidP="00710917">
            <w:pPr>
              <w:spacing w:before="0" w:line="240" w:lineRule="auto"/>
              <w:jc w:val="both"/>
              <w:rPr>
                <w:rFonts w:asciiTheme="minorHAnsi" w:eastAsiaTheme="minorHAnsi" w:hAnsiTheme="minorHAnsi"/>
                <w:szCs w:val="22"/>
                <w:lang w:eastAsia="en-US"/>
              </w:rPr>
            </w:pPr>
            <w:r w:rsidRPr="003F12F2">
              <w:rPr>
                <w:rFonts w:asciiTheme="minorHAnsi" w:eastAsiaTheme="minorHAnsi" w:hAnsiTheme="minorHAnsi"/>
                <w:szCs w:val="22"/>
                <w:lang w:eastAsia="en-US"/>
              </w:rPr>
              <w:t>Liczba stanowisk przeznaczonych do postoju samochodów osobowych, znajdujących się na terenie parkingu w systemie „parkuj i jedź” („Park&amp;Ride”)</w:t>
            </w:r>
          </w:p>
        </w:tc>
        <w:tc>
          <w:tcPr>
            <w:tcW w:w="964" w:type="pct"/>
          </w:tcPr>
          <w:p w:rsidR="009676CA" w:rsidRDefault="009676CA">
            <w:r w:rsidRPr="00AD7401">
              <w:rPr>
                <w:rFonts w:asciiTheme="minorHAnsi" w:hAnsiTheme="minorHAnsi"/>
                <w:szCs w:val="22"/>
              </w:rPr>
              <w:t>SzOOP</w:t>
            </w:r>
          </w:p>
        </w:tc>
      </w:tr>
      <w:tr w:rsidR="00FD4E51" w:rsidRPr="00217AF8" w:rsidTr="00F65FFB">
        <w:trPr>
          <w:trHeight w:val="20"/>
          <w:jc w:val="center"/>
        </w:trPr>
        <w:tc>
          <w:tcPr>
            <w:tcW w:w="1120" w:type="pct"/>
            <w:shd w:val="clear" w:color="auto" w:fill="auto"/>
            <w:vAlign w:val="center"/>
          </w:tcPr>
          <w:p w:rsidR="00FD4E51" w:rsidRPr="00651BC2" w:rsidRDefault="00FD4E51" w:rsidP="005711E3">
            <w:pPr>
              <w:spacing w:before="0" w:line="240" w:lineRule="auto"/>
              <w:rPr>
                <w:rFonts w:asciiTheme="minorHAnsi" w:hAnsiTheme="minorHAnsi" w:cs="Arial"/>
                <w:szCs w:val="22"/>
              </w:rPr>
            </w:pPr>
            <w:r w:rsidRPr="00651BC2">
              <w:rPr>
                <w:rFonts w:asciiTheme="minorHAnsi" w:hAnsiTheme="minorHAnsi" w:cs="Arial"/>
                <w:szCs w:val="22"/>
              </w:rPr>
              <w:t xml:space="preserve">Liczba </w:t>
            </w:r>
          </w:p>
          <w:p w:rsidR="00FD4E51" w:rsidRPr="00651BC2" w:rsidRDefault="00FD4E51" w:rsidP="005711E3">
            <w:pPr>
              <w:spacing w:before="0" w:line="240" w:lineRule="auto"/>
              <w:rPr>
                <w:rFonts w:asciiTheme="minorHAnsi" w:hAnsiTheme="minorHAnsi" w:cs="Arial"/>
                <w:szCs w:val="22"/>
              </w:rPr>
            </w:pPr>
            <w:r w:rsidRPr="00651BC2">
              <w:rPr>
                <w:rFonts w:asciiTheme="minorHAnsi" w:hAnsiTheme="minorHAnsi" w:cs="Arial"/>
                <w:szCs w:val="22"/>
              </w:rPr>
              <w:t>miejsc postojowych</w:t>
            </w:r>
            <w:r>
              <w:rPr>
                <w:rFonts w:asciiTheme="minorHAnsi" w:hAnsiTheme="minorHAnsi" w:cs="Arial"/>
                <w:szCs w:val="22"/>
              </w:rPr>
              <w:t xml:space="preserve"> dla osób niepełnosprawnych </w:t>
            </w:r>
            <w:r w:rsidRPr="00651BC2">
              <w:rPr>
                <w:rFonts w:asciiTheme="minorHAnsi" w:hAnsiTheme="minorHAnsi" w:cs="Arial"/>
                <w:szCs w:val="22"/>
              </w:rPr>
              <w:t>w</w:t>
            </w:r>
          </w:p>
          <w:p w:rsidR="00FD4E51" w:rsidRPr="00651BC2" w:rsidRDefault="00FD4E51" w:rsidP="005711E3">
            <w:pPr>
              <w:spacing w:before="0" w:line="240" w:lineRule="auto"/>
              <w:rPr>
                <w:rFonts w:asciiTheme="minorHAnsi" w:hAnsiTheme="minorHAnsi" w:cs="Arial"/>
                <w:szCs w:val="22"/>
              </w:rPr>
            </w:pPr>
            <w:r w:rsidRPr="00651BC2">
              <w:rPr>
                <w:rFonts w:asciiTheme="minorHAnsi" w:hAnsiTheme="minorHAnsi" w:cs="Arial"/>
                <w:szCs w:val="22"/>
              </w:rPr>
              <w:t xml:space="preserve">wybudowanych obiektach „parkuj i jedź” </w:t>
            </w:r>
          </w:p>
        </w:tc>
        <w:tc>
          <w:tcPr>
            <w:tcW w:w="491" w:type="pct"/>
            <w:vAlign w:val="center"/>
          </w:tcPr>
          <w:p w:rsidR="00FD4E51" w:rsidRDefault="00FD4E51"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vAlign w:val="center"/>
          </w:tcPr>
          <w:p w:rsidR="00FD4E51" w:rsidRPr="00650B08" w:rsidRDefault="00FD4E51" w:rsidP="005711E3">
            <w:pPr>
              <w:spacing w:before="0" w:line="240" w:lineRule="auto"/>
              <w:jc w:val="both"/>
              <w:rPr>
                <w:rFonts w:asciiTheme="minorHAnsi" w:eastAsiaTheme="minorHAnsi" w:hAnsiTheme="minorHAnsi" w:cs="Arial"/>
                <w:color w:val="000000"/>
                <w:szCs w:val="22"/>
                <w:lang w:eastAsia="en-US"/>
              </w:rPr>
            </w:pPr>
            <w:r w:rsidRPr="00BB01A5">
              <w:rPr>
                <w:rFonts w:asciiTheme="minorHAnsi" w:eastAsiaTheme="minorHAnsi" w:hAnsiTheme="minorHAnsi" w:cs="Arial"/>
                <w:color w:val="000000"/>
                <w:szCs w:val="22"/>
                <w:lang w:eastAsia="en-US"/>
              </w:rPr>
              <w:t>Liczba stanowisk dla osób niepełnosprawnych przeznaczonych do postoju samochodów osobowych, znajdujących się na terenie parkingu w systemie „parkuj i jedź” („Park&amp;Ride”)</w:t>
            </w:r>
          </w:p>
        </w:tc>
        <w:tc>
          <w:tcPr>
            <w:tcW w:w="964" w:type="pct"/>
            <w:vAlign w:val="center"/>
          </w:tcPr>
          <w:p w:rsidR="00FD4E51" w:rsidRPr="00651BC2" w:rsidRDefault="00FD4E51" w:rsidP="005711E3">
            <w:pPr>
              <w:spacing w:before="0" w:line="240" w:lineRule="auto"/>
              <w:rPr>
                <w:rFonts w:asciiTheme="minorHAnsi" w:hAnsiTheme="minorHAnsi" w:cs="Arial"/>
                <w:szCs w:val="22"/>
              </w:rPr>
            </w:pPr>
            <w:r>
              <w:rPr>
                <w:rFonts w:asciiTheme="minorHAnsi" w:hAnsiTheme="minorHAnsi" w:cs="Arial"/>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lastRenderedPageBreak/>
              <w:t>Liczba wybudowanych zintegrowanych węzłów przesiadkowych</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8942AB" w:rsidRPr="008942AB" w:rsidRDefault="008942AB" w:rsidP="008942AB">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Liczba zintegrowanych węzłów przesiadkowych zapewniających możliwość przesiadania się pomiędzy środkami transportu publicznego lub pomiędzy systemami transportu publicznego i indywidualnego</w:t>
            </w:r>
            <w:r>
              <w:rPr>
                <w:rFonts w:asciiTheme="minorHAnsi" w:eastAsiaTheme="minorHAnsi" w:hAnsiTheme="minorHAnsi"/>
                <w:szCs w:val="22"/>
                <w:lang w:eastAsia="en-US"/>
              </w:rPr>
              <w:t>.</w:t>
            </w:r>
          </w:p>
          <w:p w:rsidR="009676CA" w:rsidRPr="00217AF8" w:rsidRDefault="008942AB" w:rsidP="008942AB">
            <w:pPr>
              <w:spacing w:before="0" w:line="240" w:lineRule="auto"/>
              <w:jc w:val="both"/>
              <w:rPr>
                <w:rFonts w:asciiTheme="minorHAnsi" w:eastAsiaTheme="minorHAnsi" w:hAnsiTheme="minorHAnsi"/>
                <w:szCs w:val="22"/>
                <w:lang w:eastAsia="en-US"/>
              </w:rPr>
            </w:pPr>
            <w:r w:rsidRPr="008942AB">
              <w:rPr>
                <w:rFonts w:asciiTheme="minorHAnsi" w:eastAsiaTheme="minorHAnsi" w:hAnsiTheme="minorHAnsi"/>
                <w:szCs w:val="22"/>
                <w:lang w:eastAsia="en-US"/>
              </w:rPr>
              <w:t>Definicja zintegrowanego węzła przesiadkowego zgodnie 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Całkowita długość nowych lub przebudowanych linii komunikacji miejskiej</w:t>
            </w:r>
          </w:p>
        </w:tc>
        <w:tc>
          <w:tcPr>
            <w:tcW w:w="491" w:type="pct"/>
            <w:vAlign w:val="center"/>
          </w:tcPr>
          <w:p w:rsidR="009676CA" w:rsidRDefault="00D763BE"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9676CA" w:rsidRPr="00217AF8" w:rsidRDefault="00D763BE" w:rsidP="00710917">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brak</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Liczba zainstalowanych inteligentnych systemów transportowych</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2425" w:type="pct"/>
            <w:shd w:val="clear" w:color="auto" w:fill="auto"/>
          </w:tcPr>
          <w:p w:rsidR="009676CA" w:rsidRPr="00217AF8" w:rsidRDefault="00333303" w:rsidP="00710917">
            <w:pPr>
              <w:spacing w:before="0" w:line="240" w:lineRule="auto"/>
              <w:jc w:val="both"/>
              <w:rPr>
                <w:rFonts w:asciiTheme="minorHAnsi" w:eastAsiaTheme="minorHAnsi" w:hAnsiTheme="minorHAnsi"/>
                <w:szCs w:val="22"/>
                <w:lang w:eastAsia="en-US"/>
              </w:rPr>
            </w:pPr>
            <w:r w:rsidRPr="00333303">
              <w:rPr>
                <w:rFonts w:asciiTheme="minorHAnsi" w:eastAsiaTheme="minorHAnsi" w:hAnsiTheme="minorHAnsi"/>
                <w:szCs w:val="22"/>
                <w:lang w:eastAsia="en-US"/>
              </w:rPr>
              <w:t>Liczba funkcjonujących inteligentnych systemów transportowych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9676CA" w:rsidRDefault="009676CA">
            <w:r w:rsidRPr="00AD7401">
              <w:rPr>
                <w:rFonts w:asciiTheme="minorHAnsi" w:hAnsiTheme="minorHAnsi"/>
                <w:szCs w:val="22"/>
              </w:rPr>
              <w:t>SzOOP</w:t>
            </w:r>
          </w:p>
        </w:tc>
      </w:tr>
      <w:tr w:rsidR="009676CA" w:rsidRPr="00217AF8" w:rsidTr="008554A8">
        <w:trPr>
          <w:trHeight w:val="20"/>
          <w:jc w:val="center"/>
        </w:trPr>
        <w:tc>
          <w:tcPr>
            <w:tcW w:w="1120" w:type="pct"/>
            <w:shd w:val="clear" w:color="auto" w:fill="auto"/>
            <w:vAlign w:val="center"/>
          </w:tcPr>
          <w:p w:rsidR="009676CA" w:rsidRPr="008F0027" w:rsidRDefault="009676CA" w:rsidP="00710917">
            <w:pPr>
              <w:spacing w:before="0" w:line="240" w:lineRule="auto"/>
              <w:rPr>
                <w:rFonts w:asciiTheme="minorHAnsi" w:eastAsiaTheme="minorHAnsi" w:hAnsiTheme="minorHAnsi"/>
                <w:szCs w:val="22"/>
                <w:lang w:eastAsia="en-US"/>
              </w:rPr>
            </w:pPr>
            <w:r w:rsidRPr="008F0027">
              <w:rPr>
                <w:rFonts w:asciiTheme="minorHAnsi" w:eastAsiaTheme="minorHAnsi" w:hAnsiTheme="minorHAnsi"/>
                <w:szCs w:val="22"/>
                <w:lang w:eastAsia="en-US"/>
              </w:rPr>
              <w:t>Długość dróg, na których zainstalowano inteligentne systemy transportowe</w:t>
            </w:r>
          </w:p>
        </w:tc>
        <w:tc>
          <w:tcPr>
            <w:tcW w:w="491" w:type="pct"/>
            <w:vAlign w:val="center"/>
          </w:tcPr>
          <w:p w:rsidR="009676CA" w:rsidRDefault="009676CA" w:rsidP="0071091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km</w:t>
            </w:r>
          </w:p>
        </w:tc>
        <w:tc>
          <w:tcPr>
            <w:tcW w:w="2425" w:type="pct"/>
            <w:shd w:val="clear" w:color="auto" w:fill="auto"/>
          </w:tcPr>
          <w:p w:rsidR="009676CA" w:rsidRPr="00217AF8" w:rsidRDefault="000D655E" w:rsidP="00710917">
            <w:pPr>
              <w:spacing w:before="0" w:line="240" w:lineRule="auto"/>
              <w:jc w:val="both"/>
              <w:rPr>
                <w:rFonts w:asciiTheme="minorHAnsi" w:eastAsiaTheme="minorHAnsi" w:hAnsiTheme="minorHAnsi"/>
                <w:szCs w:val="22"/>
                <w:lang w:eastAsia="en-US"/>
              </w:rPr>
            </w:pPr>
            <w:r w:rsidRPr="000D655E">
              <w:rPr>
                <w:rFonts w:asciiTheme="minorHAnsi" w:eastAsiaTheme="minorHAnsi" w:hAnsiTheme="minorHAnsi"/>
                <w:szCs w:val="22"/>
                <w:lang w:eastAsia="en-US"/>
              </w:rPr>
              <w:t>Długość dróg, na których funkcjonują inteligentne systemy transportowe (ITS), w których technologie informacyjne i komunikacyjne stosowane są w obszarze transportu drogowego, obejmującym infrastrukturę, pojazdy i użytkowników, oraz w zarządzeniu ruchem i zarządzaniu mobilnością, jak również do interfejsów z innymi rodzajami transportu.</w:t>
            </w:r>
          </w:p>
        </w:tc>
        <w:tc>
          <w:tcPr>
            <w:tcW w:w="964" w:type="pct"/>
          </w:tcPr>
          <w:p w:rsidR="009676CA" w:rsidRDefault="009676CA">
            <w:r w:rsidRPr="00AD7401">
              <w:rPr>
                <w:rFonts w:asciiTheme="minorHAnsi" w:hAnsiTheme="minorHAnsi"/>
                <w:szCs w:val="22"/>
              </w:rPr>
              <w:t>SzOOP</w:t>
            </w:r>
          </w:p>
        </w:tc>
      </w:tr>
      <w:tr w:rsidR="00180073" w:rsidRPr="00217AF8" w:rsidTr="00F85A8F">
        <w:trPr>
          <w:trHeight w:val="20"/>
          <w:jc w:val="center"/>
        </w:trPr>
        <w:tc>
          <w:tcPr>
            <w:tcW w:w="1120" w:type="pct"/>
            <w:shd w:val="clear" w:color="auto" w:fill="auto"/>
            <w:vAlign w:val="center"/>
          </w:tcPr>
          <w:p w:rsidR="00180073" w:rsidRPr="00C224BD" w:rsidRDefault="00180073"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Liczba przedsiębiorstw otrzymujących wsparcie</w:t>
            </w:r>
            <w:r>
              <w:rPr>
                <w:rFonts w:asciiTheme="minorHAnsi" w:eastAsiaTheme="minorHAnsi" w:hAnsiTheme="minorHAnsi" w:cs="Arial"/>
                <w:color w:val="000000"/>
                <w:szCs w:val="22"/>
                <w:lang w:eastAsia="en-US"/>
              </w:rPr>
              <w:t xml:space="preserve"> (CI 1)</w:t>
            </w:r>
            <w:r w:rsidRPr="00C224BD">
              <w:rPr>
                <w:rFonts w:asciiTheme="minorHAnsi" w:eastAsiaTheme="minorHAnsi" w:hAnsiTheme="minorHAnsi" w:cs="Arial"/>
                <w:color w:val="000000"/>
                <w:szCs w:val="22"/>
                <w:lang w:eastAsia="en-US"/>
              </w:rPr>
              <w:t xml:space="preserve"> </w:t>
            </w:r>
          </w:p>
        </w:tc>
        <w:tc>
          <w:tcPr>
            <w:tcW w:w="491" w:type="pct"/>
            <w:vAlign w:val="center"/>
          </w:tcPr>
          <w:p w:rsidR="00180073" w:rsidRPr="00C224BD" w:rsidRDefault="00180073" w:rsidP="005711E3">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przedsiębiorstwo</w:t>
            </w:r>
          </w:p>
        </w:tc>
        <w:tc>
          <w:tcPr>
            <w:tcW w:w="2425" w:type="pct"/>
            <w:shd w:val="clear" w:color="auto" w:fill="auto"/>
            <w:vAlign w:val="center"/>
          </w:tcPr>
          <w:p w:rsidR="00180073" w:rsidRPr="00C224BD" w:rsidRDefault="00180073" w:rsidP="007475D6">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Number of enterprises receiving support in any form from Structural Funds (whether the support represents state aid or not). </w:t>
            </w:r>
          </w:p>
          <w:p w:rsidR="00180073" w:rsidRPr="00C224BD" w:rsidRDefault="00180073" w:rsidP="00180073">
            <w:pPr>
              <w:spacing w:before="12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Enterprise: Organisation producing products or services to satisfy market needs in order to reach profit. The legal form of enterprise may be various (self-employed persons, partnerships, etc.). </w:t>
            </w:r>
          </w:p>
        </w:tc>
        <w:tc>
          <w:tcPr>
            <w:tcW w:w="964" w:type="pct"/>
          </w:tcPr>
          <w:p w:rsidR="00180073" w:rsidRPr="00217AF8" w:rsidRDefault="00F47F78" w:rsidP="00710917">
            <w:pPr>
              <w:spacing w:line="240" w:lineRule="auto"/>
              <w:jc w:val="both"/>
              <w:rPr>
                <w:rFonts w:asciiTheme="minorHAnsi" w:hAnsiTheme="minorHAnsi"/>
                <w:szCs w:val="22"/>
              </w:rPr>
            </w:pPr>
            <w:r>
              <w:rPr>
                <w:rFonts w:asciiTheme="minorHAnsi" w:hAnsiTheme="minorHAnsi"/>
                <w:szCs w:val="22"/>
              </w:rPr>
              <w:t>SzOOP</w:t>
            </w:r>
          </w:p>
        </w:tc>
      </w:tr>
      <w:tr w:rsidR="00180073" w:rsidRPr="00217AF8" w:rsidTr="00F85A8F">
        <w:trPr>
          <w:trHeight w:val="20"/>
          <w:jc w:val="center"/>
        </w:trPr>
        <w:tc>
          <w:tcPr>
            <w:tcW w:w="1120" w:type="pct"/>
            <w:shd w:val="clear" w:color="auto" w:fill="auto"/>
            <w:vAlign w:val="center"/>
          </w:tcPr>
          <w:p w:rsidR="00180073" w:rsidRPr="00217AF8" w:rsidRDefault="00180073" w:rsidP="005711E3">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Liczba przedsiębiorstw otrzymujących dotacje (CI 2)</w:t>
            </w:r>
          </w:p>
        </w:tc>
        <w:tc>
          <w:tcPr>
            <w:tcW w:w="491" w:type="pct"/>
            <w:vAlign w:val="center"/>
          </w:tcPr>
          <w:p w:rsidR="00180073" w:rsidRPr="00217AF8" w:rsidRDefault="00180073" w:rsidP="005711E3">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przedsiebiorstwo</w:t>
            </w:r>
          </w:p>
        </w:tc>
        <w:tc>
          <w:tcPr>
            <w:tcW w:w="2425" w:type="pct"/>
            <w:shd w:val="clear" w:color="auto" w:fill="auto"/>
            <w:vAlign w:val="center"/>
          </w:tcPr>
          <w:p w:rsidR="00180073" w:rsidRPr="00C224BD" w:rsidRDefault="00180073" w:rsidP="007475D6">
            <w:pPr>
              <w:spacing w:before="0" w:line="240" w:lineRule="auto"/>
              <w:jc w:val="both"/>
              <w:rPr>
                <w:rFonts w:asciiTheme="minorHAnsi" w:eastAsiaTheme="minorHAnsi" w:hAnsiTheme="minorHAnsi" w:cs="Arial"/>
                <w:color w:val="000000"/>
                <w:szCs w:val="22"/>
                <w:lang w:eastAsia="en-US"/>
              </w:rPr>
            </w:pPr>
            <w:r w:rsidRPr="00C224BD">
              <w:rPr>
                <w:rFonts w:asciiTheme="minorHAnsi" w:eastAsiaTheme="minorHAnsi" w:hAnsiTheme="minorHAnsi" w:cs="Arial"/>
                <w:color w:val="000000"/>
                <w:szCs w:val="22"/>
                <w:lang w:eastAsia="en-US"/>
              </w:rPr>
              <w:t xml:space="preserve">Number of enterprises receiving support in forms of non-refundable direct financial support conditional only to completion of project (grants). </w:t>
            </w:r>
          </w:p>
          <w:p w:rsidR="00180073" w:rsidRPr="00217AF8" w:rsidRDefault="00180073" w:rsidP="005711E3">
            <w:pPr>
              <w:spacing w:line="240" w:lineRule="auto"/>
              <w:jc w:val="both"/>
              <w:rPr>
                <w:rFonts w:asciiTheme="minorHAnsi" w:eastAsiaTheme="minorHAnsi" w:hAnsiTheme="minorHAnsi"/>
                <w:szCs w:val="22"/>
                <w:lang w:eastAsia="en-US"/>
              </w:rPr>
            </w:pPr>
            <w:r w:rsidRPr="00C224BD">
              <w:rPr>
                <w:rFonts w:asciiTheme="minorHAnsi" w:eastAsiaTheme="minorHAnsi" w:hAnsiTheme="minorHAnsi" w:cs="Arial"/>
                <w:color w:val="000000"/>
                <w:szCs w:val="22"/>
                <w:lang w:eastAsia="en-US"/>
              </w:rPr>
              <w:lastRenderedPageBreak/>
              <w:t>Subset of 'Number of enterprises receiving support'</w:t>
            </w:r>
          </w:p>
        </w:tc>
        <w:tc>
          <w:tcPr>
            <w:tcW w:w="964" w:type="pct"/>
          </w:tcPr>
          <w:p w:rsidR="00180073" w:rsidRPr="00217AF8" w:rsidRDefault="00F47F78" w:rsidP="00710917">
            <w:pPr>
              <w:spacing w:line="240" w:lineRule="auto"/>
              <w:jc w:val="both"/>
              <w:rPr>
                <w:rFonts w:asciiTheme="minorHAnsi" w:hAnsiTheme="minorHAnsi"/>
                <w:szCs w:val="22"/>
              </w:rPr>
            </w:pPr>
            <w:r>
              <w:rPr>
                <w:rFonts w:asciiTheme="minorHAnsi" w:hAnsiTheme="minorHAnsi"/>
                <w:szCs w:val="22"/>
              </w:rPr>
              <w:lastRenderedPageBreak/>
              <w:t>SzOOP</w:t>
            </w:r>
          </w:p>
        </w:tc>
      </w:tr>
      <w:tr w:rsidR="00380861" w:rsidRPr="00217AF8" w:rsidTr="008554A8">
        <w:trPr>
          <w:trHeight w:val="20"/>
          <w:jc w:val="center"/>
        </w:trPr>
        <w:tc>
          <w:tcPr>
            <w:tcW w:w="1120" w:type="pct"/>
            <w:shd w:val="clear" w:color="auto" w:fill="auto"/>
            <w:vAlign w:val="center"/>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szt.</w:t>
            </w:r>
          </w:p>
        </w:tc>
        <w:tc>
          <w:tcPr>
            <w:tcW w:w="2425" w:type="pct"/>
            <w:shd w:val="clear" w:color="auto" w:fill="auto"/>
          </w:tcPr>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Należy podać liczbę obiektów, a nie sprzętów, urządzeń itp., w które obiekty zaopatrzono.</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Liczba osób objętych szkoleniami / doradztwem w zakresie kompetencji cyfrowych O/K/M</w:t>
            </w:r>
          </w:p>
        </w:tc>
        <w:tc>
          <w:tcPr>
            <w:tcW w:w="491" w:type="pct"/>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os.</w:t>
            </w:r>
          </w:p>
        </w:tc>
        <w:tc>
          <w:tcPr>
            <w:tcW w:w="2425" w:type="pct"/>
            <w:shd w:val="clear" w:color="auto" w:fill="auto"/>
          </w:tcPr>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380861" w:rsidRPr="00217AF8" w:rsidRDefault="00380861" w:rsidP="00710917">
            <w:pPr>
              <w:spacing w:before="0" w:line="240" w:lineRule="auto"/>
              <w:jc w:val="both"/>
              <w:rPr>
                <w:rFonts w:asciiTheme="minorHAnsi" w:eastAsiaTheme="minorHAnsi" w:hAnsiTheme="minorHAnsi"/>
                <w:szCs w:val="22"/>
                <w:lang w:eastAsia="en-US"/>
              </w:rPr>
            </w:pP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380861" w:rsidRPr="00217AF8" w:rsidTr="008554A8">
        <w:trPr>
          <w:trHeight w:val="20"/>
          <w:jc w:val="center"/>
        </w:trPr>
        <w:tc>
          <w:tcPr>
            <w:tcW w:w="1120" w:type="pct"/>
            <w:shd w:val="clear" w:color="auto" w:fill="auto"/>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217AF8" w:rsidRDefault="00380861" w:rsidP="00710917">
            <w:pPr>
              <w:spacing w:before="0" w:line="240" w:lineRule="auto"/>
              <w:rPr>
                <w:rFonts w:asciiTheme="minorHAnsi" w:eastAsiaTheme="minorHAnsi" w:hAnsiTheme="minorHAnsi"/>
                <w:szCs w:val="22"/>
                <w:lang w:eastAsia="en-US"/>
              </w:rPr>
            </w:pPr>
            <w:r w:rsidRPr="00217AF8">
              <w:rPr>
                <w:rFonts w:asciiTheme="minorHAnsi" w:eastAsiaTheme="minorHAnsi" w:hAnsiTheme="minorHAnsi"/>
                <w:szCs w:val="22"/>
                <w:lang w:eastAsia="en-US"/>
              </w:rPr>
              <w:t xml:space="preserve">szt. </w:t>
            </w:r>
          </w:p>
        </w:tc>
        <w:tc>
          <w:tcPr>
            <w:tcW w:w="2425" w:type="pct"/>
            <w:shd w:val="clear" w:color="auto" w:fill="auto"/>
          </w:tcPr>
          <w:p w:rsidR="00380861" w:rsidRPr="00217AF8" w:rsidRDefault="00380861" w:rsidP="0071091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217AF8" w:rsidRDefault="00380861" w:rsidP="0071091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217AF8">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w:t>
            </w:r>
            <w:r w:rsidRPr="00217AF8">
              <w:rPr>
                <w:rFonts w:asciiTheme="minorHAnsi" w:eastAsiaTheme="minorHAnsi" w:hAnsiTheme="minorHAnsi" w:cs="Arial"/>
                <w:color w:val="000000"/>
                <w:szCs w:val="22"/>
                <w:lang w:eastAsia="en-US"/>
              </w:rPr>
              <w:lastRenderedPageBreak/>
              <w:t xml:space="preserve">Braille'a), osoby asystujące, odpowiednie dostosowanie wyżywienia. </w:t>
            </w:r>
          </w:p>
          <w:p w:rsidR="00380861" w:rsidRPr="00217AF8" w:rsidRDefault="00380861" w:rsidP="00710917">
            <w:pPr>
              <w:spacing w:before="0" w:line="240" w:lineRule="auto"/>
              <w:jc w:val="both"/>
              <w:rPr>
                <w:rFonts w:asciiTheme="minorHAnsi" w:eastAsiaTheme="minorHAnsi" w:hAnsiTheme="minorHAnsi"/>
                <w:szCs w:val="22"/>
                <w:lang w:eastAsia="en-US"/>
              </w:rPr>
            </w:pPr>
            <w:r w:rsidRPr="00217AF8">
              <w:rPr>
                <w:rFonts w:asciiTheme="minorHAnsi" w:eastAsiaTheme="minorHAnsi" w:hAnsiTheme="minorHAnsi" w:cs="Arial"/>
                <w:color w:val="000000"/>
                <w:szCs w:val="22"/>
                <w:lang w:eastAsia="en-US"/>
              </w:rPr>
              <w:t xml:space="preserve">Definicja na podstawie </w:t>
            </w:r>
            <w:r w:rsidRPr="00217AF8">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217AF8">
              <w:rPr>
                <w:rFonts w:asciiTheme="minorHAnsi" w:eastAsiaTheme="minorHAnsi" w:hAnsiTheme="minorHAnsi" w:cs="Arial"/>
                <w:color w:val="000000"/>
                <w:szCs w:val="22"/>
                <w:lang w:eastAsia="en-US"/>
              </w:rPr>
              <w:t>.</w:t>
            </w:r>
          </w:p>
        </w:tc>
        <w:tc>
          <w:tcPr>
            <w:tcW w:w="964" w:type="pct"/>
          </w:tcPr>
          <w:p w:rsidR="00380861" w:rsidRPr="00217AF8" w:rsidRDefault="000B05C7" w:rsidP="00710917">
            <w:pPr>
              <w:spacing w:line="240" w:lineRule="auto"/>
              <w:jc w:val="both"/>
              <w:rPr>
                <w:rFonts w:asciiTheme="minorHAnsi" w:hAnsiTheme="minorHAnsi"/>
                <w:szCs w:val="22"/>
              </w:rPr>
            </w:pPr>
            <w:r w:rsidRPr="00217AF8">
              <w:rPr>
                <w:rFonts w:asciiTheme="minorHAnsi" w:hAnsiTheme="minorHAnsi"/>
                <w:szCs w:val="22"/>
              </w:rPr>
              <w:lastRenderedPageBreak/>
              <w:t>Horyzontalny</w:t>
            </w:r>
          </w:p>
        </w:tc>
      </w:tr>
    </w:tbl>
    <w:p w:rsidR="00B520B6" w:rsidRPr="00B520B6" w:rsidRDefault="00B520B6" w:rsidP="00710917">
      <w:pPr>
        <w:spacing w:line="240" w:lineRule="auto"/>
        <w:jc w:val="both"/>
        <w:rPr>
          <w:rFonts w:asciiTheme="minorHAnsi" w:hAnsiTheme="minorHAnsi" w:cs="TimesNewRoman,Bold"/>
          <w:szCs w:val="22"/>
        </w:rPr>
      </w:pPr>
      <w:r w:rsidRPr="00B520B6">
        <w:rPr>
          <w:rFonts w:asciiTheme="minorHAnsi" w:hAnsiTheme="minorHAnsi" w:cs="TimesNewRoman,Bold"/>
          <w:szCs w:val="22"/>
        </w:rPr>
        <w:lastRenderedPageBreak/>
        <w:t xml:space="preserve">Zgodnie z załącznikiem nr 2 „Lista Wskaźników do wykonania celów pośrednich oraz końcowych” do Porozumienia nr DEF-Z/987/15 zawartego w dn. 11.06.2015 r. pomiędzy Województwem Dolnośląskim a Miastem Jelenia Góra pełniącym funkcję Instytucji Pośredniczącej (ze zm.), wskaźniki produktu weryfikowane na etapie oceny zgodności ze Strategią ZIT AJ są tożsame z wyżej wskazanymi tj.: </w:t>
      </w:r>
    </w:p>
    <w:p w:rsidR="00B520B6" w:rsidRPr="00B520B6" w:rsidRDefault="00B520B6" w:rsidP="00B520B6">
      <w:pPr>
        <w:pStyle w:val="Akapitzlist"/>
        <w:numPr>
          <w:ilvl w:val="0"/>
          <w:numId w:val="11"/>
        </w:numPr>
        <w:spacing w:before="0" w:line="240" w:lineRule="auto"/>
        <w:jc w:val="both"/>
        <w:rPr>
          <w:rFonts w:asciiTheme="minorHAnsi" w:hAnsiTheme="minorHAnsi" w:cs="TimesNewRoman,Bold"/>
          <w:szCs w:val="22"/>
        </w:rPr>
      </w:pPr>
      <w:r w:rsidRPr="00B520B6">
        <w:rPr>
          <w:rFonts w:asciiTheme="minorHAnsi" w:hAnsiTheme="minorHAnsi" w:cs="TimesNewRoman,Bold"/>
          <w:szCs w:val="22"/>
        </w:rPr>
        <w:t>„Liczba zakupionych lub zmodernizowanych jednostek taboru pasażerskiego w publicznym transporcie zbiorowym komunikacji miejskiej (agregujący wskaźniki „Liczba zakupionych jednostek taboru pasażerskiego w publicznym transporcie zbiorowym komunikacji miejskiej” oraz „Liczba zmodernizowanych jednostek taboru pasażerskiego w publicznym transporcie zbiorowym komunikacji miejskiej”,</w:t>
      </w:r>
    </w:p>
    <w:p w:rsidR="00DC184F" w:rsidRPr="00B520B6" w:rsidRDefault="00EB128C" w:rsidP="00B520B6">
      <w:pPr>
        <w:pStyle w:val="Akapitzlist"/>
        <w:numPr>
          <w:ilvl w:val="0"/>
          <w:numId w:val="11"/>
        </w:numPr>
        <w:spacing w:before="0" w:line="240" w:lineRule="auto"/>
        <w:jc w:val="both"/>
        <w:rPr>
          <w:rFonts w:asciiTheme="minorHAnsi" w:hAnsiTheme="minorHAnsi" w:cs="TimesNewRoman,Bold"/>
          <w:szCs w:val="22"/>
        </w:rPr>
      </w:pPr>
      <w:r>
        <w:rPr>
          <w:rFonts w:asciiTheme="minorHAnsi" w:hAnsiTheme="minorHAnsi" w:cs="TimesNewRoman,Bold"/>
          <w:szCs w:val="22"/>
        </w:rPr>
        <w:t>„</w:t>
      </w:r>
      <w:r w:rsidR="00C720AA" w:rsidRPr="00B520B6">
        <w:rPr>
          <w:rFonts w:asciiTheme="minorHAnsi" w:hAnsiTheme="minorHAnsi" w:cs="TimesNewRoman,Bold"/>
          <w:szCs w:val="22"/>
        </w:rPr>
        <w:t>Długość ścieżek rowerowych</w:t>
      </w:r>
      <w:r>
        <w:rPr>
          <w:rFonts w:asciiTheme="minorHAnsi" w:hAnsiTheme="minorHAnsi" w:cs="TimesNewRoman,Bold"/>
          <w:szCs w:val="22"/>
        </w:rPr>
        <w:t xml:space="preserve">” </w:t>
      </w:r>
      <w:r>
        <w:rPr>
          <w:rFonts w:asciiTheme="minorHAnsi" w:hAnsiTheme="minorHAnsi"/>
          <w:szCs w:val="22"/>
        </w:rPr>
        <w:t>(agregujący wskaźniki „</w:t>
      </w:r>
      <w:r w:rsidRPr="0002798D">
        <w:rPr>
          <w:rFonts w:asciiTheme="minorHAnsi" w:hAnsiTheme="minorHAnsi" w:cs="TimesNewRoman,Bold"/>
          <w:szCs w:val="22"/>
        </w:rPr>
        <w:t>Długość wybudowanych dróg dla rowerów</w:t>
      </w:r>
      <w:r>
        <w:rPr>
          <w:rFonts w:asciiTheme="minorHAnsi" w:hAnsiTheme="minorHAnsi" w:cs="TimesNewRoman,Bold"/>
          <w:szCs w:val="22"/>
        </w:rPr>
        <w:t>”, „Długość prze</w:t>
      </w:r>
      <w:r w:rsidRPr="0002798D">
        <w:rPr>
          <w:rFonts w:asciiTheme="minorHAnsi" w:hAnsiTheme="minorHAnsi" w:cs="TimesNewRoman,Bold"/>
          <w:szCs w:val="22"/>
        </w:rPr>
        <w:t>budowanych dróg dla rowerów</w:t>
      </w:r>
      <w:r>
        <w:rPr>
          <w:rFonts w:asciiTheme="minorHAnsi" w:hAnsiTheme="minorHAnsi" w:cs="TimesNewRoman,Bold"/>
          <w:szCs w:val="22"/>
        </w:rPr>
        <w:t>” oraz „</w:t>
      </w:r>
      <w:r w:rsidRPr="0002798D">
        <w:rPr>
          <w:rFonts w:asciiTheme="minorHAnsi" w:hAnsiTheme="minorHAnsi" w:cs="TimesNewRoman,Bold"/>
          <w:szCs w:val="22"/>
        </w:rPr>
        <w:t>Długość wy</w:t>
      </w:r>
      <w:r>
        <w:rPr>
          <w:rFonts w:asciiTheme="minorHAnsi" w:hAnsiTheme="minorHAnsi" w:cs="TimesNewRoman,Bold"/>
          <w:szCs w:val="22"/>
        </w:rPr>
        <w:t>z</w:t>
      </w:r>
      <w:r w:rsidRPr="0002798D">
        <w:rPr>
          <w:rFonts w:asciiTheme="minorHAnsi" w:hAnsiTheme="minorHAnsi" w:cs="TimesNewRoman,Bold"/>
          <w:szCs w:val="22"/>
        </w:rPr>
        <w:t>n</w:t>
      </w:r>
      <w:r>
        <w:rPr>
          <w:rFonts w:asciiTheme="minorHAnsi" w:hAnsiTheme="minorHAnsi" w:cs="TimesNewRoman,Bold"/>
          <w:szCs w:val="22"/>
        </w:rPr>
        <w:t>aczon</w:t>
      </w:r>
      <w:r w:rsidRPr="0002798D">
        <w:rPr>
          <w:rFonts w:asciiTheme="minorHAnsi" w:hAnsiTheme="minorHAnsi" w:cs="TimesNewRoman,Bold"/>
          <w:szCs w:val="22"/>
        </w:rPr>
        <w:t xml:space="preserve">ych </w:t>
      </w:r>
      <w:r w:rsidR="00F7385B">
        <w:rPr>
          <w:rFonts w:asciiTheme="minorHAnsi" w:hAnsiTheme="minorHAnsi" w:cs="TimesNewRoman,Bold"/>
          <w:szCs w:val="22"/>
        </w:rPr>
        <w:t>ścieżek rowerowych</w:t>
      </w:r>
      <w:bookmarkStart w:id="3" w:name="_GoBack"/>
      <w:bookmarkEnd w:id="3"/>
      <w:r>
        <w:rPr>
          <w:rFonts w:asciiTheme="minorHAnsi" w:hAnsiTheme="minorHAnsi" w:cs="TimesNewRoman,Bold"/>
          <w:szCs w:val="22"/>
        </w:rPr>
        <w:t>”)</w:t>
      </w:r>
      <w:r w:rsidR="00B520B6" w:rsidRPr="00B520B6">
        <w:rPr>
          <w:rFonts w:asciiTheme="minorHAnsi" w:hAnsiTheme="minorHAnsi" w:cs="TimesNewRoman,Bold"/>
          <w:szCs w:val="22"/>
        </w:rPr>
        <w:t>,</w:t>
      </w:r>
    </w:p>
    <w:p w:rsidR="00C720AA" w:rsidRPr="00B520B6" w:rsidRDefault="00EB128C" w:rsidP="00B520B6">
      <w:pPr>
        <w:pStyle w:val="Akapitzlist"/>
        <w:numPr>
          <w:ilvl w:val="0"/>
          <w:numId w:val="11"/>
        </w:numPr>
        <w:spacing w:before="0" w:line="240" w:lineRule="auto"/>
        <w:jc w:val="both"/>
        <w:rPr>
          <w:rFonts w:asciiTheme="minorHAnsi" w:hAnsiTheme="minorHAnsi"/>
          <w:szCs w:val="22"/>
        </w:rPr>
      </w:pPr>
      <w:r>
        <w:rPr>
          <w:rFonts w:asciiTheme="minorHAnsi" w:hAnsiTheme="minorHAnsi"/>
          <w:szCs w:val="22"/>
        </w:rPr>
        <w:t>„</w:t>
      </w:r>
      <w:r w:rsidR="00C720AA" w:rsidRPr="00B520B6">
        <w:rPr>
          <w:rFonts w:asciiTheme="minorHAnsi" w:hAnsiTheme="minorHAnsi"/>
          <w:szCs w:val="22"/>
        </w:rPr>
        <w:t>Liczba wybudowanych obiektów „parkuj i jedź”</w:t>
      </w:r>
      <w:r>
        <w:rPr>
          <w:rFonts w:asciiTheme="minorHAnsi" w:hAnsiTheme="minorHAnsi"/>
          <w:szCs w:val="22"/>
        </w:rPr>
        <w:t>”</w:t>
      </w:r>
      <w:r w:rsidR="00B520B6" w:rsidRPr="00B520B6">
        <w:rPr>
          <w:rFonts w:asciiTheme="minorHAnsi" w:hAnsiTheme="minorHAnsi"/>
          <w:szCs w:val="22"/>
        </w:rPr>
        <w:t>.</w:t>
      </w:r>
    </w:p>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1437C9" w:rsidRPr="00217AF8">
        <w:rPr>
          <w:rFonts w:asciiTheme="minorHAnsi" w:hAnsiTheme="minorHAnsi"/>
          <w:szCs w:val="22"/>
        </w:rPr>
        <w:t xml:space="preserve"> </w:t>
      </w:r>
      <w:r w:rsidR="0077429D">
        <w:rPr>
          <w:rFonts w:asciiTheme="minorHAnsi" w:hAnsiTheme="minorHAnsi"/>
        </w:rPr>
        <w:t>miejsc postojowych, przewozów,</w:t>
      </w:r>
      <w:r w:rsidR="0077429D"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67179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A80F60">
        <w:rPr>
          <w:rFonts w:asciiTheme="minorHAnsi" w:hAnsiTheme="minorHAnsi"/>
          <w:b/>
          <w:szCs w:val="22"/>
        </w:rPr>
        <w:t>3</w:t>
      </w:r>
      <w:r w:rsidR="00E32094" w:rsidRPr="00217AF8">
        <w:rPr>
          <w:rFonts w:asciiTheme="minorHAnsi" w:hAnsiTheme="minorHAnsi"/>
          <w:b/>
          <w:szCs w:val="22"/>
        </w:rPr>
        <w:t>.4</w:t>
      </w:r>
      <w:r w:rsidR="00DC184F" w:rsidRPr="00217AF8">
        <w:rPr>
          <w:rFonts w:asciiTheme="minorHAnsi" w:hAnsiTheme="minorHAnsi"/>
          <w:b/>
          <w:szCs w:val="22"/>
        </w:rPr>
        <w:t xml:space="preserve"> w przypadku </w:t>
      </w:r>
      <w:r w:rsidR="00E32094" w:rsidRPr="00217AF8">
        <w:rPr>
          <w:rFonts w:asciiTheme="minorHAnsi" w:hAnsiTheme="minorHAnsi"/>
          <w:b/>
          <w:szCs w:val="22"/>
        </w:rPr>
        <w:t>typ</w:t>
      </w:r>
      <w:r w:rsidR="006724A8">
        <w:rPr>
          <w:rFonts w:asciiTheme="minorHAnsi" w:hAnsiTheme="minorHAnsi"/>
          <w:b/>
          <w:szCs w:val="22"/>
        </w:rPr>
        <w:t>ów</w:t>
      </w:r>
      <w:r w:rsidR="00E32094" w:rsidRPr="00217AF8">
        <w:rPr>
          <w:rFonts w:asciiTheme="minorHAnsi" w:hAnsiTheme="minorHAnsi"/>
          <w:b/>
          <w:szCs w:val="22"/>
        </w:rPr>
        <w:t xml:space="preserve"> </w:t>
      </w:r>
      <w:r w:rsidR="00DC184F" w:rsidRPr="00217AF8">
        <w:rPr>
          <w:rFonts w:asciiTheme="minorHAnsi" w:hAnsiTheme="minorHAnsi"/>
          <w:b/>
          <w:szCs w:val="22"/>
        </w:rPr>
        <w:t>projek</w:t>
      </w:r>
      <w:r w:rsidR="006724A8">
        <w:rPr>
          <w:rFonts w:asciiTheme="minorHAnsi" w:hAnsiTheme="minorHAnsi"/>
          <w:b/>
          <w:szCs w:val="22"/>
        </w:rPr>
        <w:t>tów</w:t>
      </w:r>
      <w:r w:rsidR="00DC184F" w:rsidRPr="00217AF8">
        <w:rPr>
          <w:rFonts w:asciiTheme="minorHAnsi" w:hAnsiTheme="minorHAnsi"/>
          <w:b/>
          <w:szCs w:val="22"/>
        </w:rPr>
        <w:t xml:space="preserve"> </w:t>
      </w:r>
      <w:r w:rsidR="006D04C9">
        <w:rPr>
          <w:rFonts w:asciiTheme="minorHAnsi" w:hAnsiTheme="minorHAnsi"/>
          <w:b/>
          <w:szCs w:val="22"/>
        </w:rPr>
        <w:t xml:space="preserve">a) </w:t>
      </w:r>
      <w:r w:rsidR="006724A8">
        <w:rPr>
          <w:rFonts w:asciiTheme="minorHAnsi" w:hAnsiTheme="minorHAnsi"/>
          <w:b/>
          <w:szCs w:val="22"/>
        </w:rPr>
        <w:t xml:space="preserve">b), c), </w:t>
      </w:r>
      <w:r w:rsidR="00A80F60">
        <w:rPr>
          <w:rFonts w:asciiTheme="minorHAnsi" w:hAnsiTheme="minorHAnsi"/>
          <w:b/>
          <w:szCs w:val="22"/>
        </w:rPr>
        <w:t>d)</w:t>
      </w:r>
      <w:r w:rsidRPr="00217AF8">
        <w:rPr>
          <w:rFonts w:asciiTheme="minorHAnsi" w:hAnsiTheme="minorHAnsi"/>
          <w:b/>
          <w:szCs w:val="22"/>
        </w:rPr>
        <w:t xml:space="preserve"> </w:t>
      </w:r>
      <w:r w:rsidR="00DC184F" w:rsidRPr="00217AF8">
        <w:rPr>
          <w:rFonts w:asciiTheme="minorHAnsi" w:hAnsiTheme="minorHAnsi"/>
          <w:b/>
          <w:szCs w:val="22"/>
        </w:rPr>
        <w:t xml:space="preserve">określono </w:t>
      </w:r>
      <w:r w:rsidR="006724A8">
        <w:rPr>
          <w:rFonts w:asciiTheme="minorHAnsi" w:hAnsiTheme="minorHAnsi"/>
          <w:b/>
          <w:szCs w:val="22"/>
        </w:rPr>
        <w:t>następujące wskaźniki</w:t>
      </w:r>
      <w:r w:rsidR="00DC184F" w:rsidRPr="00217AF8">
        <w:rPr>
          <w:rFonts w:asciiTheme="minorHAnsi" w:hAnsiTheme="minorHAnsi"/>
          <w:b/>
          <w:szCs w:val="22"/>
        </w:rPr>
        <w:t xml:space="preserve"> </w:t>
      </w:r>
      <w:r w:rsidR="00D57D29" w:rsidRPr="00217AF8">
        <w:rPr>
          <w:rFonts w:asciiTheme="minorHAnsi" w:hAnsiTheme="minorHAnsi"/>
          <w:b/>
          <w:szCs w:val="22"/>
        </w:rPr>
        <w:t>rezultatu bezpośredniego</w:t>
      </w:r>
      <w:r w:rsidR="006724A8">
        <w:rPr>
          <w:rFonts w:asciiTheme="minorHAnsi" w:hAnsiTheme="minorHAnsi"/>
          <w:b/>
          <w:szCs w:val="22"/>
        </w:rPr>
        <w:t>:</w:t>
      </w:r>
    </w:p>
    <w:p w:rsidR="008554A8" w:rsidRPr="00217AF8" w:rsidRDefault="008554A8" w:rsidP="00710917">
      <w:pPr>
        <w:autoSpaceDE w:val="0"/>
        <w:autoSpaceDN w:val="0"/>
        <w:adjustRightInd w:val="0"/>
        <w:spacing w:before="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217AF8" w:rsidTr="00521EB7">
        <w:trPr>
          <w:trHeight w:val="20"/>
          <w:jc w:val="center"/>
        </w:trPr>
        <w:tc>
          <w:tcPr>
            <w:tcW w:w="1189" w:type="pct"/>
            <w:shd w:val="clear" w:color="auto" w:fill="auto"/>
            <w:vAlign w:val="center"/>
          </w:tcPr>
          <w:p w:rsidR="008554A8" w:rsidRPr="00217AF8" w:rsidRDefault="008554A8" w:rsidP="00710917">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8554A8" w:rsidRPr="00217AF8" w:rsidRDefault="008554A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8554A8" w:rsidRPr="00217AF8" w:rsidRDefault="008554A8" w:rsidP="00710917">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8554A8" w:rsidRPr="00217AF8" w:rsidRDefault="008554A8" w:rsidP="00710917">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710917" w:rsidRPr="00217AF8" w:rsidTr="000F189D">
        <w:trPr>
          <w:trHeight w:val="20"/>
          <w:jc w:val="center"/>
        </w:trPr>
        <w:tc>
          <w:tcPr>
            <w:tcW w:w="1189" w:type="pct"/>
            <w:shd w:val="clear" w:color="auto" w:fill="auto"/>
          </w:tcPr>
          <w:p w:rsidR="00710917" w:rsidRPr="00710917" w:rsidRDefault="00710917" w:rsidP="00710917">
            <w:pPr>
              <w:spacing w:before="40" w:after="40" w:line="240" w:lineRule="auto"/>
              <w:contextualSpacing/>
              <w:jc w:val="both"/>
              <w:rPr>
                <w:rFonts w:asciiTheme="minorHAnsi" w:hAnsiTheme="minorHAnsi" w:cs="Arial"/>
              </w:rPr>
            </w:pPr>
            <w:r w:rsidRPr="00710917">
              <w:rPr>
                <w:rFonts w:asciiTheme="minorHAnsi" w:hAnsiTheme="minorHAnsi" w:cs="Arial"/>
              </w:rPr>
              <w:t xml:space="preserve">Liczba samochodów korzystających z miejsc postojowych w wybudowanych obiektach „parkuj i jedź” </w:t>
            </w:r>
          </w:p>
        </w:tc>
        <w:tc>
          <w:tcPr>
            <w:tcW w:w="701" w:type="pct"/>
          </w:tcPr>
          <w:p w:rsidR="00710917" w:rsidRPr="00217AF8" w:rsidRDefault="00710917" w:rsidP="00710917">
            <w:pPr>
              <w:spacing w:before="0" w:line="240" w:lineRule="auto"/>
              <w:rPr>
                <w:rFonts w:asciiTheme="minorHAnsi" w:hAnsiTheme="minorHAnsi" w:cs="ArialNarrow"/>
                <w:szCs w:val="22"/>
              </w:rPr>
            </w:pPr>
            <w:r>
              <w:rPr>
                <w:rFonts w:asciiTheme="minorHAnsi" w:hAnsiTheme="minorHAnsi" w:cs="ArialNarrow"/>
                <w:szCs w:val="22"/>
              </w:rPr>
              <w:t>szt.</w:t>
            </w:r>
          </w:p>
        </w:tc>
        <w:tc>
          <w:tcPr>
            <w:tcW w:w="2061" w:type="pct"/>
            <w:shd w:val="clear" w:color="auto" w:fill="auto"/>
            <w:vAlign w:val="center"/>
          </w:tcPr>
          <w:p w:rsidR="00710917" w:rsidRPr="00217AF8" w:rsidRDefault="006D04C9" w:rsidP="0077429D">
            <w:pPr>
              <w:spacing w:before="0" w:line="240" w:lineRule="auto"/>
              <w:jc w:val="both"/>
              <w:rPr>
                <w:rFonts w:asciiTheme="minorHAnsi" w:hAnsiTheme="minorHAnsi"/>
                <w:szCs w:val="22"/>
                <w:lang w:val="en-US"/>
              </w:rPr>
            </w:pPr>
            <w:r w:rsidRPr="006D04C9">
              <w:rPr>
                <w:rFonts w:asciiTheme="minorHAnsi" w:hAnsiTheme="minorHAnsi"/>
                <w:szCs w:val="22"/>
                <w:lang w:val="en-US"/>
              </w:rPr>
              <w:t>Liczba samochodów, które skorzystały z miejsc postojowych na terenie parkingu w systemie „parkuj i jedź” („Park&amp;Ride”) w ciągu pełnego roku od zakończenia realizacji projektu.</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t>SzOOP</w:t>
            </w:r>
          </w:p>
        </w:tc>
      </w:tr>
      <w:tr w:rsidR="00710917" w:rsidRPr="00217AF8" w:rsidTr="000F189D">
        <w:trPr>
          <w:trHeight w:val="20"/>
          <w:jc w:val="center"/>
        </w:trPr>
        <w:tc>
          <w:tcPr>
            <w:tcW w:w="1189" w:type="pct"/>
            <w:shd w:val="clear" w:color="auto" w:fill="auto"/>
          </w:tcPr>
          <w:p w:rsidR="00710917" w:rsidRPr="00710917" w:rsidRDefault="00710917" w:rsidP="00710917">
            <w:pPr>
              <w:spacing w:before="40" w:after="40" w:line="240" w:lineRule="auto"/>
              <w:contextualSpacing/>
              <w:jc w:val="both"/>
              <w:rPr>
                <w:rFonts w:asciiTheme="minorHAnsi" w:hAnsiTheme="minorHAnsi" w:cs="Arial"/>
              </w:rPr>
            </w:pPr>
            <w:r w:rsidRPr="00710917">
              <w:rPr>
                <w:rFonts w:asciiTheme="minorHAnsi" w:hAnsiTheme="minorHAnsi" w:cs="Arial"/>
              </w:rPr>
              <w:lastRenderedPageBreak/>
              <w:t xml:space="preserve">Liczba przewozów komunikacją miejską na przebudowanych i nowych liniach komunikacji miejskiej </w:t>
            </w:r>
          </w:p>
        </w:tc>
        <w:tc>
          <w:tcPr>
            <w:tcW w:w="701" w:type="pct"/>
          </w:tcPr>
          <w:p w:rsidR="00710917" w:rsidRPr="00217AF8" w:rsidRDefault="00710917" w:rsidP="00710917">
            <w:pPr>
              <w:spacing w:before="0" w:line="240" w:lineRule="auto"/>
              <w:rPr>
                <w:rFonts w:asciiTheme="minorHAnsi" w:hAnsiTheme="minorHAnsi" w:cs="ArialNarrow"/>
                <w:szCs w:val="22"/>
              </w:rPr>
            </w:pPr>
            <w:r>
              <w:rPr>
                <w:rFonts w:asciiTheme="minorHAnsi" w:hAnsiTheme="minorHAnsi" w:cs="ArialNarrow"/>
                <w:szCs w:val="22"/>
              </w:rPr>
              <w:t>szt./rok</w:t>
            </w:r>
          </w:p>
        </w:tc>
        <w:tc>
          <w:tcPr>
            <w:tcW w:w="2061" w:type="pct"/>
            <w:shd w:val="clear" w:color="auto" w:fill="auto"/>
            <w:vAlign w:val="center"/>
          </w:tcPr>
          <w:p w:rsidR="00710917" w:rsidRPr="00217AF8" w:rsidRDefault="006D0B1C" w:rsidP="00710917">
            <w:pPr>
              <w:spacing w:line="240" w:lineRule="auto"/>
              <w:jc w:val="both"/>
              <w:rPr>
                <w:rFonts w:asciiTheme="minorHAnsi" w:hAnsiTheme="minorHAnsi"/>
                <w:szCs w:val="22"/>
                <w:lang w:val="en-US"/>
              </w:rPr>
            </w:pPr>
            <w:r>
              <w:rPr>
                <w:rFonts w:asciiTheme="minorHAnsi" w:hAnsiTheme="minorHAnsi"/>
                <w:szCs w:val="22"/>
                <w:lang w:val="en-US"/>
              </w:rPr>
              <w:t>Brak</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t>SzOOP</w:t>
            </w:r>
          </w:p>
        </w:tc>
      </w:tr>
      <w:tr w:rsidR="00710917" w:rsidRPr="00217AF8" w:rsidTr="000F189D">
        <w:trPr>
          <w:trHeight w:val="20"/>
          <w:jc w:val="center"/>
        </w:trPr>
        <w:tc>
          <w:tcPr>
            <w:tcW w:w="1189" w:type="pct"/>
            <w:shd w:val="clear" w:color="auto" w:fill="auto"/>
          </w:tcPr>
          <w:p w:rsidR="00710917" w:rsidRPr="00710917" w:rsidRDefault="0077429D" w:rsidP="002A7F57">
            <w:pPr>
              <w:spacing w:before="0" w:line="240" w:lineRule="auto"/>
              <w:rPr>
                <w:rFonts w:asciiTheme="minorHAnsi" w:hAnsiTheme="minorHAnsi"/>
              </w:rPr>
            </w:pPr>
            <w:r>
              <w:rPr>
                <w:rFonts w:asciiTheme="minorHAnsi" w:hAnsiTheme="minorHAnsi"/>
              </w:rPr>
              <w:t>S</w:t>
            </w:r>
            <w:r w:rsidR="00710917" w:rsidRPr="00710917">
              <w:rPr>
                <w:rFonts w:asciiTheme="minorHAnsi" w:hAnsiTheme="minorHAnsi"/>
              </w:rPr>
              <w:t xml:space="preserve">zacowany roczny spadek emisji gazów cieplarnianych (CI 34) </w:t>
            </w:r>
          </w:p>
        </w:tc>
        <w:tc>
          <w:tcPr>
            <w:tcW w:w="701" w:type="pct"/>
          </w:tcPr>
          <w:p w:rsidR="00710917" w:rsidRPr="00217AF8" w:rsidRDefault="00710917" w:rsidP="000734DA">
            <w:pPr>
              <w:spacing w:before="0" w:line="240" w:lineRule="auto"/>
              <w:rPr>
                <w:rFonts w:asciiTheme="minorHAnsi" w:hAnsiTheme="minorHAnsi" w:cs="ArialNarrow"/>
                <w:szCs w:val="22"/>
              </w:rPr>
            </w:pPr>
            <w:r w:rsidRPr="00710917">
              <w:rPr>
                <w:rFonts w:asciiTheme="minorHAnsi" w:hAnsiTheme="minorHAnsi"/>
              </w:rPr>
              <w:t>tony równoważnika CO</w:t>
            </w:r>
            <w:r w:rsidRPr="00710917">
              <w:rPr>
                <w:rFonts w:asciiTheme="minorHAnsi" w:hAnsiTheme="minorHAnsi"/>
                <w:vertAlign w:val="subscript"/>
              </w:rPr>
              <w:t>2</w:t>
            </w:r>
            <w:r>
              <w:rPr>
                <w:rFonts w:asciiTheme="minorHAnsi" w:hAnsiTheme="minorHAnsi"/>
              </w:rPr>
              <w:t>/rok</w:t>
            </w:r>
          </w:p>
        </w:tc>
        <w:tc>
          <w:tcPr>
            <w:tcW w:w="2061" w:type="pct"/>
            <w:shd w:val="clear" w:color="auto" w:fill="auto"/>
            <w:vAlign w:val="center"/>
          </w:tcPr>
          <w:p w:rsidR="006D0B1C" w:rsidRPr="006D0B1C" w:rsidRDefault="006D0B1C" w:rsidP="0077429D">
            <w:pPr>
              <w:spacing w:before="0" w:line="240" w:lineRule="auto"/>
              <w:jc w:val="both"/>
              <w:rPr>
                <w:rFonts w:asciiTheme="minorHAnsi" w:hAnsiTheme="minorHAnsi"/>
                <w:szCs w:val="22"/>
                <w:lang w:val="en-US"/>
              </w:rPr>
            </w:pPr>
            <w:r w:rsidRPr="006D0B1C">
              <w:rPr>
                <w:rFonts w:asciiTheme="minorHAnsi" w:hAnsiTheme="minorHAnsi"/>
                <w:szCs w:val="22"/>
                <w:lang w:val="en-US"/>
              </w:rPr>
              <w:t>Tłumaczenie robocze:</w:t>
            </w:r>
          </w:p>
          <w:p w:rsidR="006D0B1C" w:rsidRPr="006D0B1C"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Wskaźnik ten jest liczony dla interwencji bezpośrednio zwiększających produkcję energii ze źródeł odnawialnych (patrz wskaźnik 30) lub zmniejszających zużycie energii za pomocą działań uzyskujących oszczędność energii (patrz wskaźniki 31 i 32),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6D0B1C" w:rsidRPr="006D0B1C"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W przypadku produkcji energii odnawialnej, prognoza opiera się na ilości energii pierwotnej produkowanej przez wsparte przedsiębiorstwa/ 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6D0B1C" w:rsidRPr="006D0B1C"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 xml:space="preserve">W przypadku działań uzyskujących oszczędność energii, prognoza opiera się na ilości energii pierwotnej oszczędzonej w danym roku w ramach wspieranych operacji (albo rok po zakończeniu projektu, albo rok kalendarzowy po zakończeniu projektu). </w:t>
            </w:r>
            <w:r w:rsidRPr="006D0B1C">
              <w:rPr>
                <w:rFonts w:asciiTheme="minorHAnsi" w:hAnsiTheme="minorHAnsi"/>
                <w:szCs w:val="22"/>
                <w:lang w:val="en-US"/>
              </w:rPr>
              <w:lastRenderedPageBreak/>
              <w:t>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6D0B1C" w:rsidRPr="006D0B1C"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This indicator is calculated for interventions directly aiming to increase renewable energy production (see indicator 30) or to decrease energy consumption through energy saving measures (see indicators 31 and 32), thus its use is mandatory only where these indicators are relevant. Uses for other interventions with possible GHG impact are optional with methodology developed by the MA. The indicator will show the total estimated of annual decrease by the end of the period, not the total decrease throughout the period.</w:t>
            </w:r>
          </w:p>
          <w:p w:rsidR="006D0B1C" w:rsidRPr="006D0B1C"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In case of renewable energy production, the estimate is based on the amount of primary energy produced by supported facilities in a given year (either one year following project completion or the calendar year after project completion). Renewable energy is supposed to be GHG neutral and replacing non-renewable energy production. GHG impact of nonrenewable energy is estimated through the MS total GHG emission per unit of non-renewable energy production.</w:t>
            </w:r>
          </w:p>
          <w:p w:rsidR="00710917" w:rsidRPr="00217AF8" w:rsidRDefault="006D0B1C" w:rsidP="006D0B1C">
            <w:pPr>
              <w:spacing w:line="240" w:lineRule="auto"/>
              <w:jc w:val="both"/>
              <w:rPr>
                <w:rFonts w:asciiTheme="minorHAnsi" w:hAnsiTheme="minorHAnsi"/>
                <w:szCs w:val="22"/>
                <w:lang w:val="en-US"/>
              </w:rPr>
            </w:pPr>
            <w:r w:rsidRPr="006D0B1C">
              <w:rPr>
                <w:rFonts w:asciiTheme="minorHAnsi" w:hAnsiTheme="minorHAnsi"/>
                <w:szCs w:val="22"/>
                <w:lang w:val="en-US"/>
              </w:rPr>
              <w:t>In case of energy saving measures, the estimate is based on the amount of primary energy saved through in a given year supported operations (either one year following project completion or the calendar year after project completion). Saved energy is supposed to be replacing non-renewable energy production. GHG impact of non-renewable energy is estimated through the MS total GHG emission per unit of non-renewable energy production.</w:t>
            </w:r>
          </w:p>
        </w:tc>
        <w:tc>
          <w:tcPr>
            <w:tcW w:w="1049" w:type="pct"/>
          </w:tcPr>
          <w:p w:rsidR="00710917" w:rsidRPr="00217AF8" w:rsidRDefault="009676CA" w:rsidP="00710917">
            <w:pPr>
              <w:spacing w:line="240" w:lineRule="auto"/>
              <w:jc w:val="both"/>
              <w:rPr>
                <w:rFonts w:asciiTheme="minorHAnsi" w:hAnsiTheme="minorHAnsi"/>
                <w:szCs w:val="22"/>
              </w:rPr>
            </w:pPr>
            <w:r>
              <w:rPr>
                <w:rFonts w:asciiTheme="minorHAnsi" w:hAnsiTheme="minorHAnsi"/>
                <w:szCs w:val="22"/>
              </w:rPr>
              <w:lastRenderedPageBreak/>
              <w:t>SzOOP</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przedsiębiorstwach O/K/M</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710917">
            <w:pPr>
              <w:spacing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E6017F" w:rsidRPr="00217AF8" w:rsidRDefault="00E6017F" w:rsidP="00710917">
            <w:pPr>
              <w:spacing w:line="240" w:lineRule="auto"/>
              <w:jc w:val="both"/>
              <w:rPr>
                <w:rFonts w:asciiTheme="minorHAnsi" w:hAnsiTheme="minorHAnsi"/>
                <w:szCs w:val="22"/>
                <w:lang w:val="en-US"/>
              </w:rPr>
            </w:pPr>
            <w:r w:rsidRPr="00217AF8">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217AF8" w:rsidRDefault="00E6017F" w:rsidP="0071091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E6017F" w:rsidRPr="00217AF8" w:rsidRDefault="00E6017F" w:rsidP="00710917">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parttime or seasonal. Seasonal and part time jobs are to be converted to FTE using ILO/statistical/other standards. </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E6017F" w:rsidRPr="00217AF8" w:rsidRDefault="00E6017F" w:rsidP="00710917">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 xml:space="preserve">w przedsiębiorstwie oznacza, że wartość wskaźnika jest równa zero, co traktuje się jako wyrównanie miejsc pracy, a nie </w:t>
            </w:r>
            <w:r w:rsidRPr="00217AF8">
              <w:rPr>
                <w:rFonts w:asciiTheme="minorHAnsi" w:hAnsiTheme="minorHAnsi"/>
                <w:i/>
                <w:szCs w:val="22"/>
              </w:rPr>
              <w:lastRenderedPageBreak/>
              <w:t>wzrost. Nie wlicza się miejsc pracy, np. utrzymanych dzięki realizacji projektu.</w:t>
            </w:r>
          </w:p>
          <w:p w:rsidR="00E6017F" w:rsidRPr="00217AF8" w:rsidRDefault="00E6017F" w:rsidP="00710917">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17AF8">
              <w:rPr>
                <w:rFonts w:asciiTheme="minorHAnsi" w:hAnsiTheme="minorHAnsi"/>
                <w:i/>
                <w:szCs w:val="22"/>
              </w:rPr>
              <w:br/>
              <w:t>w ramach projektu.</w:t>
            </w:r>
          </w:p>
          <w:p w:rsidR="00E6017F" w:rsidRPr="00217AF8" w:rsidRDefault="00E6017F" w:rsidP="00710917">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p w:rsidR="00E6017F" w:rsidRPr="00217AF8" w:rsidRDefault="00E6017F" w:rsidP="00710917">
            <w:pPr>
              <w:spacing w:line="240" w:lineRule="auto"/>
              <w:jc w:val="both"/>
              <w:rPr>
                <w:rFonts w:asciiTheme="minorHAnsi" w:hAnsiTheme="minorHAnsi"/>
                <w:szCs w:val="22"/>
              </w:rPr>
            </w:pP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217AF8" w:rsidRDefault="00E6017F" w:rsidP="00710917">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D82B75" w:rsidRDefault="00E6017F" w:rsidP="00D82B75">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r w:rsidR="00E6017F" w:rsidRPr="00217AF8" w:rsidTr="000F189D">
        <w:trPr>
          <w:trHeight w:val="20"/>
          <w:jc w:val="center"/>
        </w:trPr>
        <w:tc>
          <w:tcPr>
            <w:tcW w:w="1189" w:type="pct"/>
            <w:shd w:val="clear" w:color="auto" w:fill="auto"/>
          </w:tcPr>
          <w:p w:rsidR="00E6017F" w:rsidRPr="00217AF8" w:rsidRDefault="00E6017F" w:rsidP="00710917">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E6017F" w:rsidRPr="00217AF8" w:rsidRDefault="00E6017F" w:rsidP="00710917">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E6017F" w:rsidRPr="00D82B75" w:rsidRDefault="00E6017F" w:rsidP="00D82B75">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E6017F" w:rsidRPr="00217AF8" w:rsidRDefault="00E6017F" w:rsidP="00710917">
            <w:pPr>
              <w:spacing w:line="240" w:lineRule="auto"/>
              <w:jc w:val="both"/>
              <w:rPr>
                <w:rFonts w:asciiTheme="minorHAnsi" w:hAnsiTheme="minorHAnsi"/>
                <w:szCs w:val="22"/>
              </w:rPr>
            </w:pPr>
            <w:r w:rsidRPr="00217AF8">
              <w:rPr>
                <w:rFonts w:asciiTheme="minorHAnsi" w:hAnsiTheme="minorHAnsi"/>
                <w:szCs w:val="22"/>
              </w:rPr>
              <w:t>horyzontalny</w:t>
            </w:r>
          </w:p>
        </w:tc>
      </w:tr>
    </w:tbl>
    <w:p w:rsidR="00B520B6" w:rsidRPr="00B520B6" w:rsidRDefault="00B520B6" w:rsidP="00B520B6">
      <w:pPr>
        <w:spacing w:line="240" w:lineRule="auto"/>
        <w:jc w:val="both"/>
        <w:rPr>
          <w:rFonts w:asciiTheme="minorHAnsi" w:hAnsiTheme="minorHAnsi" w:cs="TimesNewRoman,Bold"/>
          <w:szCs w:val="22"/>
        </w:rPr>
      </w:pPr>
      <w:r w:rsidRPr="00B520B6">
        <w:rPr>
          <w:rFonts w:asciiTheme="minorHAnsi" w:hAnsiTheme="minorHAnsi" w:cs="TimesNewRoman,Bold"/>
          <w:szCs w:val="22"/>
        </w:rPr>
        <w:t xml:space="preserve">Zgodnie z załącznikiem nr 2 „Lista Wskaźników do wykonania celów pośrednich oraz końcowych” do Porozumienia nr DEF-Z/987/15 zawartego w dn. 11.06.2015 r. pomiędzy Województwem Dolnośląskim a Miastem Jelenia Góra pełniącym funkcję Instytucji Pośredniczącej (ze zm.), wskaźnik </w:t>
      </w:r>
      <w:r>
        <w:rPr>
          <w:rFonts w:asciiTheme="minorHAnsi" w:hAnsiTheme="minorHAnsi" w:cs="TimesNewRoman,Bold"/>
          <w:szCs w:val="22"/>
        </w:rPr>
        <w:t>rezultatu bezpośredniego</w:t>
      </w:r>
      <w:r w:rsidRPr="00B520B6">
        <w:rPr>
          <w:rFonts w:asciiTheme="minorHAnsi" w:hAnsiTheme="minorHAnsi" w:cs="TimesNewRoman,Bold"/>
          <w:szCs w:val="22"/>
        </w:rPr>
        <w:t xml:space="preserve"> weryfikowan</w:t>
      </w:r>
      <w:r>
        <w:rPr>
          <w:rFonts w:asciiTheme="minorHAnsi" w:hAnsiTheme="minorHAnsi" w:cs="TimesNewRoman,Bold"/>
          <w:szCs w:val="22"/>
        </w:rPr>
        <w:t>y</w:t>
      </w:r>
      <w:r w:rsidRPr="00B520B6">
        <w:rPr>
          <w:rFonts w:asciiTheme="minorHAnsi" w:hAnsiTheme="minorHAnsi" w:cs="TimesNewRoman,Bold"/>
          <w:szCs w:val="22"/>
        </w:rPr>
        <w:t xml:space="preserve"> na etapie oceny zgodności ze Strategią ZIT AJ </w:t>
      </w:r>
      <w:r>
        <w:rPr>
          <w:rFonts w:asciiTheme="minorHAnsi" w:hAnsiTheme="minorHAnsi" w:cs="TimesNewRoman,Bold"/>
          <w:szCs w:val="22"/>
        </w:rPr>
        <w:t>jest tożsamy</w:t>
      </w:r>
      <w:r w:rsidRPr="00B520B6">
        <w:rPr>
          <w:rFonts w:asciiTheme="minorHAnsi" w:hAnsiTheme="minorHAnsi" w:cs="TimesNewRoman,Bold"/>
          <w:szCs w:val="22"/>
        </w:rPr>
        <w:t xml:space="preserve"> </w:t>
      </w:r>
      <w:r>
        <w:rPr>
          <w:rFonts w:asciiTheme="minorHAnsi" w:hAnsiTheme="minorHAnsi" w:cs="TimesNewRoman,Bold"/>
          <w:szCs w:val="22"/>
        </w:rPr>
        <w:br/>
      </w:r>
      <w:r w:rsidRPr="00B520B6">
        <w:rPr>
          <w:rFonts w:asciiTheme="minorHAnsi" w:hAnsiTheme="minorHAnsi" w:cs="TimesNewRoman,Bold"/>
          <w:szCs w:val="22"/>
        </w:rPr>
        <w:t>z wyżej wskazanym</w:t>
      </w:r>
      <w:r>
        <w:rPr>
          <w:rFonts w:asciiTheme="minorHAnsi" w:hAnsiTheme="minorHAnsi" w:cs="TimesNewRoman,Bold"/>
          <w:szCs w:val="22"/>
        </w:rPr>
        <w:t xml:space="preserve"> wskaźnikiem</w:t>
      </w:r>
      <w:r w:rsidRPr="00B520B6">
        <w:rPr>
          <w:rFonts w:asciiTheme="minorHAnsi" w:hAnsiTheme="minorHAnsi" w:cs="TimesNewRoman,Bold"/>
          <w:szCs w:val="22"/>
        </w:rPr>
        <w:t xml:space="preserve"> tj.: </w:t>
      </w:r>
    </w:p>
    <w:p w:rsidR="00335935" w:rsidRPr="00B520B6" w:rsidRDefault="00B520B6" w:rsidP="00B520B6">
      <w:pPr>
        <w:pStyle w:val="Akapitzlist"/>
        <w:numPr>
          <w:ilvl w:val="0"/>
          <w:numId w:val="12"/>
        </w:numPr>
        <w:autoSpaceDE w:val="0"/>
        <w:autoSpaceDN w:val="0"/>
        <w:adjustRightInd w:val="0"/>
        <w:spacing w:before="120" w:after="120" w:line="240" w:lineRule="auto"/>
        <w:jc w:val="both"/>
        <w:rPr>
          <w:rFonts w:asciiTheme="minorHAnsi" w:eastAsiaTheme="minorHAnsi" w:hAnsiTheme="minorHAnsi" w:cs="Arial"/>
          <w:szCs w:val="22"/>
          <w:lang w:eastAsia="en-US"/>
        </w:rPr>
      </w:pPr>
      <w:r w:rsidRPr="00B520B6">
        <w:rPr>
          <w:rFonts w:asciiTheme="minorHAnsi" w:hAnsiTheme="minorHAnsi"/>
        </w:rPr>
        <w:t>„</w:t>
      </w:r>
      <w:r w:rsidR="00894618" w:rsidRPr="00B520B6">
        <w:rPr>
          <w:rFonts w:asciiTheme="minorHAnsi" w:hAnsiTheme="minorHAnsi"/>
        </w:rPr>
        <w:t>Redukcja emisji gazów cieplarnianych: szacowany roczny spadek emisji gazów cieplarnianych (CI 34)</w:t>
      </w:r>
      <w:r w:rsidRPr="00B520B6">
        <w:rPr>
          <w:rFonts w:asciiTheme="minorHAnsi" w:hAnsiTheme="minorHAnsi"/>
        </w:rPr>
        <w:t>”</w:t>
      </w: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lastRenderedPageBreak/>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FC" w:rsidRDefault="005D16FC" w:rsidP="008C495E">
      <w:pPr>
        <w:spacing w:before="0" w:line="240" w:lineRule="auto"/>
      </w:pPr>
      <w:r>
        <w:separator/>
      </w:r>
    </w:p>
  </w:endnote>
  <w:endnote w:type="continuationSeparator" w:id="0">
    <w:p w:rsidR="005D16FC" w:rsidRDefault="005D16FC"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F7385B">
          <w:rPr>
            <w:noProof/>
          </w:rPr>
          <w:t>9</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F7385B">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FC" w:rsidRDefault="005D16FC" w:rsidP="008C495E">
      <w:pPr>
        <w:spacing w:before="0" w:line="240" w:lineRule="auto"/>
      </w:pPr>
      <w:r>
        <w:separator/>
      </w:r>
    </w:p>
  </w:footnote>
  <w:footnote w:type="continuationSeparator" w:id="0">
    <w:p w:rsidR="005D16FC" w:rsidRDefault="005D16FC"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726E278C" wp14:editId="06F00985">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 xml:space="preserve">Załącznik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RPDS.03.04.0</w:t>
    </w:r>
    <w:r w:rsidR="00600E11">
      <w:rPr>
        <w:rFonts w:asciiTheme="minorHAnsi" w:hAnsiTheme="minorHAnsi"/>
        <w:sz w:val="16"/>
        <w:szCs w:val="16"/>
      </w:rPr>
      <w:t>3</w:t>
    </w:r>
    <w:r w:rsidR="00641C1D" w:rsidRPr="00641C1D">
      <w:rPr>
        <w:rFonts w:asciiTheme="minorHAnsi" w:hAnsiTheme="minorHAnsi"/>
        <w:sz w:val="16"/>
        <w:szCs w:val="16"/>
      </w:rPr>
      <w:t>-IZ.00-02-1</w:t>
    </w:r>
    <w:r w:rsidR="00600E11">
      <w:rPr>
        <w:rFonts w:asciiTheme="minorHAnsi" w:hAnsiTheme="minorHAnsi"/>
        <w:sz w:val="16"/>
        <w:szCs w:val="16"/>
      </w:rPr>
      <w:t>30</w:t>
    </w:r>
    <w:r w:rsidR="00641C1D" w:rsidRPr="00641C1D">
      <w:rPr>
        <w:rFonts w:asciiTheme="minorHAnsi" w:hAnsiTheme="minorHAnsi"/>
        <w:sz w:val="16"/>
        <w:szCs w:val="16"/>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5DF3FB7"/>
    <w:multiLevelType w:val="hybridMultilevel"/>
    <w:tmpl w:val="B4EEA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2DF4E2D"/>
    <w:multiLevelType w:val="hybridMultilevel"/>
    <w:tmpl w:val="CB34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EAB5A0D"/>
    <w:multiLevelType w:val="hybridMultilevel"/>
    <w:tmpl w:val="48C62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1"/>
  </w:num>
  <w:num w:numId="8">
    <w:abstractNumId w:val="10"/>
  </w:num>
  <w:num w:numId="9">
    <w:abstractNumId w:val="6"/>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3344"/>
    <w:rsid w:val="000253C7"/>
    <w:rsid w:val="0002798D"/>
    <w:rsid w:val="000734DA"/>
    <w:rsid w:val="00094C3F"/>
    <w:rsid w:val="000972D6"/>
    <w:rsid w:val="000B05C7"/>
    <w:rsid w:val="000C0A4C"/>
    <w:rsid w:val="000D655E"/>
    <w:rsid w:val="000F2F7C"/>
    <w:rsid w:val="000F5C98"/>
    <w:rsid w:val="00141571"/>
    <w:rsid w:val="001437C9"/>
    <w:rsid w:val="0015486C"/>
    <w:rsid w:val="00180073"/>
    <w:rsid w:val="00184A53"/>
    <w:rsid w:val="00191605"/>
    <w:rsid w:val="001C4F9E"/>
    <w:rsid w:val="00203A01"/>
    <w:rsid w:val="00217AF8"/>
    <w:rsid w:val="00222A42"/>
    <w:rsid w:val="00222CE8"/>
    <w:rsid w:val="002261A4"/>
    <w:rsid w:val="00237177"/>
    <w:rsid w:val="002408B0"/>
    <w:rsid w:val="00242C3F"/>
    <w:rsid w:val="00253FAA"/>
    <w:rsid w:val="002541CD"/>
    <w:rsid w:val="00266D58"/>
    <w:rsid w:val="002972E4"/>
    <w:rsid w:val="002A7F57"/>
    <w:rsid w:val="002B246A"/>
    <w:rsid w:val="002B5DA0"/>
    <w:rsid w:val="002D3B91"/>
    <w:rsid w:val="002D5507"/>
    <w:rsid w:val="002F271D"/>
    <w:rsid w:val="002F6273"/>
    <w:rsid w:val="00307535"/>
    <w:rsid w:val="003137D3"/>
    <w:rsid w:val="0032765F"/>
    <w:rsid w:val="00333303"/>
    <w:rsid w:val="00335935"/>
    <w:rsid w:val="00340A6B"/>
    <w:rsid w:val="00370466"/>
    <w:rsid w:val="00380861"/>
    <w:rsid w:val="00381C30"/>
    <w:rsid w:val="00396F3C"/>
    <w:rsid w:val="003A3F65"/>
    <w:rsid w:val="003A6137"/>
    <w:rsid w:val="003C55C7"/>
    <w:rsid w:val="003D2C3D"/>
    <w:rsid w:val="003D3BC5"/>
    <w:rsid w:val="003F12F2"/>
    <w:rsid w:val="003F6A6D"/>
    <w:rsid w:val="0041446A"/>
    <w:rsid w:val="00421C29"/>
    <w:rsid w:val="0044238B"/>
    <w:rsid w:val="00443051"/>
    <w:rsid w:val="0046263E"/>
    <w:rsid w:val="0046493A"/>
    <w:rsid w:val="004661B4"/>
    <w:rsid w:val="00471B0C"/>
    <w:rsid w:val="00476947"/>
    <w:rsid w:val="00485CDD"/>
    <w:rsid w:val="004A4E30"/>
    <w:rsid w:val="004B303A"/>
    <w:rsid w:val="004C4747"/>
    <w:rsid w:val="004D11E3"/>
    <w:rsid w:val="0050202F"/>
    <w:rsid w:val="005025FD"/>
    <w:rsid w:val="00506413"/>
    <w:rsid w:val="00516B06"/>
    <w:rsid w:val="00522930"/>
    <w:rsid w:val="00527017"/>
    <w:rsid w:val="00530E5D"/>
    <w:rsid w:val="00535E8F"/>
    <w:rsid w:val="00555321"/>
    <w:rsid w:val="005615C8"/>
    <w:rsid w:val="005657D8"/>
    <w:rsid w:val="00572667"/>
    <w:rsid w:val="005A1857"/>
    <w:rsid w:val="005C4D94"/>
    <w:rsid w:val="005D16FC"/>
    <w:rsid w:val="00600E11"/>
    <w:rsid w:val="0060140B"/>
    <w:rsid w:val="0061737E"/>
    <w:rsid w:val="00620A45"/>
    <w:rsid w:val="00620B41"/>
    <w:rsid w:val="00635DB0"/>
    <w:rsid w:val="00641C1D"/>
    <w:rsid w:val="0067179E"/>
    <w:rsid w:val="006724A8"/>
    <w:rsid w:val="00677786"/>
    <w:rsid w:val="006A09F0"/>
    <w:rsid w:val="006A2353"/>
    <w:rsid w:val="006B05A8"/>
    <w:rsid w:val="006C3827"/>
    <w:rsid w:val="006C652C"/>
    <w:rsid w:val="006D04C9"/>
    <w:rsid w:val="006D0B1C"/>
    <w:rsid w:val="00701E65"/>
    <w:rsid w:val="00704B1F"/>
    <w:rsid w:val="00710917"/>
    <w:rsid w:val="00726AC4"/>
    <w:rsid w:val="007300ED"/>
    <w:rsid w:val="00741B27"/>
    <w:rsid w:val="007475D6"/>
    <w:rsid w:val="007650AC"/>
    <w:rsid w:val="00770BD0"/>
    <w:rsid w:val="0077429D"/>
    <w:rsid w:val="00782324"/>
    <w:rsid w:val="00785C6B"/>
    <w:rsid w:val="00787387"/>
    <w:rsid w:val="007D1CF1"/>
    <w:rsid w:val="007D7DE7"/>
    <w:rsid w:val="007E025A"/>
    <w:rsid w:val="007E26CB"/>
    <w:rsid w:val="007E6D53"/>
    <w:rsid w:val="00831FC4"/>
    <w:rsid w:val="0083253A"/>
    <w:rsid w:val="008554A8"/>
    <w:rsid w:val="0085713F"/>
    <w:rsid w:val="008942AB"/>
    <w:rsid w:val="00894618"/>
    <w:rsid w:val="008A09D1"/>
    <w:rsid w:val="008A195C"/>
    <w:rsid w:val="008B21E1"/>
    <w:rsid w:val="008B4ACA"/>
    <w:rsid w:val="008B673D"/>
    <w:rsid w:val="008C495E"/>
    <w:rsid w:val="008E3F0D"/>
    <w:rsid w:val="008F0027"/>
    <w:rsid w:val="008F347B"/>
    <w:rsid w:val="009024D3"/>
    <w:rsid w:val="00911273"/>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22CE1"/>
    <w:rsid w:val="00A318E7"/>
    <w:rsid w:val="00A459F4"/>
    <w:rsid w:val="00A618E4"/>
    <w:rsid w:val="00A66C0C"/>
    <w:rsid w:val="00A7445E"/>
    <w:rsid w:val="00A804DB"/>
    <w:rsid w:val="00A80F60"/>
    <w:rsid w:val="00AA5509"/>
    <w:rsid w:val="00AB2F8F"/>
    <w:rsid w:val="00AD2437"/>
    <w:rsid w:val="00AF478C"/>
    <w:rsid w:val="00B11CFC"/>
    <w:rsid w:val="00B145AE"/>
    <w:rsid w:val="00B17F26"/>
    <w:rsid w:val="00B204DD"/>
    <w:rsid w:val="00B235B0"/>
    <w:rsid w:val="00B32BB7"/>
    <w:rsid w:val="00B37011"/>
    <w:rsid w:val="00B40F0F"/>
    <w:rsid w:val="00B520B6"/>
    <w:rsid w:val="00B61B7A"/>
    <w:rsid w:val="00B840A9"/>
    <w:rsid w:val="00BC03CE"/>
    <w:rsid w:val="00C0278F"/>
    <w:rsid w:val="00C02ABB"/>
    <w:rsid w:val="00C10532"/>
    <w:rsid w:val="00C40E8D"/>
    <w:rsid w:val="00C43453"/>
    <w:rsid w:val="00C645A3"/>
    <w:rsid w:val="00C720AA"/>
    <w:rsid w:val="00C90F5E"/>
    <w:rsid w:val="00C9174F"/>
    <w:rsid w:val="00C94E13"/>
    <w:rsid w:val="00C96A75"/>
    <w:rsid w:val="00CC7758"/>
    <w:rsid w:val="00CE1C16"/>
    <w:rsid w:val="00CF5466"/>
    <w:rsid w:val="00CF69D1"/>
    <w:rsid w:val="00D03CAB"/>
    <w:rsid w:val="00D11CB4"/>
    <w:rsid w:val="00D11E26"/>
    <w:rsid w:val="00D135E7"/>
    <w:rsid w:val="00D5098A"/>
    <w:rsid w:val="00D57D29"/>
    <w:rsid w:val="00D717F5"/>
    <w:rsid w:val="00D763BE"/>
    <w:rsid w:val="00D82B75"/>
    <w:rsid w:val="00D93881"/>
    <w:rsid w:val="00DB617A"/>
    <w:rsid w:val="00DC184F"/>
    <w:rsid w:val="00E0129B"/>
    <w:rsid w:val="00E05C43"/>
    <w:rsid w:val="00E232BD"/>
    <w:rsid w:val="00E32094"/>
    <w:rsid w:val="00E32822"/>
    <w:rsid w:val="00E32B6F"/>
    <w:rsid w:val="00E4616B"/>
    <w:rsid w:val="00E46E68"/>
    <w:rsid w:val="00E6017F"/>
    <w:rsid w:val="00E61834"/>
    <w:rsid w:val="00E72468"/>
    <w:rsid w:val="00E7566C"/>
    <w:rsid w:val="00E8519D"/>
    <w:rsid w:val="00E90CA0"/>
    <w:rsid w:val="00EA265F"/>
    <w:rsid w:val="00EB128C"/>
    <w:rsid w:val="00EF2F93"/>
    <w:rsid w:val="00F02218"/>
    <w:rsid w:val="00F11106"/>
    <w:rsid w:val="00F17083"/>
    <w:rsid w:val="00F47F78"/>
    <w:rsid w:val="00F56AFD"/>
    <w:rsid w:val="00F66AA4"/>
    <w:rsid w:val="00F72230"/>
    <w:rsid w:val="00F73362"/>
    <w:rsid w:val="00F7385B"/>
    <w:rsid w:val="00F80A4D"/>
    <w:rsid w:val="00FB1F2C"/>
    <w:rsid w:val="00FC6B1D"/>
    <w:rsid w:val="00FD40E1"/>
    <w:rsid w:val="00FD4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D45D-2B48-4735-A0D7-1F0CC58F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3830</Words>
  <Characters>22983</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51</cp:revision>
  <cp:lastPrinted>2016-03-21T15:01:00Z</cp:lastPrinted>
  <dcterms:created xsi:type="dcterms:W3CDTF">2016-04-14T13:15:00Z</dcterms:created>
  <dcterms:modified xsi:type="dcterms:W3CDTF">2016-05-25T11:36:00Z</dcterms:modified>
</cp:coreProperties>
</file>