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20FD8471" wp14:editId="38CEA750">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7D3AFA" w:rsidP="00E1750F">
      <w:pPr>
        <w:pStyle w:val="Gwka"/>
        <w:spacing w:before="120" w:line="240" w:lineRule="auto"/>
        <w:ind w:left="4963"/>
        <w:rPr>
          <w:sz w:val="24"/>
          <w:szCs w:val="24"/>
        </w:rPr>
      </w:pPr>
      <w:r w:rsidRPr="00B27059">
        <w:rPr>
          <w:sz w:val="24"/>
          <w:szCs w:val="24"/>
        </w:rPr>
        <w:t xml:space="preserve">Załącznik nr        do Uchwały nr </w:t>
      </w:r>
      <w:r w:rsidR="00E1750F" w:rsidRPr="00B27059">
        <w:rPr>
          <w:sz w:val="24"/>
          <w:szCs w:val="24"/>
        </w:rPr>
        <w:t xml:space="preserve">                                                                </w:t>
      </w:r>
      <w:r w:rsidR="00E1750F" w:rsidRPr="00B27059">
        <w:rPr>
          <w:sz w:val="24"/>
          <w:szCs w:val="24"/>
        </w:rPr>
        <w:br/>
        <w:t xml:space="preserve">Zarządu Województwa Dolnośląskiego                                               </w:t>
      </w:r>
    </w:p>
    <w:p w:rsidR="00E1750F" w:rsidRPr="00B27059" w:rsidRDefault="00E1750F" w:rsidP="00E1750F">
      <w:pPr>
        <w:pStyle w:val="Gwka"/>
        <w:spacing w:after="120" w:line="240" w:lineRule="auto"/>
        <w:ind w:left="4962"/>
        <w:rPr>
          <w:sz w:val="24"/>
          <w:szCs w:val="24"/>
        </w:rPr>
      </w:pPr>
      <w:r w:rsidRPr="00B27059">
        <w:rPr>
          <w:sz w:val="24"/>
          <w:szCs w:val="24"/>
        </w:rPr>
        <w:t>z dnia ....................................</w:t>
      </w:r>
    </w:p>
    <w:p w:rsidR="00E873C4" w:rsidRPr="00B27059" w:rsidRDefault="00E873C4" w:rsidP="00E1750F">
      <w:pPr>
        <w:pStyle w:val="Nagwek"/>
        <w:jc w:val="center"/>
      </w:pPr>
    </w:p>
    <w:p w:rsidR="00E873C4" w:rsidRPr="00B27059" w:rsidRDefault="00E873C4" w:rsidP="00480411">
      <w:pPr>
        <w:spacing w:line="240" w:lineRule="auto"/>
      </w:pPr>
    </w:p>
    <w:p w:rsidR="00E873C4" w:rsidRPr="00B27059" w:rsidRDefault="00E873C4" w:rsidP="00480411">
      <w:pPr>
        <w:pStyle w:val="Nagwek"/>
        <w:spacing w:before="120" w:after="120"/>
        <w:jc w:val="center"/>
        <w:rPr>
          <w:rFonts w:cs="Arial"/>
          <w:b/>
          <w:sz w:val="52"/>
          <w:szCs w:val="52"/>
          <w:u w:val="single"/>
        </w:rPr>
      </w:pPr>
      <w:r w:rsidRPr="00B27059">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DA4A3C" w:rsidRPr="00B27059" w:rsidRDefault="00DA4A3C"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E873C4" w:rsidRPr="00B27059" w:rsidRDefault="00E873C4" w:rsidP="00480411">
      <w:pPr>
        <w:pStyle w:val="Nagwek"/>
        <w:spacing w:before="120" w:after="120"/>
        <w:jc w:val="center"/>
        <w:rPr>
          <w:rFonts w:cs="Arial"/>
          <w:sz w:val="32"/>
          <w:szCs w:val="32"/>
        </w:rPr>
      </w:pPr>
    </w:p>
    <w:p w:rsidR="00E873C4" w:rsidRPr="00B27059" w:rsidRDefault="006A2DD1" w:rsidP="00480411">
      <w:pPr>
        <w:pStyle w:val="Nagwek"/>
        <w:spacing w:before="120" w:after="120"/>
        <w:jc w:val="center"/>
        <w:rPr>
          <w:rFonts w:cs="Arial"/>
          <w:b/>
          <w:sz w:val="32"/>
          <w:szCs w:val="32"/>
        </w:rPr>
      </w:pPr>
      <w:r w:rsidRPr="00B27059">
        <w:rPr>
          <w:rFonts w:cs="Arial"/>
          <w:b/>
          <w:sz w:val="32"/>
          <w:szCs w:val="32"/>
        </w:rPr>
        <w:t>Oś priorytetowa 4  Środowisko i zasoby</w:t>
      </w:r>
    </w:p>
    <w:p w:rsidR="00A74C6A" w:rsidRPr="00B27059" w:rsidRDefault="00A74C6A" w:rsidP="00480411">
      <w:pPr>
        <w:pStyle w:val="Nagwek"/>
        <w:spacing w:before="120" w:after="120"/>
        <w:jc w:val="center"/>
        <w:rPr>
          <w:rFonts w:cs="Arial"/>
          <w:b/>
          <w:sz w:val="32"/>
          <w:szCs w:val="32"/>
        </w:rPr>
      </w:pPr>
    </w:p>
    <w:p w:rsidR="00B72DBF" w:rsidRDefault="00B72DBF" w:rsidP="00B72DBF">
      <w:pPr>
        <w:pStyle w:val="Nagwek"/>
        <w:spacing w:before="120" w:after="120"/>
        <w:jc w:val="center"/>
        <w:rPr>
          <w:rFonts w:cs="Arial"/>
          <w:b/>
          <w:sz w:val="32"/>
          <w:szCs w:val="32"/>
          <w:u w:val="single"/>
        </w:rPr>
      </w:pPr>
    </w:p>
    <w:p w:rsidR="00B72DBF" w:rsidRDefault="00B72DBF" w:rsidP="00B72DBF">
      <w:pPr>
        <w:pStyle w:val="Nagwek"/>
        <w:spacing w:before="120" w:after="120"/>
        <w:jc w:val="center"/>
        <w:rPr>
          <w:rFonts w:cs="Arial"/>
          <w:b/>
          <w:sz w:val="36"/>
          <w:szCs w:val="36"/>
          <w:u w:val="single"/>
        </w:rPr>
      </w:pPr>
      <w:r w:rsidRPr="00B72DBF">
        <w:rPr>
          <w:rFonts w:cs="Arial"/>
          <w:b/>
          <w:sz w:val="36"/>
          <w:szCs w:val="36"/>
          <w:u w:val="single"/>
        </w:rPr>
        <w:t xml:space="preserve">Działanie </w:t>
      </w:r>
      <w:bookmarkStart w:id="0" w:name="_Toc422949625"/>
      <w:bookmarkStart w:id="1" w:name="_Toc430826812"/>
      <w:r w:rsidRPr="00B72DBF">
        <w:rPr>
          <w:rFonts w:cs="Arial"/>
          <w:b/>
          <w:sz w:val="36"/>
          <w:szCs w:val="36"/>
          <w:u w:val="single"/>
        </w:rPr>
        <w:t>4.3 Dziedzictwo kulturowe</w:t>
      </w:r>
    </w:p>
    <w:p w:rsidR="00B72DBF" w:rsidRPr="00B72DBF" w:rsidRDefault="00B72DBF" w:rsidP="00B72DBF">
      <w:pPr>
        <w:pStyle w:val="Nagwek"/>
        <w:spacing w:before="120" w:after="120"/>
        <w:jc w:val="center"/>
        <w:rPr>
          <w:rFonts w:cs="Arial"/>
          <w:b/>
          <w:sz w:val="36"/>
          <w:szCs w:val="36"/>
          <w:u w:val="single"/>
        </w:rPr>
      </w:pPr>
    </w:p>
    <w:p w:rsidR="00B72DBF" w:rsidRPr="00B72DBF" w:rsidRDefault="00B72DBF" w:rsidP="00B72DBF">
      <w:pPr>
        <w:pStyle w:val="Nagwek"/>
        <w:spacing w:before="120" w:after="120"/>
        <w:jc w:val="center"/>
        <w:rPr>
          <w:rFonts w:cs="Arial"/>
          <w:b/>
          <w:sz w:val="36"/>
          <w:szCs w:val="36"/>
        </w:rPr>
      </w:pPr>
      <w:r w:rsidRPr="00B72DBF">
        <w:rPr>
          <w:rFonts w:cs="Arial"/>
          <w:b/>
          <w:sz w:val="36"/>
          <w:szCs w:val="36"/>
        </w:rPr>
        <w:t xml:space="preserve">Poddziałanie 4.3.1 Dziedzictwo kulturowe – </w:t>
      </w:r>
      <w:r w:rsidRPr="00B72DBF">
        <w:rPr>
          <w:rFonts w:cs="Arial"/>
          <w:b/>
          <w:sz w:val="36"/>
          <w:szCs w:val="36"/>
        </w:rPr>
        <w:br/>
        <w:t>konkurs</w:t>
      </w:r>
      <w:r w:rsidR="00AD17E2">
        <w:rPr>
          <w:rFonts w:cs="Arial"/>
          <w:b/>
          <w:sz w:val="36"/>
          <w:szCs w:val="36"/>
        </w:rPr>
        <w:t>y</w:t>
      </w:r>
      <w:r w:rsidRPr="00B72DBF">
        <w:rPr>
          <w:rFonts w:cs="Arial"/>
          <w:b/>
          <w:sz w:val="36"/>
          <w:szCs w:val="36"/>
        </w:rPr>
        <w:t xml:space="preserve"> horyzontaln</w:t>
      </w:r>
      <w:r w:rsidR="00AD17E2">
        <w:rPr>
          <w:rFonts w:cs="Arial"/>
          <w:b/>
          <w:sz w:val="36"/>
          <w:szCs w:val="36"/>
        </w:rPr>
        <w:t>e</w:t>
      </w:r>
      <w:r w:rsidRPr="00B72DBF">
        <w:rPr>
          <w:rFonts w:cs="Arial"/>
          <w:b/>
          <w:sz w:val="36"/>
          <w:szCs w:val="36"/>
        </w:rPr>
        <w:t xml:space="preserve"> </w:t>
      </w:r>
    </w:p>
    <w:bookmarkEnd w:id="0"/>
    <w:bookmarkEnd w:id="1"/>
    <w:p w:rsidR="00B72DBF" w:rsidRDefault="00B72DBF" w:rsidP="00B72DBF">
      <w:pPr>
        <w:tabs>
          <w:tab w:val="left" w:pos="2835"/>
        </w:tabs>
      </w:pPr>
    </w:p>
    <w:p w:rsidR="00B72DBF" w:rsidRPr="00390D9C" w:rsidRDefault="00B72DBF" w:rsidP="00B72DBF">
      <w:pPr>
        <w:jc w:val="center"/>
        <w:rPr>
          <w:b/>
          <w:sz w:val="28"/>
          <w:szCs w:val="28"/>
        </w:rPr>
      </w:pPr>
      <w:r w:rsidRPr="00390D9C">
        <w:rPr>
          <w:b/>
          <w:sz w:val="28"/>
          <w:szCs w:val="28"/>
        </w:rPr>
        <w:t xml:space="preserve">Nr </w:t>
      </w:r>
      <w:r>
        <w:rPr>
          <w:b/>
          <w:sz w:val="28"/>
          <w:szCs w:val="28"/>
        </w:rPr>
        <w:t xml:space="preserve">naboru </w:t>
      </w:r>
      <w:r w:rsidRPr="00AD17E2">
        <w:rPr>
          <w:b/>
          <w:sz w:val="28"/>
          <w:szCs w:val="28"/>
        </w:rPr>
        <w:t>RPDS.04.03.01-IZ.00-02-</w:t>
      </w:r>
      <w:r w:rsidR="00AD17E2" w:rsidRPr="00AD17E2">
        <w:rPr>
          <w:b/>
          <w:sz w:val="28"/>
          <w:szCs w:val="28"/>
        </w:rPr>
        <w:t>112</w:t>
      </w:r>
      <w:r w:rsidRPr="00AD17E2">
        <w:rPr>
          <w:b/>
          <w:sz w:val="28"/>
          <w:szCs w:val="28"/>
        </w:rPr>
        <w:t>/1</w:t>
      </w:r>
      <w:r w:rsidR="00AD17E2" w:rsidRPr="00AD17E2">
        <w:rPr>
          <w:b/>
          <w:sz w:val="28"/>
          <w:szCs w:val="28"/>
        </w:rPr>
        <w:t>6</w:t>
      </w:r>
    </w:p>
    <w:p w:rsidR="00124CCA" w:rsidRPr="00B27059" w:rsidRDefault="00124CCA" w:rsidP="00480411">
      <w:pPr>
        <w:spacing w:line="240" w:lineRule="auto"/>
      </w:pPr>
    </w:p>
    <w:p w:rsidR="00936001" w:rsidRPr="00B27059" w:rsidRDefault="00936001" w:rsidP="00480411">
      <w:pPr>
        <w:spacing w:line="240" w:lineRule="auto"/>
        <w:jc w:val="center"/>
        <w:rPr>
          <w:sz w:val="28"/>
          <w:szCs w:val="28"/>
        </w:rPr>
      </w:pPr>
    </w:p>
    <w:p w:rsidR="00D0002D" w:rsidRPr="00B27059" w:rsidRDefault="00E873C4" w:rsidP="00480411">
      <w:pPr>
        <w:spacing w:line="240" w:lineRule="auto"/>
        <w:jc w:val="center"/>
        <w:rPr>
          <w:b/>
          <w:bCs/>
        </w:rPr>
      </w:pPr>
      <w:r w:rsidRPr="00B27059">
        <w:rPr>
          <w:sz w:val="28"/>
          <w:szCs w:val="28"/>
        </w:rPr>
        <w:t xml:space="preserve">Wrocław, </w:t>
      </w:r>
      <w:r w:rsidR="006A2DD1" w:rsidRPr="00B27059">
        <w:rPr>
          <w:sz w:val="28"/>
          <w:szCs w:val="28"/>
        </w:rPr>
        <w:t>kwiecień</w:t>
      </w:r>
      <w:r w:rsidR="009A0630" w:rsidRPr="00B27059">
        <w:rPr>
          <w:sz w:val="28"/>
          <w:szCs w:val="28"/>
        </w:rPr>
        <w:t xml:space="preserve"> 2016</w:t>
      </w:r>
    </w:p>
    <w:p w:rsidR="00480411" w:rsidRPr="00B27059" w:rsidRDefault="00480411" w:rsidP="00921011">
      <w:pPr>
        <w:spacing w:line="240" w:lineRule="auto"/>
        <w:ind w:right="1"/>
        <w:rPr>
          <w:b/>
          <w:bCs/>
        </w:rPr>
      </w:pPr>
    </w:p>
    <w:p w:rsidR="00A74C6A" w:rsidRPr="00B27059" w:rsidRDefault="00A74C6A" w:rsidP="00921011">
      <w:pPr>
        <w:spacing w:line="240" w:lineRule="auto"/>
        <w:ind w:right="1"/>
        <w:rPr>
          <w:b/>
          <w:bCs/>
        </w:rPr>
      </w:pPr>
    </w:p>
    <w:p w:rsidR="00582A00" w:rsidRPr="00B27059" w:rsidRDefault="00582A00" w:rsidP="00921011">
      <w:pPr>
        <w:spacing w:line="240" w:lineRule="auto"/>
        <w:ind w:right="1"/>
        <w:rPr>
          <w:b/>
          <w:bCs/>
        </w:rPr>
      </w:pPr>
    </w:p>
    <w:p w:rsidR="00E873C4" w:rsidRPr="00B27059" w:rsidRDefault="008F4AAF" w:rsidP="00480411">
      <w:pPr>
        <w:spacing w:line="240" w:lineRule="auto"/>
        <w:ind w:left="-142" w:right="1"/>
        <w:rPr>
          <w:sz w:val="28"/>
          <w:szCs w:val="28"/>
        </w:rPr>
      </w:pPr>
      <w:r w:rsidRPr="00B27059">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podmiot, o którym mowa w art. 2 pkt.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lastRenderedPageBreak/>
              <w:t>Uooś</w:t>
            </w:r>
            <w:proofErr w:type="spellEnd"/>
            <w:r w:rsidRPr="00B27059">
              <w:rPr>
                <w:rFonts w:ascii="Calibri" w:hAnsi="Calibri" w:cs="Calibri"/>
                <w:color w:val="000000"/>
              </w:rPr>
              <w:t xml:space="preserv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8E1123" w:rsidRPr="007F7945" w:rsidRDefault="005F764E" w:rsidP="008E1123">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27059">
              <w:rPr>
                <w:rFonts w:ascii="Calibri" w:eastAsia="Droid Sans Fallback" w:hAnsi="Calibri" w:cs="Calibri"/>
                <w:color w:val="00000A"/>
              </w:rPr>
              <w:t>Oś priorytetowa 4  Środowisko i zasoby,</w:t>
            </w:r>
            <w:r w:rsidRPr="00B27059">
              <w:rPr>
                <w:rFonts w:ascii="Calibri" w:eastAsia="Droid Sans Fallback" w:hAnsi="Calibri" w:cs="Calibri"/>
                <w:color w:val="00000A"/>
              </w:rPr>
              <w:t xml:space="preserve"> </w:t>
            </w:r>
            <w:r w:rsidR="008E1123" w:rsidRPr="007F7945">
              <w:rPr>
                <w:rFonts w:cs="Arial"/>
              </w:rPr>
              <w:t xml:space="preserve">Działania 4.3 Dziedzictwo kulturowe - Poddziałanie 4.3.1 </w:t>
            </w:r>
            <w:r w:rsidR="008E1123" w:rsidRPr="00382440">
              <w:rPr>
                <w:rFonts w:cs="Arial"/>
              </w:rPr>
              <w:t xml:space="preserve">Dziedzictwo kulturowe </w:t>
            </w:r>
            <w:r w:rsidR="008E1123">
              <w:rPr>
                <w:rFonts w:cs="Arial"/>
              </w:rPr>
              <w:t>– konkurs horyzontalny</w:t>
            </w:r>
            <w:r w:rsidR="008E1123" w:rsidRPr="007F7945">
              <w:rPr>
                <w:rFonts w:cs="Arial"/>
              </w:rPr>
              <w:t>.</w:t>
            </w:r>
          </w:p>
          <w:p w:rsidR="008E1123" w:rsidRDefault="008E1123" w:rsidP="008E1123">
            <w:pPr>
              <w:pStyle w:val="Nagwek"/>
              <w:spacing w:before="120" w:after="120"/>
              <w:jc w:val="both"/>
              <w:rPr>
                <w:rFonts w:cs="Calibri"/>
                <w:b/>
                <w:color w:val="000000"/>
                <w:u w:val="single"/>
              </w:rPr>
            </w:pPr>
            <w:r w:rsidRPr="008E1123">
              <w:rPr>
                <w:rFonts w:cs="Calibri"/>
                <w:b/>
                <w:color w:val="000000"/>
                <w:u w:val="single"/>
              </w:rPr>
              <w:t xml:space="preserve">Nabór w trybie konkursowym – </w:t>
            </w:r>
            <w:r w:rsidRPr="008E1123">
              <w:rPr>
                <w:rFonts w:ascii="Calibri" w:eastAsia="Times New Roman" w:hAnsi="Calibri" w:cs="Calibri"/>
                <w:b/>
                <w:color w:val="000000"/>
                <w:szCs w:val="20"/>
                <w:u w:val="single"/>
                <w:lang w:eastAsia="pl-PL"/>
              </w:rPr>
              <w:t xml:space="preserve">horyzontalny - </w:t>
            </w:r>
            <w:r w:rsidRPr="008E1123">
              <w:rPr>
                <w:rFonts w:cs="Calibri"/>
                <w:b/>
                <w:color w:val="000000"/>
                <w:u w:val="single"/>
              </w:rPr>
              <w:t xml:space="preserve"> dot. </w:t>
            </w:r>
            <w:r w:rsidR="00AD17E2">
              <w:rPr>
                <w:rFonts w:cs="Calibri"/>
                <w:b/>
                <w:color w:val="000000"/>
                <w:u w:val="single"/>
              </w:rPr>
              <w:t xml:space="preserve">wyłącznie </w:t>
            </w:r>
            <w:r w:rsidRPr="008E1123">
              <w:rPr>
                <w:rFonts w:cs="Calibri"/>
                <w:b/>
                <w:color w:val="000000"/>
                <w:u w:val="single"/>
              </w:rPr>
              <w:t>Instytucji kultury prowadzonych lub współprowadzonych przez S</w:t>
            </w:r>
            <w:r>
              <w:rPr>
                <w:rFonts w:cs="Calibri"/>
                <w:b/>
                <w:color w:val="000000"/>
                <w:u w:val="single"/>
              </w:rPr>
              <w:t xml:space="preserve">amorząd </w:t>
            </w:r>
            <w:r w:rsidRPr="008E1123">
              <w:rPr>
                <w:rFonts w:cs="Calibri"/>
                <w:b/>
                <w:color w:val="000000"/>
                <w:u w:val="single"/>
              </w:rPr>
              <w:t>W</w:t>
            </w:r>
            <w:r>
              <w:rPr>
                <w:rFonts w:cs="Calibri"/>
                <w:b/>
                <w:color w:val="000000"/>
                <w:u w:val="single"/>
              </w:rPr>
              <w:t xml:space="preserve">ojewództwa </w:t>
            </w:r>
            <w:r w:rsidRPr="008E1123">
              <w:rPr>
                <w:rFonts w:cs="Calibri"/>
                <w:b/>
                <w:color w:val="000000"/>
                <w:u w:val="single"/>
              </w:rPr>
              <w:t>D</w:t>
            </w:r>
            <w:r>
              <w:rPr>
                <w:rFonts w:cs="Calibri"/>
                <w:b/>
                <w:color w:val="000000"/>
                <w:u w:val="single"/>
              </w:rPr>
              <w:t>olnośląskiego</w:t>
            </w:r>
            <w:r w:rsidRPr="008E1123">
              <w:rPr>
                <w:rFonts w:cs="Calibri"/>
                <w:b/>
                <w:color w:val="000000"/>
                <w:u w:val="single"/>
              </w:rPr>
              <w:t>.</w:t>
            </w:r>
          </w:p>
          <w:p w:rsidR="008E1123" w:rsidRPr="008E1123" w:rsidRDefault="008E1123" w:rsidP="008E1123">
            <w:pPr>
              <w:pStyle w:val="Nagwek"/>
              <w:spacing w:before="120" w:after="120"/>
              <w:jc w:val="both"/>
              <w:rPr>
                <w:rFonts w:cs="Arial"/>
                <w:b/>
                <w:u w:val="single"/>
              </w:rPr>
            </w:pP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F764E">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Funkcję Instytucji Zarządzającej pełni Zarząd Województwa Dolnośląskiego. </w:t>
            </w:r>
          </w:p>
          <w:p w:rsidR="00424DF6" w:rsidRPr="00B27059" w:rsidRDefault="003B6C9D" w:rsidP="00480411">
            <w:pPr>
              <w:pStyle w:val="Akapitzlist"/>
              <w:spacing w:before="120" w:after="120" w:line="240" w:lineRule="auto"/>
              <w:ind w:left="0"/>
              <w:jc w:val="both"/>
              <w:rPr>
                <w:rFonts w:cs="Calibri"/>
                <w:color w:val="000000"/>
              </w:rPr>
            </w:pPr>
            <w:r w:rsidRPr="00B27059">
              <w:rPr>
                <w:rFonts w:asciiTheme="minorHAnsi" w:hAnsiTheme="minorHAnsi"/>
                <w:szCs w:val="22"/>
              </w:rPr>
              <w:t xml:space="preserve">Zadania związane z naborem realizuje Departament Funduszy Europejskich </w:t>
            </w:r>
            <w:r w:rsidR="002D184C" w:rsidRPr="00B27059">
              <w:rPr>
                <w:rFonts w:asciiTheme="minorHAnsi" w:hAnsiTheme="minorHAnsi"/>
                <w:szCs w:val="22"/>
              </w:rPr>
              <w:br/>
            </w:r>
            <w:r w:rsidRPr="00B27059">
              <w:rPr>
                <w:rFonts w:asciiTheme="minorHAnsi" w:hAnsiTheme="minorHAnsi"/>
                <w:szCs w:val="22"/>
              </w:rPr>
              <w:t>w Urzędzie Marszałkow</w:t>
            </w:r>
            <w:r w:rsidR="002D184C" w:rsidRPr="00B27059">
              <w:rPr>
                <w:rFonts w:asciiTheme="minorHAnsi" w:hAnsiTheme="minorHAnsi"/>
                <w:szCs w:val="22"/>
              </w:rPr>
              <w:t>skim Województwa Dolnośląskiego</w:t>
            </w:r>
            <w:r w:rsidR="00FD6EC7" w:rsidRPr="00B27059">
              <w:rPr>
                <w:rFonts w:asciiTheme="minorHAnsi" w:hAnsiTheme="minorHAnsi"/>
                <w:szCs w:val="22"/>
              </w:rPr>
              <w:t xml:space="preserve">, </w:t>
            </w:r>
            <w:r w:rsidR="00FD6EC7" w:rsidRPr="00B27059">
              <w:rPr>
                <w:rFonts w:asciiTheme="minorHAnsi" w:hAnsiTheme="minorHAnsi"/>
                <w:bCs/>
              </w:rPr>
              <w:t>ul. Mazowiecka 17, 50-412 Wrocław</w:t>
            </w:r>
            <w:r w:rsidRPr="00B27059">
              <w:rPr>
                <w:rFonts w:asciiTheme="minorHAnsi" w:hAnsiTheme="minorHAnsi"/>
                <w:szCs w:val="22"/>
              </w:rPr>
              <w:t xml:space="preserve">. </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9C532E" w:rsidRPr="00B27059"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B27059" w:rsidRDefault="00FD6EC7" w:rsidP="00480411">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Traktat o funkcjonowaniu Unii Europejskiej</w:t>
            </w:r>
            <w:r w:rsidR="00AC43B1" w:rsidRPr="00B27059">
              <w:rPr>
                <w:rFonts w:ascii="Calibri" w:hAnsi="Calibri"/>
                <w:color w:val="000000"/>
              </w:rPr>
              <w:t>;</w:t>
            </w:r>
            <w:r w:rsidRPr="00B27059">
              <w:rPr>
                <w:rFonts w:ascii="Calibri" w:hAnsi="Calibri"/>
                <w:color w:val="000000"/>
              </w:rPr>
              <w:t xml:space="preserve">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00D6748B" w:rsidRPr="00B27059">
              <w:rPr>
                <w:rFonts w:ascii="Calibri" w:hAnsi="Calibri"/>
                <w:color w:val="000000"/>
              </w:rPr>
              <w:br/>
            </w:r>
            <w:r w:rsidRPr="00B27059">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w:t>
            </w:r>
            <w:r w:rsidRPr="00B27059">
              <w:rPr>
                <w:rFonts w:ascii="Calibri" w:hAnsi="Calibri"/>
                <w:color w:val="000000"/>
              </w:rPr>
              <w:lastRenderedPageBreak/>
              <w:t xml:space="preserve">Europejskiego Funduszu Rozwoju Regionalnego, Europejskiego Funduszu Społecznego, Funduszu Spójności i Europejskiego Funduszu Morskiego </w:t>
            </w:r>
            <w:r w:rsidR="00D6748B" w:rsidRPr="00B27059">
              <w:rPr>
                <w:rFonts w:ascii="Calibri" w:hAnsi="Calibri"/>
                <w:color w:val="000000"/>
              </w:rPr>
              <w:br/>
            </w:r>
            <w:r w:rsidRPr="00B27059">
              <w:rPr>
                <w:rFonts w:ascii="Calibri" w:hAnsi="Calibri"/>
                <w:color w:val="000000"/>
              </w:rPr>
              <w:t>i Rybackiego oraz uchylające rozporządzenie Rady (WE) nr 1083/2006 (Dz. Urz. UE L 347 z 20.12.2013, str. 320) [Rozporządzenie ogólne];</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B27059">
              <w:rPr>
                <w:rFonts w:ascii="Calibri" w:hAnsi="Calibri"/>
                <w:color w:val="000000"/>
              </w:rPr>
              <w:br/>
            </w:r>
            <w:r w:rsidRPr="00B27059">
              <w:rPr>
                <w:rFonts w:ascii="Calibri" w:hAnsi="Calibri"/>
                <w:color w:val="000000"/>
              </w:rPr>
              <w:t>z 20.12.2013, str. 320);</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B27059">
              <w:rPr>
                <w:rFonts w:ascii="Calibri" w:hAnsi="Calibri"/>
                <w:color w:val="000000"/>
              </w:rPr>
              <w:br/>
            </w:r>
            <w:r w:rsidRPr="00B27059">
              <w:rPr>
                <w:rFonts w:ascii="Calibri" w:hAnsi="Calibri"/>
                <w:color w:val="000000"/>
              </w:rPr>
              <w:t xml:space="preserve">i końcowych na potrzeby ram wykonania oraz klasyfikacji kategorii interwencji w odniesieniu do europejskich funduszy strukturalnych </w:t>
            </w:r>
            <w:r w:rsidR="00D6748B" w:rsidRPr="00B27059">
              <w:rPr>
                <w:rFonts w:ascii="Calibri" w:hAnsi="Calibri"/>
                <w:color w:val="000000"/>
              </w:rPr>
              <w:br/>
            </w:r>
            <w:r w:rsidRPr="00B27059">
              <w:rPr>
                <w:rFonts w:ascii="Calibri" w:hAnsi="Calibri"/>
                <w:color w:val="000000"/>
              </w:rPr>
              <w:t xml:space="preserve">i inwestycyjnych; (Dz. Urz. UE L 69 z 08.03.2014, str. 65 ze zm.);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Komisji (UE) nr 1407/2013 z dnia 18 grudnia 2013 r. </w:t>
            </w:r>
            <w:r w:rsidR="00D6748B" w:rsidRPr="00B27059">
              <w:rPr>
                <w:rFonts w:ascii="Calibri" w:hAnsi="Calibri"/>
                <w:color w:val="000000"/>
              </w:rPr>
              <w:br/>
            </w:r>
            <w:r w:rsidRPr="00B27059">
              <w:rPr>
                <w:rFonts w:ascii="Calibri" w:hAnsi="Calibri"/>
                <w:color w:val="000000"/>
              </w:rP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8E1123" w:rsidRDefault="008E1123" w:rsidP="008E1123">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w:t>
            </w:r>
            <w:r w:rsidR="00B45E60">
              <w:rPr>
                <w:rFonts w:asciiTheme="minorHAnsi" w:eastAsiaTheme="minorHAnsi" w:hAnsiTheme="minorHAnsi" w:cs="Calibri"/>
                <w:color w:val="000000"/>
                <w:szCs w:val="22"/>
                <w:lang w:eastAsia="en-US"/>
              </w:rPr>
              <w:t>e</w:t>
            </w:r>
            <w:r w:rsidRPr="00151119">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9C532E"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B45E60" w:rsidRPr="00B45E60" w:rsidRDefault="00B45E60"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45E60">
              <w:rPr>
                <w:rFonts w:asciiTheme="minorHAnsi" w:hAnsiTheme="minorHAnsi"/>
              </w:rPr>
              <w:t xml:space="preserve">Rozporządzenie Ministra Infrastruktury i Rozwoju </w:t>
            </w:r>
            <w:r w:rsidRPr="00B45E60">
              <w:rPr>
                <w:rFonts w:asciiTheme="minorHAnsi" w:eastAsia="TimesNewRoman" w:hAnsiTheme="minorHAnsi" w:cs="TimesNewRoman"/>
              </w:rPr>
              <w:t xml:space="preserve">z dnia 28 sierpnia 2015 r. </w:t>
            </w:r>
            <w:r w:rsidRPr="00B45E60">
              <w:rPr>
                <w:rFonts w:asciiTheme="minorHAnsi" w:hAnsiTheme="minorHAnsi"/>
              </w:rPr>
              <w:t>w sprawie udzielania pomocy inwestycyjnej na kulturę i zachowanie dziedzictwa kulturowego w ramach regionalnych programów operacyjnych na lata 2014-2020;</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00D6748B" w:rsidRPr="00B27059">
              <w:rPr>
                <w:rFonts w:ascii="Calibri" w:hAnsi="Calibri"/>
                <w:color w:val="000000"/>
              </w:rPr>
              <w:br/>
            </w:r>
            <w:r w:rsidRPr="00B27059">
              <w:rPr>
                <w:rFonts w:ascii="Calibri" w:hAnsi="Calibri"/>
                <w:color w:val="000000"/>
              </w:rPr>
              <w:t>w zakresie polityki spójności finansowanych w perspektywie finansowej 2014–2020 (tekst jedn.: Dz. U. z 2016 r. poz. 217) [ustawa wdrożeniowa];</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1E6CC9" w:rsidRPr="00B27059" w:rsidRDefault="001E6CC9" w:rsidP="001E6CC9">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 xml:space="preserve">Ustawa z dnia 7 lipca 1994 r. Prawo budowlane (tekst jednolity: Dz.U. </w:t>
            </w:r>
            <w:r w:rsidRPr="00B27059">
              <w:rPr>
                <w:rFonts w:ascii="Calibri" w:hAnsi="Calibri"/>
                <w:color w:val="000000"/>
              </w:rPr>
              <w:lastRenderedPageBreak/>
              <w:t>2016 poz. 290);</w:t>
            </w:r>
          </w:p>
          <w:p w:rsidR="00151FBA"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151FBA"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00B80017" w:rsidRPr="00B27059">
              <w:rPr>
                <w:rFonts w:ascii="Calibri" w:hAnsi="Calibri"/>
                <w:color w:val="000000"/>
              </w:rPr>
              <w:br/>
            </w:r>
            <w:r w:rsidRPr="00B27059">
              <w:rPr>
                <w:rFonts w:ascii="Calibri" w:hAnsi="Calibri"/>
                <w:color w:val="000000"/>
              </w:rP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14 czerwca 1960 r. Kodeks postępowania administracyjnego (tekst jedn.: Dz. U. z 2016 r. poz. 23);</w:t>
            </w:r>
          </w:p>
          <w:p w:rsidR="009C532E"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30 sierpnia 2002 r. – Prawo o postępowaniu przed sądami </w:t>
            </w:r>
            <w:r w:rsidRPr="00B27059">
              <w:rPr>
                <w:rFonts w:asciiTheme="minorHAnsi" w:hAnsiTheme="minorHAnsi"/>
                <w:color w:val="000000"/>
                <w:szCs w:val="22"/>
              </w:rPr>
              <w:t xml:space="preserve">administracyjnymi (tekst. jedn.: Dz. U. z 2012 r. poz. 270, z </w:t>
            </w:r>
            <w:proofErr w:type="spellStart"/>
            <w:r w:rsidRPr="00B27059">
              <w:rPr>
                <w:rFonts w:asciiTheme="minorHAnsi" w:hAnsiTheme="minorHAnsi"/>
                <w:color w:val="000000"/>
                <w:szCs w:val="22"/>
              </w:rPr>
              <w:t>późn</w:t>
            </w:r>
            <w:proofErr w:type="spellEnd"/>
            <w:r w:rsidRPr="00B27059">
              <w:rPr>
                <w:rFonts w:asciiTheme="minorHAnsi" w:hAnsiTheme="minorHAnsi"/>
                <w:color w:val="000000"/>
                <w:szCs w:val="22"/>
              </w:rPr>
              <w:t>. zm.);</w:t>
            </w:r>
          </w:p>
          <w:p w:rsidR="008E1123" w:rsidRPr="00DF0941" w:rsidRDefault="008E1123" w:rsidP="008E1123">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 xml:space="preserve">Dz.U. 2003 Nr 162 poz. 1568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8E1123" w:rsidRPr="008E1123" w:rsidRDefault="008E1123" w:rsidP="008E1123">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B80017" w:rsidRPr="00B27059" w:rsidRDefault="00B80017" w:rsidP="00B80017">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Style w:val="h2"/>
                <w:rFonts w:asciiTheme="minorHAnsi" w:hAnsiTheme="minorHAnsi"/>
                <w:szCs w:val="22"/>
              </w:rPr>
              <w:t>Ustawa z dnia 16 kwietnia 2004 r. o ochronie przyrody</w:t>
            </w:r>
            <w:r w:rsidRPr="00B27059">
              <w:rPr>
                <w:rFonts w:asciiTheme="minorHAnsi" w:hAnsiTheme="minorHAnsi"/>
                <w:color w:val="000000"/>
                <w:szCs w:val="22"/>
              </w:rPr>
              <w:t xml:space="preserve"> (</w:t>
            </w:r>
            <w:r w:rsidRPr="00B27059">
              <w:rPr>
                <w:rFonts w:asciiTheme="minorHAnsi" w:eastAsiaTheme="minorHAnsi" w:hAnsiTheme="minorHAnsi"/>
                <w:color w:val="000000"/>
                <w:szCs w:val="22"/>
                <w:lang w:eastAsia="en-US"/>
              </w:rPr>
              <w:t xml:space="preserve"> tekst jedn. Dz. U. z 2015 r. poz. 1651, 1936).</w:t>
            </w:r>
          </w:p>
          <w:p w:rsidR="00151FBA" w:rsidRPr="00B27059" w:rsidRDefault="009C532E" w:rsidP="00151FB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Strategia Rozwoju Województwa Dolnośląskiego 2020;</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Regionalny Program Operacyjny Województwa Dolnośląskiego 2014-2020 przyjęty przez Komisję Europejską w dniu 18 grudnia 2014 r.;</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Szczegółowy opis osi priorytetowych Regionalnego Programu Operacyjnego Województwa Dolnośląskiego 2014-2020 z dnia 2</w:t>
            </w:r>
            <w:r w:rsidR="00992101" w:rsidRPr="00B27059">
              <w:rPr>
                <w:rFonts w:asciiTheme="minorHAnsi" w:hAnsiTheme="minorHAnsi"/>
                <w:color w:val="000000"/>
              </w:rPr>
              <w:t>5</w:t>
            </w:r>
            <w:r w:rsidRPr="00B27059">
              <w:rPr>
                <w:rFonts w:asciiTheme="minorHAnsi" w:hAnsiTheme="minorHAnsi"/>
                <w:color w:val="000000"/>
              </w:rPr>
              <w:t xml:space="preserve"> </w:t>
            </w:r>
            <w:r w:rsidR="00992101" w:rsidRPr="00B27059">
              <w:rPr>
                <w:rFonts w:asciiTheme="minorHAnsi" w:hAnsiTheme="minorHAnsi"/>
                <w:color w:val="000000"/>
              </w:rPr>
              <w:t>kwietnia</w:t>
            </w:r>
            <w:r w:rsidRPr="00B27059">
              <w:rPr>
                <w:rFonts w:asciiTheme="minorHAnsi" w:hAnsiTheme="minorHAnsi"/>
                <w:color w:val="000000"/>
              </w:rPr>
              <w:t xml:space="preserve"> 2016 r.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00B80017" w:rsidRPr="00B27059">
              <w:rPr>
                <w:rFonts w:ascii="Calibri" w:hAnsi="Calibri"/>
                <w:color w:val="000000"/>
              </w:rPr>
              <w:br/>
            </w:r>
            <w:r w:rsidRPr="00B27059">
              <w:rPr>
                <w:rFonts w:ascii="Calibri" w:hAnsi="Calibri"/>
                <w:color w:val="000000"/>
              </w:rPr>
              <w:t xml:space="preserve">z dnia 31 marca 2015 r., wydane przez Ministra Infrastruktury i Rozwoju;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B27059">
              <w:rPr>
                <w:rFonts w:ascii="Calibri" w:hAnsi="Calibri"/>
                <w:color w:val="000000"/>
              </w:rPr>
              <w:br/>
            </w:r>
            <w:r w:rsidRPr="00B27059">
              <w:rPr>
                <w:rFonts w:ascii="Calibri" w:hAnsi="Calibri"/>
                <w:color w:val="000000"/>
              </w:rPr>
              <w:t>i Rozwoju;</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00B80017" w:rsidRPr="00B27059">
              <w:rPr>
                <w:rFonts w:ascii="Calibri" w:hAnsi="Calibri"/>
                <w:color w:val="000000"/>
              </w:rPr>
              <w:br/>
            </w:r>
            <w:r w:rsidRPr="00B27059">
              <w:rPr>
                <w:rFonts w:ascii="Calibri" w:hAnsi="Calibri"/>
                <w:color w:val="000000"/>
              </w:rPr>
              <w:t>w postaci elektronicznej na lata 2014-2020” z dnia 3 marca 2015 r., wydane przez Ministra Infrastruktury i Rozwoju;</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w:t>
            </w:r>
            <w:r w:rsidRPr="00B27059">
              <w:rPr>
                <w:rFonts w:ascii="Calibri" w:hAnsi="Calibri"/>
                <w:color w:val="000000"/>
              </w:rPr>
              <w:lastRenderedPageBreak/>
              <w:t xml:space="preserve">polityki spójności na lata 2014-2020” z dnia 30 kwietnia 2015 r., wydane przez Ministra Infrastruktury i Rozwoju; </w:t>
            </w:r>
          </w:p>
          <w:p w:rsidR="009C532E" w:rsidRPr="00B27059"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B27059"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00B80017" w:rsidRPr="00B27059">
              <w:rPr>
                <w:rFonts w:ascii="Calibri" w:hAnsi="Calibri"/>
                <w:color w:val="000000"/>
              </w:rPr>
              <w:br/>
            </w:r>
            <w:r w:rsidRPr="00B27059">
              <w:rPr>
                <w:rFonts w:ascii="Calibri" w:hAnsi="Calibri"/>
                <w:color w:val="000000"/>
              </w:rPr>
              <w:t>i projektów hybrydowych na lata 2014-2020” z dnia 31 marca 2015 r., wydane przez Ministra Infrastruktury i Rozwoju.</w:t>
            </w:r>
          </w:p>
          <w:p w:rsidR="000C7233" w:rsidRPr="00B27059"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Przedmiot konkursu, w tym typy projektów podlegających dofinansowaniu: </w:t>
            </w:r>
          </w:p>
        </w:tc>
        <w:tc>
          <w:tcPr>
            <w:tcW w:w="7494" w:type="dxa"/>
          </w:tcPr>
          <w:p w:rsidR="00D219AD" w:rsidRPr="00151119"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Pr>
                <w:rFonts w:cs="Calibri"/>
                <w:color w:val="000000"/>
              </w:rPr>
              <w:t xml:space="preserve">jest </w:t>
            </w:r>
            <w:r w:rsidRPr="00151119">
              <w:rPr>
                <w:rFonts w:cs="Calibri"/>
                <w:color w:val="000000"/>
              </w:rPr>
              <w:t>typ projekt</w:t>
            </w:r>
            <w:r>
              <w:rPr>
                <w:rFonts w:cs="Calibri"/>
                <w:color w:val="000000"/>
              </w:rPr>
              <w:t>u</w:t>
            </w:r>
            <w:r w:rsidRPr="00151119">
              <w:rPr>
                <w:rFonts w:cs="Calibri"/>
                <w:color w:val="000000"/>
              </w:rPr>
              <w:t xml:space="preserve"> określon</w:t>
            </w:r>
            <w:r>
              <w:rPr>
                <w:rFonts w:cs="Calibri"/>
                <w:color w:val="000000"/>
              </w:rPr>
              <w:t>y</w:t>
            </w:r>
            <w:r w:rsidRPr="00151119">
              <w:rPr>
                <w:rFonts w:cs="Calibri"/>
                <w:color w:val="000000"/>
              </w:rPr>
              <w:t xml:space="preserve"> dla działania 4.3</w:t>
            </w:r>
            <w:r>
              <w:rPr>
                <w:rFonts w:cs="Calibri"/>
                <w:color w:val="000000"/>
              </w:rPr>
              <w:t>.B</w:t>
            </w:r>
            <w:r w:rsidRPr="00151119">
              <w:rPr>
                <w:rFonts w:cs="Calibri"/>
                <w:color w:val="000000"/>
              </w:rPr>
              <w:t xml:space="preserve"> Dziedzictwo kulturowe w osi priorytetowej 4 Środowisko i zasoby, tj.:</w:t>
            </w:r>
          </w:p>
          <w:p w:rsidR="00D219AD" w:rsidRPr="00151119" w:rsidRDefault="00D219AD" w:rsidP="00AD17E2">
            <w:pPr>
              <w:autoSpaceDE w:val="0"/>
              <w:autoSpaceDN w:val="0"/>
              <w:adjustRightInd w:val="0"/>
              <w:spacing w:after="0" w:line="240" w:lineRule="auto"/>
              <w:jc w:val="both"/>
              <w:rPr>
                <w:rFonts w:cs="Calibri"/>
                <w:color w:val="000000"/>
              </w:rPr>
            </w:pPr>
          </w:p>
          <w:p w:rsidR="00D219AD" w:rsidRPr="00151119" w:rsidRDefault="00D219AD" w:rsidP="00AD17E2">
            <w:pPr>
              <w:pStyle w:val="Poprawka"/>
              <w:numPr>
                <w:ilvl w:val="0"/>
                <w:numId w:val="24"/>
              </w:numPr>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D219AD" w:rsidRPr="00151119" w:rsidRDefault="00D219AD" w:rsidP="00AD17E2">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D219AD" w:rsidRPr="00151119" w:rsidRDefault="00D219AD" w:rsidP="00AD17E2">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D219AD" w:rsidRPr="00151119" w:rsidRDefault="00D219AD" w:rsidP="00AD17E2">
            <w:pPr>
              <w:numPr>
                <w:ilvl w:val="0"/>
                <w:numId w:val="4"/>
              </w:numPr>
              <w:spacing w:after="0" w:line="240" w:lineRule="auto"/>
              <w:jc w:val="both"/>
              <w:rPr>
                <w:rFonts w:cs="Arial"/>
              </w:rPr>
            </w:pPr>
            <w:r w:rsidRPr="00151119">
              <w:rPr>
                <w:rFonts w:cs="Arial"/>
              </w:rPr>
              <w:t>oprogramowania komputerowe ułatwiające wewnętrzne zarządzanie w instytucji.</w:t>
            </w:r>
          </w:p>
          <w:p w:rsidR="00D219AD" w:rsidRPr="00151119" w:rsidRDefault="00D219AD" w:rsidP="00AD17E2">
            <w:pPr>
              <w:spacing w:after="0" w:line="240" w:lineRule="auto"/>
              <w:jc w:val="both"/>
              <w:rPr>
                <w:rFonts w:cs="Calibri"/>
                <w:color w:val="000000"/>
              </w:rPr>
            </w:pPr>
          </w:p>
          <w:p w:rsidR="00D219AD" w:rsidRPr="00151119" w:rsidRDefault="00D219AD" w:rsidP="00AD17E2">
            <w:pPr>
              <w:autoSpaceDE w:val="0"/>
              <w:autoSpaceDN w:val="0"/>
              <w:adjustRightInd w:val="0"/>
              <w:spacing w:line="240" w:lineRule="auto"/>
              <w:rPr>
                <w:rFonts w:cs="Arial"/>
                <w:b/>
              </w:rPr>
            </w:pPr>
            <w:r w:rsidRPr="00151119">
              <w:rPr>
                <w:rFonts w:cs="Arial"/>
                <w:b/>
              </w:rPr>
              <w:t>Nie będą finansowane:</w:t>
            </w:r>
          </w:p>
          <w:p w:rsidR="00D219AD" w:rsidRPr="00151119" w:rsidRDefault="00D219AD" w:rsidP="00AD17E2">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D219AD" w:rsidRPr="00151119" w:rsidRDefault="00D219AD" w:rsidP="00AD17E2">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D219AD" w:rsidRDefault="00D219AD" w:rsidP="00AD17E2">
            <w:pPr>
              <w:pStyle w:val="Default"/>
              <w:jc w:val="both"/>
              <w:rPr>
                <w:rFonts w:asciiTheme="minorHAnsi" w:hAnsiTheme="minorHAnsi"/>
                <w:sz w:val="22"/>
                <w:szCs w:val="22"/>
              </w:rPr>
            </w:pPr>
          </w:p>
          <w:p w:rsidR="00D219AD" w:rsidRPr="00151119" w:rsidRDefault="00D219AD" w:rsidP="00AD17E2">
            <w:pPr>
              <w:autoSpaceDE w:val="0"/>
              <w:autoSpaceDN w:val="0"/>
              <w:adjustRightInd w:val="0"/>
              <w:spacing w:after="0" w:line="240" w:lineRule="auto"/>
              <w:jc w:val="both"/>
              <w:rPr>
                <w:rFonts w:cs="Arial"/>
                <w:b/>
              </w:rPr>
            </w:pPr>
          </w:p>
          <w:p w:rsidR="00D219AD" w:rsidRPr="00151119" w:rsidRDefault="00D219AD" w:rsidP="00AD17E2">
            <w:pPr>
              <w:autoSpaceDE w:val="0"/>
              <w:autoSpaceDN w:val="0"/>
              <w:adjustRightInd w:val="0"/>
              <w:spacing w:after="0" w:line="240" w:lineRule="auto"/>
              <w:jc w:val="both"/>
              <w:rPr>
                <w:rFonts w:cs="Arial"/>
                <w:b/>
              </w:rPr>
            </w:pPr>
            <w:r w:rsidRPr="00151119">
              <w:rPr>
                <w:rFonts w:cs="Arial"/>
                <w:b/>
              </w:rPr>
              <w:t>Podział interwencji pomiędzy RPO WD a PO </w:t>
            </w:r>
            <w:proofErr w:type="spellStart"/>
            <w:r w:rsidRPr="00151119">
              <w:rPr>
                <w:rFonts w:cs="Arial"/>
                <w:b/>
              </w:rPr>
              <w:t>IiŚ</w:t>
            </w:r>
            <w:proofErr w:type="spellEnd"/>
            <w:r w:rsidRPr="00151119">
              <w:rPr>
                <w:rFonts w:cs="Arial"/>
                <w:b/>
              </w:rPr>
              <w:t>:</w:t>
            </w:r>
          </w:p>
          <w:p w:rsidR="00D219AD" w:rsidRDefault="00D219AD" w:rsidP="00AD17E2">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Pr="00540EE1">
              <w:rPr>
                <w:rFonts w:cs="Arial"/>
                <w:b/>
                <w:u w:val="single"/>
              </w:rPr>
              <w:t>nie</w:t>
            </w:r>
            <w:r w:rsidRPr="00540EE1">
              <w:rPr>
                <w:rFonts w:cs="Arial"/>
                <w:u w:val="single"/>
              </w:rPr>
              <w:t xml:space="preserve"> </w:t>
            </w:r>
            <w:r w:rsidRPr="00540EE1">
              <w:rPr>
                <w:rFonts w:cs="Arial"/>
                <w:b/>
                <w:u w:val="single"/>
              </w:rPr>
              <w:t>mogą ubiegać się o dofinansowanie w ramach RPO WD.</w:t>
            </w:r>
            <w:r w:rsidRPr="00151119">
              <w:rPr>
                <w:rFonts w:cs="Arial"/>
              </w:rPr>
              <w:t xml:space="preserve"> </w:t>
            </w:r>
          </w:p>
          <w:p w:rsidR="00D219AD" w:rsidRPr="00151119" w:rsidRDefault="00D219AD" w:rsidP="00AD17E2">
            <w:pPr>
              <w:autoSpaceDE w:val="0"/>
              <w:autoSpaceDN w:val="0"/>
              <w:adjustRightInd w:val="0"/>
              <w:spacing w:after="0" w:line="240" w:lineRule="auto"/>
              <w:jc w:val="both"/>
              <w:rPr>
                <w:rFonts w:cs="Arial"/>
              </w:rPr>
            </w:pPr>
          </w:p>
          <w:p w:rsidR="00D219AD" w:rsidRDefault="00D219AD" w:rsidP="00AD17E2">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D219AD" w:rsidRDefault="00D219AD" w:rsidP="00AD17E2">
            <w:pPr>
              <w:spacing w:after="0" w:line="240" w:lineRule="auto"/>
              <w:jc w:val="both"/>
              <w:rPr>
                <w:rFonts w:cs="Arial"/>
              </w:rPr>
            </w:pPr>
          </w:p>
          <w:p w:rsidR="00D219AD" w:rsidRPr="00151119" w:rsidRDefault="00D219AD" w:rsidP="00AD17E2">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D219AD" w:rsidRPr="00151119" w:rsidRDefault="00D219AD" w:rsidP="00AD17E2">
            <w:pPr>
              <w:spacing w:after="0" w:line="240" w:lineRule="auto"/>
              <w:jc w:val="both"/>
              <w:rPr>
                <w:rFonts w:cs="Arial"/>
              </w:rPr>
            </w:pPr>
          </w:p>
          <w:p w:rsidR="00D219AD" w:rsidRPr="00151119" w:rsidRDefault="00D219AD" w:rsidP="00AD17E2">
            <w:pPr>
              <w:spacing w:after="0" w:line="240" w:lineRule="auto"/>
              <w:jc w:val="both"/>
              <w:rPr>
                <w:rFonts w:cs="Arial"/>
              </w:rPr>
            </w:pPr>
            <w:r w:rsidRPr="00151119">
              <w:rPr>
                <w:rFonts w:cs="Arial"/>
              </w:rPr>
              <w:t xml:space="preserve">II. W odniesieniu do jednostek samorządu terytorialnego, samorządowych instytucji kultury, organizacji pozarządowych, kościołów i związków </w:t>
            </w:r>
            <w:r w:rsidRPr="00151119">
              <w:rPr>
                <w:rFonts w:cs="Arial"/>
              </w:rPr>
              <w:lastRenderedPageBreak/>
              <w:t>wyznaniowych, podmiotów zarządzających obiektami indywidualnie wpisanymi na Listę UNESCO, realizujących projekty w poniżej wskazanym zakresie:</w:t>
            </w:r>
          </w:p>
          <w:p w:rsidR="00D219AD" w:rsidRPr="00151119" w:rsidRDefault="00D219AD" w:rsidP="00AD17E2">
            <w:pPr>
              <w:spacing w:after="0" w:line="240" w:lineRule="auto"/>
              <w:jc w:val="both"/>
              <w:rPr>
                <w:rFonts w:cs="Arial"/>
              </w:rPr>
            </w:pPr>
          </w:p>
          <w:p w:rsidR="00D219AD" w:rsidRPr="00151119" w:rsidRDefault="00D219AD" w:rsidP="00AD17E2">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D219AD" w:rsidRPr="00151119" w:rsidRDefault="00D219AD" w:rsidP="00AD17E2">
            <w:pPr>
              <w:spacing w:after="0" w:line="240" w:lineRule="auto"/>
              <w:jc w:val="both"/>
              <w:rPr>
                <w:rFonts w:cs="Arial"/>
              </w:rPr>
            </w:pPr>
            <w:r w:rsidRPr="00151119">
              <w:rPr>
                <w:rFonts w:cs="Arial"/>
              </w:rPr>
              <w:t>2) projekty mieszczące się w zakresie obszarów tematycznych:</w:t>
            </w:r>
          </w:p>
          <w:p w:rsidR="00D219AD" w:rsidRPr="00151119" w:rsidRDefault="00D219AD" w:rsidP="00AD17E2">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D219AD" w:rsidRPr="00151119" w:rsidRDefault="00D219AD" w:rsidP="00AD17E2">
            <w:pPr>
              <w:numPr>
                <w:ilvl w:val="0"/>
                <w:numId w:val="7"/>
              </w:numPr>
              <w:spacing w:after="0" w:line="240" w:lineRule="auto"/>
              <w:jc w:val="both"/>
              <w:rPr>
                <w:rFonts w:cs="Arial"/>
              </w:rPr>
            </w:pPr>
            <w:r w:rsidRPr="00151119">
              <w:rPr>
                <w:rFonts w:cs="Arial"/>
              </w:rPr>
              <w:t>projekty dotyczące rozwoju czytelnictwa w miastach wojewódzkich;</w:t>
            </w:r>
          </w:p>
          <w:p w:rsidR="00D219AD" w:rsidRPr="00151119" w:rsidRDefault="00D219AD" w:rsidP="00AD17E2">
            <w:pPr>
              <w:numPr>
                <w:ilvl w:val="0"/>
                <w:numId w:val="7"/>
              </w:numPr>
              <w:spacing w:after="0" w:line="240" w:lineRule="auto"/>
              <w:jc w:val="both"/>
              <w:rPr>
                <w:rFonts w:cs="Arial"/>
              </w:rPr>
            </w:pPr>
            <w:r w:rsidRPr="00151119">
              <w:rPr>
                <w:rFonts w:cs="Arial"/>
              </w:rPr>
              <w:t>projekty dotyczące rozwoju sztuki współczesnej w miastach wojewódzkich;</w:t>
            </w:r>
          </w:p>
          <w:p w:rsidR="00D219AD" w:rsidRPr="00151119" w:rsidRDefault="00D219AD" w:rsidP="00AD17E2">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D219AD" w:rsidRPr="00151119" w:rsidRDefault="00D219AD" w:rsidP="00AD17E2">
            <w:pPr>
              <w:spacing w:after="0" w:line="240" w:lineRule="auto"/>
              <w:jc w:val="both"/>
              <w:rPr>
                <w:rFonts w:cs="Arial"/>
              </w:rPr>
            </w:pPr>
            <w:r w:rsidRPr="00151119">
              <w:rPr>
                <w:rFonts w:cs="Arial"/>
              </w:rPr>
              <w:t>3) projekty wynikające z Kontraktów Terytorialnych.</w:t>
            </w:r>
          </w:p>
          <w:p w:rsidR="00D219AD" w:rsidRPr="00151119" w:rsidRDefault="00D219AD" w:rsidP="00AD17E2">
            <w:pPr>
              <w:spacing w:after="0" w:line="240" w:lineRule="auto"/>
              <w:jc w:val="both"/>
              <w:rPr>
                <w:rFonts w:cs="Arial"/>
              </w:rPr>
            </w:pPr>
          </w:p>
          <w:p w:rsidR="00D219AD" w:rsidRPr="00151119" w:rsidRDefault="00D219AD" w:rsidP="00AD17E2">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D219AD" w:rsidRPr="00151119" w:rsidRDefault="00D219AD" w:rsidP="00AD17E2">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D219AD" w:rsidRPr="00151119" w:rsidRDefault="00D219AD" w:rsidP="00AD17E2">
            <w:pPr>
              <w:autoSpaceDE w:val="0"/>
              <w:autoSpaceDN w:val="0"/>
              <w:adjustRightInd w:val="0"/>
              <w:spacing w:after="0" w:line="240" w:lineRule="auto"/>
              <w:jc w:val="both"/>
              <w:rPr>
                <w:rFonts w:cs="Arial"/>
                <w:b/>
              </w:rPr>
            </w:pPr>
          </w:p>
          <w:p w:rsidR="00D219AD" w:rsidRPr="00151119" w:rsidRDefault="00D219AD" w:rsidP="00AD17E2">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D219AD" w:rsidRPr="00151119" w:rsidRDefault="00D219AD" w:rsidP="00AD17E2">
            <w:pPr>
              <w:spacing w:after="0" w:line="240" w:lineRule="auto"/>
              <w:jc w:val="both"/>
              <w:rPr>
                <w:rFonts w:cs="Arial"/>
              </w:rPr>
            </w:pPr>
            <w:r w:rsidRPr="00151119">
              <w:rPr>
                <w:rFonts w:cs="Arial"/>
              </w:rPr>
              <w:t>- projekty beneficjentów wskazanych w pkt II, ale o innym zakresie niż stanowi pkt II,</w:t>
            </w:r>
          </w:p>
          <w:p w:rsidR="00D219AD" w:rsidRDefault="00D219AD" w:rsidP="00AD17E2">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beneficjentów (niewymienionych w pkt I </w:t>
            </w:r>
            <w:proofErr w:type="spellStart"/>
            <w:r w:rsidRPr="00151119">
              <w:rPr>
                <w:rFonts w:cs="Arial"/>
              </w:rPr>
              <w:t>i</w:t>
            </w:r>
            <w:proofErr w:type="spellEnd"/>
            <w:r w:rsidRPr="00151119">
              <w:rPr>
                <w:rFonts w:cs="Arial"/>
              </w:rPr>
              <w:t xml:space="preserve"> II).</w:t>
            </w:r>
          </w:p>
          <w:p w:rsidR="00D219AD" w:rsidRDefault="00D219AD" w:rsidP="00AD17E2">
            <w:pPr>
              <w:autoSpaceDE w:val="0"/>
              <w:autoSpaceDN w:val="0"/>
              <w:adjustRightInd w:val="0"/>
              <w:spacing w:after="0" w:line="240" w:lineRule="auto"/>
              <w:jc w:val="both"/>
              <w:rPr>
                <w:rFonts w:cs="Arial"/>
              </w:rPr>
            </w:pPr>
          </w:p>
          <w:p w:rsidR="00D219AD" w:rsidRPr="002368A3" w:rsidRDefault="00D219AD" w:rsidP="00AD17E2">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Pr="00151119"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D219AD" w:rsidRPr="00791DB1" w:rsidRDefault="00D219AD" w:rsidP="00AD17E2">
            <w:pPr>
              <w:pStyle w:val="Akapitzlist"/>
              <w:numPr>
                <w:ilvl w:val="0"/>
                <w:numId w:val="6"/>
              </w:numPr>
              <w:spacing w:before="0" w:line="240" w:lineRule="auto"/>
              <w:contextualSpacing/>
              <w:jc w:val="both"/>
              <w:rPr>
                <w:rFonts w:asciiTheme="minorHAnsi" w:eastAsia="TTE1ABE920t00" w:hAnsiTheme="minorHAnsi" w:cs="Arial"/>
                <w:szCs w:val="22"/>
              </w:rPr>
            </w:pPr>
            <w:r>
              <w:rPr>
                <w:rFonts w:asciiTheme="minorHAnsi" w:hAnsiTheme="minorHAnsi" w:cs="Arial"/>
                <w:szCs w:val="22"/>
              </w:rPr>
              <w:t xml:space="preserve">samorządowe instytucje kultury - </w:t>
            </w:r>
            <w:r w:rsidRPr="00791DB1">
              <w:rPr>
                <w:rFonts w:asciiTheme="minorHAnsi" w:hAnsiTheme="minorHAnsi" w:cs="Arial"/>
                <w:szCs w:val="22"/>
              </w:rPr>
              <w:t xml:space="preserve">prowadzone </w:t>
            </w:r>
            <w:r>
              <w:rPr>
                <w:rFonts w:asciiTheme="minorHAnsi" w:hAnsiTheme="minorHAnsi" w:cs="Arial"/>
                <w:szCs w:val="22"/>
              </w:rPr>
              <w:t>lub współprowadzone przez Samorząd Województwa Dolnośląskiego</w:t>
            </w:r>
            <w:r w:rsidRPr="00791DB1">
              <w:rPr>
                <w:rFonts w:asciiTheme="minorHAnsi" w:hAnsiTheme="minorHAnsi" w:cs="Arial"/>
                <w:szCs w:val="22"/>
              </w:rPr>
              <w:t>.</w:t>
            </w:r>
          </w:p>
          <w:p w:rsidR="00D219AD" w:rsidRPr="00151119" w:rsidRDefault="00D219AD" w:rsidP="00AD17E2">
            <w:pPr>
              <w:pStyle w:val="Akapitzlist"/>
              <w:spacing w:before="0" w:line="240" w:lineRule="auto"/>
              <w:ind w:left="360"/>
              <w:contextualSpacing/>
              <w:jc w:val="both"/>
              <w:rPr>
                <w:rFonts w:asciiTheme="minorHAnsi" w:eastAsia="TTE1ABE920t00"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 xml:space="preserve">w konkursie: </w:t>
            </w:r>
          </w:p>
          <w:p w:rsidR="00AA0A4C" w:rsidRPr="00B27059" w:rsidRDefault="00AA0A4C" w:rsidP="00480411">
            <w:pPr>
              <w:pStyle w:val="Default"/>
              <w:rPr>
                <w:rFonts w:asciiTheme="minorHAnsi" w:hAnsiTheme="minorHAnsi"/>
                <w:sz w:val="22"/>
                <w:szCs w:val="22"/>
              </w:rPr>
            </w:pPr>
          </w:p>
          <w:p w:rsidR="00984533" w:rsidRPr="00B27059" w:rsidRDefault="00984533" w:rsidP="00B64FEB">
            <w:pPr>
              <w:autoSpaceDE w:val="0"/>
              <w:autoSpaceDN w:val="0"/>
              <w:adjustRightInd w:val="0"/>
              <w:spacing w:after="0" w:line="240" w:lineRule="auto"/>
              <w:rPr>
                <w:rFonts w:cs="Calibri"/>
                <w:b/>
                <w:bCs/>
                <w:color w:val="000000"/>
              </w:rPr>
            </w:pPr>
          </w:p>
        </w:tc>
        <w:tc>
          <w:tcPr>
            <w:tcW w:w="7494" w:type="dxa"/>
          </w:tcPr>
          <w:p w:rsidR="00984533" w:rsidRPr="00B27059" w:rsidRDefault="00D125BA" w:rsidP="00CA6EA5">
            <w:pPr>
              <w:autoSpaceDE w:val="0"/>
              <w:autoSpaceDN w:val="0"/>
              <w:adjustRightInd w:val="0"/>
              <w:spacing w:after="0" w:line="240" w:lineRule="auto"/>
              <w:jc w:val="both"/>
              <w:rPr>
                <w:rFonts w:cs="Calibri"/>
                <w:color w:val="000000"/>
              </w:rPr>
            </w:pPr>
            <w:r w:rsidRPr="00B27059">
              <w:rPr>
                <w:rFonts w:ascii="Calibri" w:eastAsia="Droid Sans Fallback" w:hAnsi="Calibri" w:cs="Calibri"/>
                <w:color w:val="00000A"/>
              </w:rPr>
              <w:t>A</w:t>
            </w:r>
            <w:r w:rsidR="00CA6EA5" w:rsidRPr="00B27059">
              <w:rPr>
                <w:rFonts w:ascii="Calibri" w:eastAsia="Droid Sans Fallback" w:hAnsi="Calibri" w:cs="Calibri"/>
                <w:color w:val="00000A"/>
              </w:rPr>
              <w:t xml:space="preserve">lokacja przeznaczona na konkurs wynosi </w:t>
            </w:r>
            <w:r w:rsidR="00D219AD">
              <w:rPr>
                <w:rFonts w:cs="Calibri"/>
                <w:b/>
                <w:color w:val="000000"/>
              </w:rPr>
              <w:t>2</w:t>
            </w:r>
            <w:r w:rsidR="00D219AD" w:rsidRPr="00151119">
              <w:rPr>
                <w:rFonts w:cs="Calibri"/>
                <w:b/>
                <w:color w:val="000000"/>
              </w:rPr>
              <w:t xml:space="preserve"> 08</w:t>
            </w:r>
            <w:r w:rsidR="00D219AD">
              <w:rPr>
                <w:rFonts w:cs="Calibri"/>
                <w:b/>
                <w:color w:val="000000"/>
              </w:rPr>
              <w:t>6 800</w:t>
            </w:r>
            <w:r w:rsidR="00D219AD" w:rsidRPr="00151119">
              <w:rPr>
                <w:rFonts w:cs="Calibri"/>
                <w:b/>
                <w:color w:val="000000"/>
              </w:rPr>
              <w:t xml:space="preserve"> Euro</w:t>
            </w:r>
            <w:r w:rsidR="00CA6EA5" w:rsidRPr="00B27059">
              <w:rPr>
                <w:rFonts w:ascii="Calibri" w:eastAsia="Droid Sans Fallback" w:hAnsi="Calibri" w:cs="Calibri"/>
                <w:b/>
                <w:color w:val="00000A"/>
              </w:rPr>
              <w:t xml:space="preserve">, tj. </w:t>
            </w:r>
            <w:r w:rsidR="00D219AD">
              <w:rPr>
                <w:rFonts w:ascii="Calibri" w:eastAsia="Droid Sans Fallback" w:hAnsi="Calibri" w:cs="Calibri"/>
                <w:b/>
                <w:color w:val="00000A"/>
              </w:rPr>
              <w:t>8</w:t>
            </w:r>
            <w:r w:rsidR="0098538F" w:rsidRPr="00B27059">
              <w:rPr>
                <w:rFonts w:ascii="Calibri" w:eastAsia="Droid Sans Fallback" w:hAnsi="Calibri" w:cs="Calibri"/>
                <w:b/>
                <w:color w:val="00000A"/>
              </w:rPr>
              <w:t> 8</w:t>
            </w:r>
            <w:r w:rsidR="00D219AD">
              <w:rPr>
                <w:rFonts w:ascii="Calibri" w:eastAsia="Droid Sans Fallback" w:hAnsi="Calibri" w:cs="Calibri"/>
                <w:b/>
                <w:color w:val="00000A"/>
              </w:rPr>
              <w:t>76</w:t>
            </w:r>
            <w:r w:rsidR="0098538F" w:rsidRPr="00B27059">
              <w:rPr>
                <w:rFonts w:ascii="Calibri" w:eastAsia="Droid Sans Fallback" w:hAnsi="Calibri" w:cs="Calibri"/>
                <w:b/>
                <w:color w:val="00000A"/>
              </w:rPr>
              <w:t xml:space="preserve"> </w:t>
            </w:r>
            <w:r w:rsidR="00D219AD">
              <w:rPr>
                <w:rFonts w:ascii="Calibri" w:eastAsia="Droid Sans Fallback" w:hAnsi="Calibri" w:cs="Calibri"/>
                <w:b/>
                <w:color w:val="00000A"/>
              </w:rPr>
              <w:t>830</w:t>
            </w:r>
            <w:r w:rsidR="00516363" w:rsidRPr="00B27059">
              <w:rPr>
                <w:rFonts w:ascii="Calibri" w:eastAsia="Droid Sans Fallback" w:hAnsi="Calibri" w:cs="Calibri"/>
                <w:b/>
                <w:color w:val="00000A"/>
              </w:rPr>
              <w:t xml:space="preserve"> </w:t>
            </w:r>
            <w:r w:rsidR="00643AB6" w:rsidRPr="00B27059">
              <w:rPr>
                <w:rFonts w:ascii="Calibri" w:eastAsia="Droid Sans Fallback" w:hAnsi="Calibri" w:cs="Calibri"/>
                <w:b/>
                <w:color w:val="00000A"/>
              </w:rPr>
              <w:t>PLN</w:t>
            </w:r>
          </w:p>
          <w:p w:rsidR="00CA6EA5" w:rsidRPr="00B27059" w:rsidRDefault="00CA6EA5" w:rsidP="00480411">
            <w:pPr>
              <w:autoSpaceDE w:val="0"/>
              <w:autoSpaceDN w:val="0"/>
              <w:adjustRightInd w:val="0"/>
              <w:spacing w:after="0" w:line="240" w:lineRule="auto"/>
              <w:jc w:val="both"/>
              <w:rPr>
                <w:rFonts w:cs="Calibri"/>
                <w:color w:val="000000"/>
              </w:rPr>
            </w:pPr>
          </w:p>
          <w:p w:rsidR="00984533" w:rsidRPr="00B27059" w:rsidRDefault="00984533" w:rsidP="00480411">
            <w:pPr>
              <w:autoSpaceDE w:val="0"/>
              <w:autoSpaceDN w:val="0"/>
              <w:adjustRightInd w:val="0"/>
              <w:spacing w:after="0" w:line="240" w:lineRule="auto"/>
              <w:jc w:val="both"/>
              <w:rPr>
                <w:rFonts w:cs="MS Sans Serif"/>
              </w:rPr>
            </w:pPr>
            <w:r w:rsidRPr="00B27059">
              <w:rPr>
                <w:rFonts w:cs="MS Sans Serif"/>
              </w:rPr>
              <w:t xml:space="preserve">Alokacja przeliczona po kursie Europejskiego Banku Centralnego (EBC) obowiązującym w </w:t>
            </w:r>
            <w:r w:rsidR="00643AB6" w:rsidRPr="00B27059">
              <w:rPr>
                <w:rFonts w:cs="MS Sans Serif"/>
              </w:rPr>
              <w:t>kwietniu</w:t>
            </w:r>
            <w:r w:rsidR="007A3277" w:rsidRPr="00B27059">
              <w:rPr>
                <w:rFonts w:cs="MS Sans Serif"/>
              </w:rPr>
              <w:t xml:space="preserve"> 2016 </w:t>
            </w:r>
            <w:r w:rsidRPr="00B27059">
              <w:rPr>
                <w:rFonts w:cs="MS Sans Serif"/>
              </w:rPr>
              <w:t xml:space="preserve"> r., 1 euro = </w:t>
            </w:r>
            <w:r w:rsidR="00643AB6" w:rsidRPr="00B27059">
              <w:rPr>
                <w:rFonts w:cs="MS Sans Serif"/>
              </w:rPr>
              <w:t>4,2538</w:t>
            </w:r>
            <w:r w:rsidR="00CA6245" w:rsidRPr="00B27059">
              <w:rPr>
                <w:rFonts w:cs="MS Sans Serif"/>
              </w:rPr>
              <w:t xml:space="preserve"> </w:t>
            </w:r>
            <w:r w:rsidR="00643AB6" w:rsidRPr="00B27059">
              <w:rPr>
                <w:rFonts w:cs="MS Sans Serif"/>
              </w:rPr>
              <w:t>PLN</w:t>
            </w:r>
            <w:r w:rsidRPr="00B27059">
              <w:rPr>
                <w:rFonts w:cs="MS Sans Serif"/>
              </w:rPr>
              <w:t xml:space="preserve">. </w:t>
            </w:r>
          </w:p>
          <w:p w:rsidR="00984533" w:rsidRPr="00B27059" w:rsidRDefault="00984533" w:rsidP="00480411">
            <w:pPr>
              <w:autoSpaceDE w:val="0"/>
              <w:autoSpaceDN w:val="0"/>
              <w:adjustRightInd w:val="0"/>
              <w:spacing w:after="0" w:line="240" w:lineRule="auto"/>
              <w:jc w:val="both"/>
              <w:rPr>
                <w:rFonts w:cs="MS Sans Serif"/>
              </w:rPr>
            </w:pPr>
          </w:p>
          <w:p w:rsidR="00984533" w:rsidRPr="00B27059" w:rsidRDefault="00984533" w:rsidP="00480411">
            <w:pPr>
              <w:spacing w:after="0" w:line="240" w:lineRule="auto"/>
              <w:jc w:val="both"/>
            </w:pPr>
            <w:r w:rsidRPr="00B27059">
              <w:t xml:space="preserve">Ze względu na kurs euro limit dostępnych środków może ulec zmianie. Z tego </w:t>
            </w:r>
            <w:r w:rsidRPr="00B27059">
              <w:lastRenderedPageBreak/>
              <w:t xml:space="preserve">powodu dokładna kwota dofinansowania zostanie określona na etapie </w:t>
            </w:r>
            <w:r w:rsidR="005E776A" w:rsidRPr="00B27059">
              <w:t>zatwierdz</w:t>
            </w:r>
            <w:r w:rsidR="004D105B">
              <w:t>ania Listy ocenionych projektów</w:t>
            </w:r>
            <w:r w:rsidR="00CB5165" w:rsidRPr="00B27059">
              <w:t>.</w:t>
            </w:r>
          </w:p>
          <w:p w:rsidR="00984533" w:rsidRPr="00B27059" w:rsidRDefault="00984533" w:rsidP="00480411">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wydatków kwalifikowalnych 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b/>
                <w:bCs/>
                <w:color w:val="000000"/>
              </w:rPr>
            </w:pPr>
            <w:r w:rsidRPr="00B27059">
              <w:rPr>
                <w:rFonts w:cs="Calibri"/>
                <w:b/>
                <w:bCs/>
                <w:color w:val="000000"/>
              </w:rPr>
              <w:t>8.</w:t>
            </w:r>
          </w:p>
        </w:tc>
        <w:tc>
          <w:tcPr>
            <w:tcW w:w="2268" w:type="dxa"/>
          </w:tcPr>
          <w:p w:rsidR="00D219AD" w:rsidRPr="00B27059" w:rsidRDefault="00D219AD" w:rsidP="00480411">
            <w:pPr>
              <w:pStyle w:val="Default"/>
              <w:rPr>
                <w:rFonts w:asciiTheme="minorHAnsi" w:hAnsiTheme="minorHAnsi"/>
                <w:b/>
                <w:bCs/>
                <w:sz w:val="22"/>
                <w:szCs w:val="22"/>
              </w:rPr>
            </w:pPr>
            <w:r w:rsidRPr="00B27059">
              <w:rPr>
                <w:rFonts w:asciiTheme="minorHAnsi" w:hAnsiTheme="minorHAnsi"/>
                <w:b/>
                <w:bCs/>
                <w:sz w:val="22"/>
                <w:szCs w:val="22"/>
              </w:rPr>
              <w:t>Maksymalna wartość projektu:</w:t>
            </w:r>
          </w:p>
        </w:tc>
        <w:tc>
          <w:tcPr>
            <w:tcW w:w="7494" w:type="dxa"/>
          </w:tcPr>
          <w:p w:rsidR="00D219AD" w:rsidRDefault="00D219AD" w:rsidP="00AD17E2">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D219AD" w:rsidRDefault="00D219AD" w:rsidP="00AD17E2">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D219AD" w:rsidRDefault="00D219AD" w:rsidP="00AD17E2">
            <w:pPr>
              <w:autoSpaceDE w:val="0"/>
              <w:autoSpaceDN w:val="0"/>
              <w:adjustRightInd w:val="0"/>
              <w:spacing w:after="0" w:line="240" w:lineRule="auto"/>
              <w:jc w:val="both"/>
              <w:rPr>
                <w:rFonts w:cs="Arial"/>
              </w:rPr>
            </w:pPr>
          </w:p>
          <w:p w:rsidR="00D219AD" w:rsidRPr="00AB5956" w:rsidRDefault="00D219AD" w:rsidP="00D219AD">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B27059">
              <w:rPr>
                <w:rFonts w:asciiTheme="minorHAnsi" w:hAnsiTheme="minorHAnsi"/>
                <w:b/>
                <w:bCs/>
                <w:color w:val="auto"/>
                <w:sz w:val="22"/>
                <w:szCs w:val="22"/>
              </w:rPr>
              <w:t xml:space="preserve">Pomoc publiczna </w:t>
            </w:r>
            <w:r w:rsidRPr="00B27059">
              <w:rPr>
                <w:rFonts w:asciiTheme="minorHAnsi" w:hAnsiTheme="minorHAnsi"/>
                <w:b/>
                <w:bCs/>
                <w:color w:val="auto"/>
                <w:sz w:val="22"/>
                <w:szCs w:val="22"/>
              </w:rPr>
              <w:br/>
              <w:t xml:space="preserve">i pomoc de </w:t>
            </w:r>
            <w:proofErr w:type="spellStart"/>
            <w:r w:rsidRPr="00B27059">
              <w:rPr>
                <w:rFonts w:asciiTheme="minorHAnsi" w:hAnsiTheme="minorHAnsi"/>
                <w:b/>
                <w:bCs/>
                <w:color w:val="auto"/>
                <w:sz w:val="22"/>
                <w:szCs w:val="22"/>
              </w:rPr>
              <w:t>minimis</w:t>
            </w:r>
            <w:proofErr w:type="spellEnd"/>
            <w:r w:rsidRPr="00B27059">
              <w:rPr>
                <w:rFonts w:asciiTheme="minorHAnsi" w:hAnsiTheme="minorHAnsi"/>
                <w:b/>
                <w:bCs/>
                <w:color w:val="auto"/>
                <w:sz w:val="22"/>
                <w:szCs w:val="22"/>
              </w:rPr>
              <w:t xml:space="preserve"> (rodzaj i przeznaczenie pomocy, unijna lub krajowa podstawa prawna):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263BF7" w:rsidRPr="00600EB8" w:rsidRDefault="00263BF7" w:rsidP="00B54C70">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263BF7" w:rsidRPr="00C22C74" w:rsidRDefault="00263BF7" w:rsidP="00B54C70">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63BF7" w:rsidRPr="00C22C74" w:rsidRDefault="00263BF7" w:rsidP="00B54C70">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263BF7" w:rsidRPr="00C22C74" w:rsidRDefault="00263BF7" w:rsidP="00B54C70">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263BF7" w:rsidRPr="00C22C74" w:rsidRDefault="00263BF7" w:rsidP="00B54C70">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263BF7" w:rsidRPr="00C22C74" w:rsidRDefault="00263BF7" w:rsidP="00B54C70">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263BF7" w:rsidRPr="00C22C74" w:rsidRDefault="00263BF7" w:rsidP="00B54C70">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263BF7" w:rsidRDefault="00263BF7" w:rsidP="00B54C70">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263BF7" w:rsidRPr="00600EB8" w:rsidRDefault="00263BF7" w:rsidP="00B54C70">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263BF7" w:rsidRDefault="00263BF7" w:rsidP="00B54C70">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263BF7" w:rsidRDefault="00263BF7" w:rsidP="00B54C70">
            <w:pPr>
              <w:spacing w:before="120" w:after="120" w:line="240" w:lineRule="auto"/>
              <w:jc w:val="both"/>
            </w:pPr>
            <w:r>
              <w:t xml:space="preserve">Wydatki dot. promocji projektu </w:t>
            </w:r>
            <w:r w:rsidR="00474BA2">
              <w:t>oraz wydatki osobowe</w:t>
            </w:r>
            <w:r w:rsidR="00B45E60">
              <w:t xml:space="preserve"> </w:t>
            </w:r>
            <w:r>
              <w:t xml:space="preserve">– tylko na podstawie przepisów dot. pomocy de </w:t>
            </w:r>
            <w:proofErr w:type="spellStart"/>
            <w:r>
              <w:t>minimis</w:t>
            </w:r>
            <w:proofErr w:type="spellEnd"/>
            <w:r>
              <w:t>.</w:t>
            </w:r>
          </w:p>
          <w:p w:rsidR="00263BF7" w:rsidRPr="00600EB8" w:rsidRDefault="00263BF7" w:rsidP="00263BF7">
            <w:pPr>
              <w:spacing w:before="120" w:after="120" w:line="240" w:lineRule="auto"/>
              <w:jc w:val="both"/>
            </w:pPr>
            <w:r>
              <w:t xml:space="preserve">Wydatki dot. dokumentacji przygotowawczej mogą być ponoszone zgodnie z ww. </w:t>
            </w:r>
            <w:r>
              <w:lastRenderedPageBreak/>
              <w:t xml:space="preserve">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r>
              <w:t xml:space="preserve"> (kwalifikowalne zgodnie z art. 53 GBER)</w:t>
            </w:r>
            <w:r w:rsidRPr="00600EB8">
              <w:t xml:space="preserve">. </w:t>
            </w:r>
          </w:p>
          <w:p w:rsidR="00263BF7" w:rsidRPr="005D6BBB" w:rsidRDefault="00263BF7" w:rsidP="00263BF7">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w:t>
            </w:r>
            <w:r w:rsidR="00EB0F74">
              <w:rPr>
                <w:rFonts w:cs="Arial"/>
              </w:rPr>
              <w:t xml:space="preserve"> GBER</w:t>
            </w:r>
            <w:r w:rsidRPr="005D6BBB">
              <w:rPr>
                <w:rFonts w:cs="Arial"/>
              </w:rPr>
              <w:t xml:space="preserve">, wówczas – na podstawie art. 6 ust. 5 lit. </w:t>
            </w:r>
            <w:r w:rsidR="00EB0F74" w:rsidRPr="005D6BBB">
              <w:rPr>
                <w:rFonts w:cs="Arial"/>
              </w:rPr>
              <w:t>H</w:t>
            </w:r>
            <w:r w:rsidR="00EB0F74">
              <w:rPr>
                <w:rFonts w:cs="Arial"/>
              </w:rPr>
              <w:t xml:space="preserve"> GBER</w:t>
            </w:r>
            <w:r w:rsidRPr="005D6BBB">
              <w:rPr>
                <w:rFonts w:cs="Arial"/>
              </w:rPr>
              <w:t xml:space="preserve"> – projekt jest zwolniony z wymogu złożenia wniosku przed rozpoczęciem prac. </w:t>
            </w:r>
          </w:p>
          <w:p w:rsidR="00263BF7" w:rsidRPr="005D6BBB" w:rsidRDefault="00263BF7" w:rsidP="00263BF7">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984533" w:rsidRPr="00B27059" w:rsidRDefault="00984533" w:rsidP="00480411">
            <w:pPr>
              <w:spacing w:before="40" w:after="40" w:line="240" w:lineRule="auto"/>
              <w:jc w:val="both"/>
              <w:rPr>
                <w:rFonts w:cs="Arial"/>
              </w:rPr>
            </w:pPr>
            <w:r w:rsidRPr="00B27059">
              <w:rPr>
                <w:rFonts w:cs="Arial"/>
              </w:rPr>
              <w:t xml:space="preserve">Nie ma możliwości stosowania uproszczonych form rozliczania wydatków. </w:t>
            </w:r>
          </w:p>
          <w:p w:rsidR="00984533" w:rsidRPr="00B27059" w:rsidRDefault="00984533" w:rsidP="00480411">
            <w:pPr>
              <w:spacing w:before="40" w:after="40" w:line="240" w:lineRule="auto"/>
              <w:jc w:val="both"/>
              <w:rPr>
                <w:rFonts w:cs="Arial"/>
              </w:rPr>
            </w:pPr>
            <w:r w:rsidRPr="00B27059">
              <w:rPr>
                <w:rFonts w:cs="Arial"/>
              </w:rPr>
              <w:t>Wysokość zaliczek:</w:t>
            </w:r>
          </w:p>
          <w:p w:rsidR="00984533" w:rsidRPr="00B27059" w:rsidRDefault="00984533" w:rsidP="00480411">
            <w:pPr>
              <w:tabs>
                <w:tab w:val="left" w:pos="459"/>
              </w:tabs>
              <w:spacing w:before="40" w:after="40" w:line="240" w:lineRule="auto"/>
              <w:jc w:val="both"/>
              <w:rPr>
                <w:rFonts w:cs="Arial"/>
              </w:rPr>
            </w:pPr>
            <w:r w:rsidRPr="00B27059">
              <w:rPr>
                <w:rFonts w:cs="Arial"/>
              </w:rPr>
              <w:t>1)</w:t>
            </w:r>
            <w:r w:rsidRPr="00B27059">
              <w:rPr>
                <w:rFonts w:cs="Arial"/>
              </w:rPr>
              <w:tab/>
              <w:t>do 40% przyznanej kwoty dofinansowania, wszyscy beneficjenci RPO WD otrzymujący dofinansowanie z EFRR, z zastrzeżeniem pkt. 2);</w:t>
            </w:r>
          </w:p>
          <w:p w:rsidR="00984533" w:rsidRPr="00B27059" w:rsidRDefault="00984533" w:rsidP="00480411">
            <w:pPr>
              <w:tabs>
                <w:tab w:val="left" w:pos="459"/>
              </w:tabs>
              <w:spacing w:before="40" w:after="40" w:line="240" w:lineRule="auto"/>
              <w:jc w:val="both"/>
              <w:rPr>
                <w:rFonts w:cs="Arial"/>
              </w:rPr>
            </w:pPr>
            <w:r w:rsidRPr="00B27059">
              <w:rPr>
                <w:rFonts w:cs="Arial"/>
              </w:rPr>
              <w:t>2)</w:t>
            </w:r>
            <w:r w:rsidRPr="00B27059">
              <w:rPr>
                <w:rFonts w:cs="Arial"/>
              </w:rPr>
              <w:tab/>
              <w:t xml:space="preserve">do 100% przyznanej kwoty dofinansowania w przypadku realizacji projektu przez: </w:t>
            </w:r>
          </w:p>
          <w:p w:rsidR="00984533" w:rsidRPr="00B27059"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B27059">
              <w:rPr>
                <w:rFonts w:asciiTheme="minorHAnsi" w:hAnsiTheme="minorHAnsi" w:cs="Arial"/>
              </w:rPr>
              <w:t>Województwo Dolnośląskie (dotyczy projektu własnego i realizacji zadania z zakresu administracji rządowej, określonego przepisami prawa),</w:t>
            </w:r>
          </w:p>
          <w:p w:rsidR="00984533" w:rsidRPr="00B27059" w:rsidRDefault="00984533" w:rsidP="00480411">
            <w:pPr>
              <w:pStyle w:val="Akapitzlist"/>
              <w:numPr>
                <w:ilvl w:val="0"/>
                <w:numId w:val="15"/>
              </w:numPr>
              <w:tabs>
                <w:tab w:val="left" w:pos="459"/>
              </w:tabs>
              <w:spacing w:before="40" w:after="40" w:line="240" w:lineRule="auto"/>
              <w:jc w:val="both"/>
              <w:rPr>
                <w:rFonts w:cs="Arial"/>
              </w:rPr>
            </w:pPr>
            <w:r w:rsidRPr="00B27059">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Pr="00B27059" w:rsidRDefault="00EF3AAC" w:rsidP="00BF00BE">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263BF7" w:rsidRPr="00151119">
              <w:t>Luka finansowa w projektach nieobjętych pomocą publiczną.</w:t>
            </w:r>
          </w:p>
          <w:p w:rsidR="002A7A36" w:rsidRPr="00B27059" w:rsidRDefault="002A7A36" w:rsidP="00502178">
            <w:pPr>
              <w:autoSpaceDE w:val="0"/>
              <w:autoSpaceDN w:val="0"/>
              <w:adjustRightInd w:val="0"/>
              <w:spacing w:after="0" w:line="240" w:lineRule="auto"/>
              <w:rPr>
                <w:rFonts w:cs="Calibri"/>
                <w:color w:val="000000"/>
              </w:rPr>
            </w:pP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263BF7" w:rsidRPr="00B27059" w:rsidRDefault="00263BF7" w:rsidP="0047715D">
            <w:pPr>
              <w:pStyle w:val="Default"/>
              <w:rPr>
                <w:rFonts w:asciiTheme="minorHAnsi" w:hAnsiTheme="minorHAnsi"/>
                <w:b/>
                <w:bCs/>
                <w:sz w:val="22"/>
                <w:szCs w:val="22"/>
              </w:rPr>
            </w:pPr>
            <w:r w:rsidRPr="00B27059">
              <w:rPr>
                <w:rFonts w:asciiTheme="minorHAnsi" w:hAnsiTheme="minorHAnsi"/>
                <w:b/>
                <w:bCs/>
                <w:sz w:val="22"/>
                <w:szCs w:val="22"/>
              </w:rPr>
              <w:t xml:space="preserve">Maksymalny dopuszczalny poziom dofinansowania projektu lub maksymalna dopuszczalna kwota do dofinansowania projektu: </w:t>
            </w:r>
          </w:p>
          <w:p w:rsidR="00263BF7" w:rsidRPr="00B27059" w:rsidRDefault="00263BF7" w:rsidP="0047715D">
            <w:pPr>
              <w:pStyle w:val="Default"/>
              <w:rPr>
                <w:rFonts w:asciiTheme="minorHAnsi" w:hAnsiTheme="minorHAnsi"/>
                <w:sz w:val="22"/>
                <w:szCs w:val="22"/>
              </w:rPr>
            </w:pPr>
          </w:p>
        </w:tc>
        <w:tc>
          <w:tcPr>
            <w:tcW w:w="7494" w:type="dxa"/>
          </w:tcPr>
          <w:p w:rsidR="00263BF7" w:rsidRPr="00263BF7" w:rsidRDefault="00263BF7" w:rsidP="00B54C70">
            <w:pPr>
              <w:pStyle w:val="Default"/>
              <w:jc w:val="both"/>
              <w:rPr>
                <w:color w:val="auto"/>
                <w:sz w:val="22"/>
                <w:szCs w:val="22"/>
              </w:rPr>
            </w:pPr>
            <w:r w:rsidRPr="00263BF7">
              <w:rPr>
                <w:color w:val="auto"/>
                <w:sz w:val="22"/>
                <w:szCs w:val="22"/>
              </w:rPr>
              <w:t xml:space="preserve">Dofinansowanie UE na poziomie projektu: </w:t>
            </w:r>
          </w:p>
          <w:p w:rsidR="00263BF7" w:rsidRPr="00263BF7" w:rsidRDefault="00263BF7" w:rsidP="00B54C70">
            <w:pPr>
              <w:pStyle w:val="Default"/>
              <w:jc w:val="both"/>
              <w:rPr>
                <w:color w:val="auto"/>
                <w:sz w:val="22"/>
                <w:szCs w:val="22"/>
              </w:rPr>
            </w:pPr>
          </w:p>
          <w:p w:rsidR="00263BF7" w:rsidRPr="00263BF7" w:rsidRDefault="00263BF7" w:rsidP="00B54C70">
            <w:pPr>
              <w:pStyle w:val="Default"/>
              <w:numPr>
                <w:ilvl w:val="0"/>
                <w:numId w:val="20"/>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263BF7" w:rsidRPr="00263BF7" w:rsidRDefault="00263BF7" w:rsidP="00B54C70">
            <w:pPr>
              <w:pStyle w:val="Default"/>
              <w:ind w:left="317" w:hanging="284"/>
              <w:rPr>
                <w:color w:val="auto"/>
                <w:sz w:val="22"/>
                <w:szCs w:val="22"/>
              </w:rPr>
            </w:pPr>
          </w:p>
          <w:p w:rsidR="00263BF7" w:rsidRPr="00263BF7" w:rsidRDefault="00263BF7" w:rsidP="00B54C70">
            <w:pPr>
              <w:pStyle w:val="Default"/>
              <w:numPr>
                <w:ilvl w:val="0"/>
                <w:numId w:val="20"/>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263BF7" w:rsidRPr="00263BF7" w:rsidRDefault="00263BF7" w:rsidP="00B54C70">
            <w:pPr>
              <w:pStyle w:val="Default"/>
              <w:ind w:left="317" w:hanging="284"/>
              <w:jc w:val="both"/>
              <w:rPr>
                <w:color w:val="auto"/>
                <w:sz w:val="22"/>
                <w:szCs w:val="22"/>
              </w:rPr>
            </w:pPr>
          </w:p>
          <w:p w:rsidR="00263BF7" w:rsidRPr="00263BF7" w:rsidRDefault="00263BF7" w:rsidP="00263BF7">
            <w:pPr>
              <w:pStyle w:val="Default"/>
              <w:numPr>
                <w:ilvl w:val="0"/>
                <w:numId w:val="48"/>
              </w:numPr>
              <w:ind w:left="600"/>
              <w:jc w:val="both"/>
              <w:rPr>
                <w:color w:val="auto"/>
                <w:sz w:val="22"/>
                <w:szCs w:val="22"/>
              </w:rPr>
            </w:pPr>
            <w:r w:rsidRPr="00263BF7">
              <w:rPr>
                <w:color w:val="auto"/>
                <w:sz w:val="22"/>
                <w:szCs w:val="22"/>
              </w:rPr>
              <w:t xml:space="preserve">kwota pomocy nie może przekroczyć różnicy pomiędzy kosztami kwalifikowalnymi a zyskiem operacyjnym z inwestycji – jednakże maksymalnie może wynosić 85% kosztów kwalifikowanych. Zysk operacyjny odlicza się od kosztów kwalifikowalnych ex </w:t>
            </w:r>
            <w:proofErr w:type="spellStart"/>
            <w:r w:rsidRPr="00263BF7">
              <w:rPr>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263BF7" w:rsidRPr="00263BF7" w:rsidRDefault="00263BF7" w:rsidP="00B54C70">
            <w:pPr>
              <w:pStyle w:val="Default"/>
              <w:ind w:left="600"/>
              <w:jc w:val="both"/>
              <w:rPr>
                <w:color w:val="auto"/>
                <w:sz w:val="22"/>
                <w:szCs w:val="22"/>
              </w:rPr>
            </w:pPr>
          </w:p>
          <w:p w:rsidR="00263BF7" w:rsidRPr="00263BF7" w:rsidRDefault="00263BF7" w:rsidP="00263BF7">
            <w:pPr>
              <w:pStyle w:val="Default"/>
              <w:numPr>
                <w:ilvl w:val="0"/>
                <w:numId w:val="48"/>
              </w:numPr>
              <w:ind w:left="600"/>
              <w:jc w:val="both"/>
              <w:rPr>
                <w:color w:val="auto"/>
                <w:sz w:val="22"/>
                <w:szCs w:val="22"/>
              </w:rPr>
            </w:pPr>
            <w:r w:rsidRPr="00263BF7">
              <w:rPr>
                <w:color w:val="auto"/>
                <w:sz w:val="22"/>
                <w:szCs w:val="22"/>
              </w:rPr>
              <w:lastRenderedPageBreak/>
              <w:t xml:space="preserve">w przypadku kwoty pomocy nieprzekraczającej równowartości 1 mln EUR – alternatywnie, w zależności od wybranej metody obliczania wartości pomocy wskazanej poniżej: </w:t>
            </w:r>
          </w:p>
          <w:p w:rsidR="00263BF7" w:rsidRPr="00263BF7" w:rsidRDefault="00263BF7" w:rsidP="00B54C70">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 xml:space="preserve">ex </w:t>
            </w:r>
            <w:proofErr w:type="spellStart"/>
            <w:r w:rsidRPr="00263BF7">
              <w:rPr>
                <w:i/>
                <w:iCs/>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263BF7" w:rsidRPr="00263BF7" w:rsidRDefault="00263BF7" w:rsidP="00B54C70">
            <w:pPr>
              <w:pStyle w:val="Default"/>
              <w:ind w:left="720"/>
              <w:jc w:val="both"/>
              <w:rPr>
                <w:b/>
                <w:color w:val="auto"/>
                <w:sz w:val="22"/>
                <w:szCs w:val="22"/>
              </w:rPr>
            </w:pPr>
            <w:r w:rsidRPr="00263BF7">
              <w:rPr>
                <w:b/>
                <w:color w:val="auto"/>
                <w:sz w:val="22"/>
                <w:szCs w:val="22"/>
              </w:rPr>
              <w:t>[lub:]</w:t>
            </w:r>
          </w:p>
          <w:p w:rsidR="00263BF7" w:rsidRPr="00263BF7" w:rsidRDefault="00263BF7" w:rsidP="00B54C70">
            <w:pPr>
              <w:pStyle w:val="Default"/>
              <w:ind w:left="1026"/>
              <w:jc w:val="both"/>
              <w:rPr>
                <w:color w:val="auto"/>
                <w:sz w:val="22"/>
                <w:szCs w:val="22"/>
              </w:rPr>
            </w:pPr>
            <w:r w:rsidRPr="00263BF7">
              <w:rPr>
                <w:color w:val="auto"/>
                <w:sz w:val="22"/>
                <w:szCs w:val="22"/>
              </w:rPr>
              <w:t>- kwota pomocy stanowi maksymalnie 80 % kosztów kwalifikowalnych;</w:t>
            </w:r>
          </w:p>
          <w:p w:rsidR="00263BF7" w:rsidRPr="00263BF7" w:rsidRDefault="00263BF7" w:rsidP="00B54C70">
            <w:pPr>
              <w:pStyle w:val="Default"/>
              <w:ind w:left="720"/>
              <w:jc w:val="both"/>
              <w:rPr>
                <w:color w:val="auto"/>
                <w:sz w:val="22"/>
                <w:szCs w:val="22"/>
              </w:rPr>
            </w:pPr>
          </w:p>
          <w:p w:rsidR="00263BF7" w:rsidRPr="00263BF7" w:rsidRDefault="00263BF7" w:rsidP="00B54C70">
            <w:pPr>
              <w:pStyle w:val="Default"/>
              <w:numPr>
                <w:ilvl w:val="0"/>
                <w:numId w:val="20"/>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80 % kosztów kwalifikowalnych.</w:t>
            </w:r>
          </w:p>
          <w:p w:rsidR="00263BF7" w:rsidRPr="00263BF7" w:rsidRDefault="00263BF7" w:rsidP="00B54C70">
            <w:pPr>
              <w:ind w:left="317"/>
              <w:contextualSpacing/>
              <w:jc w:val="both"/>
            </w:pPr>
          </w:p>
          <w:p w:rsidR="00263BF7" w:rsidRPr="00263BF7" w:rsidRDefault="00263BF7" w:rsidP="00B54C70">
            <w:pPr>
              <w:contextualSpacing/>
              <w:jc w:val="both"/>
              <w:rPr>
                <w:rFonts w:cs="Calibri"/>
              </w:rPr>
            </w:pPr>
            <w:r w:rsidRPr="00263BF7">
              <w:t xml:space="preserve">Wszystkie ww. regulacje dotyczące pomocy publicznej dostępne są na stronie </w:t>
            </w:r>
            <w:hyperlink r:id="rId13" w:history="1">
              <w:r w:rsidRPr="00263BF7">
                <w:rPr>
                  <w:rStyle w:val="Hipercze"/>
                  <w:color w:val="auto"/>
                </w:rPr>
                <w:t>www.funduszeeuropejskie.gov.pl</w:t>
              </w:r>
            </w:hyperlink>
            <w:r w:rsidRPr="00263BF7">
              <w:t xml:space="preserve">. </w:t>
            </w: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13.</w:t>
            </w:r>
          </w:p>
        </w:tc>
        <w:tc>
          <w:tcPr>
            <w:tcW w:w="2268" w:type="dxa"/>
          </w:tcPr>
          <w:p w:rsidR="00263BF7" w:rsidRPr="00B27059" w:rsidRDefault="00263BF7"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263BF7" w:rsidRPr="00B27059" w:rsidRDefault="00263BF7" w:rsidP="00480411">
            <w:pPr>
              <w:pStyle w:val="Default"/>
              <w:rPr>
                <w:rFonts w:asciiTheme="minorHAnsi" w:hAnsiTheme="minorHAnsi"/>
                <w:b/>
                <w:bCs/>
                <w:sz w:val="22"/>
                <w:szCs w:val="22"/>
              </w:rPr>
            </w:pPr>
          </w:p>
        </w:tc>
        <w:tc>
          <w:tcPr>
            <w:tcW w:w="7494" w:type="dxa"/>
          </w:tcPr>
          <w:p w:rsidR="00263BF7" w:rsidRPr="00263BF7" w:rsidRDefault="00263BF7" w:rsidP="00B54C70">
            <w:pPr>
              <w:pStyle w:val="Default"/>
              <w:jc w:val="both"/>
              <w:rPr>
                <w:color w:val="auto"/>
                <w:sz w:val="22"/>
                <w:szCs w:val="22"/>
              </w:rPr>
            </w:pPr>
            <w:r w:rsidRPr="00263BF7">
              <w:rPr>
                <w:color w:val="auto"/>
                <w:sz w:val="22"/>
                <w:szCs w:val="22"/>
              </w:rPr>
              <w:t xml:space="preserve">Wkład własny beneficjenta na poziomie projektu: </w:t>
            </w:r>
          </w:p>
          <w:p w:rsidR="00263BF7" w:rsidRPr="00263BF7" w:rsidRDefault="00263BF7" w:rsidP="00B54C70">
            <w:pPr>
              <w:pStyle w:val="Default"/>
              <w:jc w:val="both"/>
              <w:rPr>
                <w:color w:val="auto"/>
                <w:sz w:val="22"/>
                <w:szCs w:val="22"/>
              </w:rPr>
            </w:pPr>
          </w:p>
          <w:p w:rsidR="00263BF7" w:rsidRPr="00263BF7" w:rsidRDefault="00263BF7" w:rsidP="00B54C70">
            <w:pPr>
              <w:pStyle w:val="Default"/>
              <w:numPr>
                <w:ilvl w:val="0"/>
                <w:numId w:val="21"/>
              </w:numPr>
              <w:ind w:left="317"/>
              <w:jc w:val="both"/>
              <w:rPr>
                <w:color w:val="auto"/>
                <w:sz w:val="22"/>
                <w:szCs w:val="22"/>
              </w:rPr>
            </w:pPr>
            <w:r w:rsidRPr="00263BF7">
              <w:rPr>
                <w:color w:val="auto"/>
                <w:sz w:val="22"/>
                <w:szCs w:val="22"/>
              </w:rPr>
              <w:t xml:space="preserve">w przypadku projektów nieobjętych pomocą publiczną – wynosi co najmniej 15%; </w:t>
            </w:r>
          </w:p>
          <w:p w:rsidR="00263BF7" w:rsidRPr="00263BF7" w:rsidRDefault="00263BF7" w:rsidP="00B54C70">
            <w:pPr>
              <w:pStyle w:val="Default"/>
              <w:ind w:left="317"/>
              <w:jc w:val="both"/>
              <w:rPr>
                <w:color w:val="auto"/>
                <w:sz w:val="22"/>
                <w:szCs w:val="22"/>
              </w:rPr>
            </w:pPr>
          </w:p>
          <w:p w:rsidR="00263BF7" w:rsidRPr="00263BF7" w:rsidRDefault="00263BF7" w:rsidP="00B54C70">
            <w:pPr>
              <w:pStyle w:val="Default"/>
              <w:numPr>
                <w:ilvl w:val="0"/>
                <w:numId w:val="21"/>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263BF7" w:rsidRPr="00263BF7" w:rsidRDefault="00263BF7" w:rsidP="00B54C70">
            <w:pPr>
              <w:pStyle w:val="Default"/>
              <w:jc w:val="both"/>
              <w:rPr>
                <w:color w:val="auto"/>
                <w:sz w:val="22"/>
                <w:szCs w:val="22"/>
              </w:rPr>
            </w:pPr>
          </w:p>
          <w:p w:rsidR="00263BF7" w:rsidRPr="00263BF7" w:rsidRDefault="00263BF7" w:rsidP="00263BF7">
            <w:pPr>
              <w:pStyle w:val="Default"/>
              <w:numPr>
                <w:ilvl w:val="0"/>
                <w:numId w:val="49"/>
              </w:numPr>
              <w:jc w:val="both"/>
              <w:rPr>
                <w:color w:val="auto"/>
                <w:sz w:val="22"/>
                <w:szCs w:val="22"/>
              </w:rPr>
            </w:pPr>
            <w:r w:rsidRPr="00263BF7">
              <w:rPr>
                <w:color w:val="auto"/>
                <w:sz w:val="22"/>
                <w:szCs w:val="22"/>
              </w:rPr>
              <w:t xml:space="preserve">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2 lit. a) niniejszego regulaminu.</w:t>
            </w:r>
          </w:p>
          <w:p w:rsidR="00263BF7" w:rsidRPr="00263BF7" w:rsidRDefault="00263BF7" w:rsidP="00B54C70">
            <w:pPr>
              <w:pStyle w:val="Default"/>
              <w:ind w:left="720"/>
              <w:jc w:val="both"/>
              <w:rPr>
                <w:color w:val="auto"/>
                <w:sz w:val="22"/>
                <w:szCs w:val="22"/>
              </w:rPr>
            </w:pPr>
          </w:p>
          <w:p w:rsidR="00263BF7" w:rsidRPr="00263BF7" w:rsidRDefault="00263BF7" w:rsidP="00263BF7">
            <w:pPr>
              <w:pStyle w:val="Default"/>
              <w:numPr>
                <w:ilvl w:val="0"/>
                <w:numId w:val="49"/>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263BF7" w:rsidRPr="00263BF7" w:rsidRDefault="00263BF7" w:rsidP="00B54C70">
            <w:pPr>
              <w:pStyle w:val="Default"/>
              <w:ind w:left="720"/>
              <w:jc w:val="both"/>
              <w:rPr>
                <w:color w:val="auto"/>
                <w:sz w:val="22"/>
                <w:szCs w:val="22"/>
              </w:rPr>
            </w:pPr>
            <w:r w:rsidRPr="00263BF7">
              <w:rPr>
                <w:color w:val="auto"/>
                <w:sz w:val="22"/>
                <w:szCs w:val="22"/>
              </w:rPr>
              <w:t xml:space="preserve">- 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xml:space="preserve">. 2 lit. b) </w:t>
            </w:r>
            <w:proofErr w:type="spellStart"/>
            <w:r w:rsidRPr="00263BF7">
              <w:rPr>
                <w:color w:val="auto"/>
                <w:sz w:val="22"/>
                <w:szCs w:val="22"/>
              </w:rPr>
              <w:t>tiret</w:t>
            </w:r>
            <w:proofErr w:type="spellEnd"/>
            <w:r w:rsidRPr="00263BF7">
              <w:rPr>
                <w:color w:val="auto"/>
                <w:sz w:val="22"/>
                <w:szCs w:val="22"/>
              </w:rPr>
              <w:t xml:space="preserve"> pierwsze z pkt. 12 niniejszego regulaminu</w:t>
            </w:r>
          </w:p>
          <w:p w:rsidR="00263BF7" w:rsidRPr="00263BF7" w:rsidRDefault="00263BF7" w:rsidP="00B54C70">
            <w:pPr>
              <w:pStyle w:val="Default"/>
              <w:ind w:left="720"/>
              <w:jc w:val="both"/>
              <w:rPr>
                <w:b/>
                <w:color w:val="auto"/>
                <w:sz w:val="22"/>
                <w:szCs w:val="22"/>
              </w:rPr>
            </w:pPr>
            <w:r w:rsidRPr="00263BF7">
              <w:rPr>
                <w:b/>
                <w:color w:val="auto"/>
                <w:sz w:val="22"/>
                <w:szCs w:val="22"/>
              </w:rPr>
              <w:t>[lub:]</w:t>
            </w:r>
          </w:p>
          <w:p w:rsidR="00263BF7" w:rsidRPr="00263BF7" w:rsidRDefault="00263BF7" w:rsidP="00B54C70">
            <w:pPr>
              <w:pStyle w:val="Default"/>
              <w:ind w:left="720"/>
              <w:jc w:val="both"/>
              <w:rPr>
                <w:color w:val="auto"/>
                <w:sz w:val="22"/>
                <w:szCs w:val="22"/>
              </w:rPr>
            </w:pPr>
            <w:r w:rsidRPr="00263BF7">
              <w:rPr>
                <w:color w:val="auto"/>
                <w:sz w:val="22"/>
                <w:szCs w:val="22"/>
              </w:rPr>
              <w:t>- wynosi co najmniej 20 % kosztów kwalifikowalnych;</w:t>
            </w:r>
          </w:p>
          <w:p w:rsidR="00263BF7" w:rsidRPr="00263BF7" w:rsidRDefault="00263BF7" w:rsidP="00B54C70">
            <w:pPr>
              <w:pStyle w:val="Default"/>
              <w:ind w:left="720"/>
              <w:jc w:val="both"/>
              <w:rPr>
                <w:color w:val="auto"/>
                <w:sz w:val="22"/>
                <w:szCs w:val="22"/>
              </w:rPr>
            </w:pPr>
          </w:p>
          <w:p w:rsidR="00263BF7" w:rsidRPr="00263BF7" w:rsidRDefault="00263BF7" w:rsidP="00B54C70">
            <w:pPr>
              <w:pStyle w:val="Akapitzlist"/>
              <w:numPr>
                <w:ilvl w:val="0"/>
                <w:numId w:val="21"/>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20 % kosztów kwalifikowalnych.</w:t>
            </w:r>
          </w:p>
          <w:p w:rsidR="00263BF7" w:rsidRPr="00263BF7" w:rsidRDefault="00263BF7" w:rsidP="00B54C70">
            <w:pPr>
              <w:autoSpaceDE w:val="0"/>
              <w:autoSpaceDN w:val="0"/>
              <w:adjustRightInd w:val="0"/>
              <w:spacing w:line="240" w:lineRule="auto"/>
              <w:jc w:val="both"/>
            </w:pPr>
          </w:p>
          <w:p w:rsidR="00263BF7" w:rsidRPr="00263BF7" w:rsidRDefault="00263BF7" w:rsidP="00B54C70">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A41980" w:rsidRPr="00B27059" w:rsidTr="006D7C1A">
        <w:tc>
          <w:tcPr>
            <w:tcW w:w="534" w:type="dxa"/>
          </w:tcPr>
          <w:p w:rsidR="00A41980" w:rsidRPr="00B27059" w:rsidRDefault="00A41980"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14.</w:t>
            </w:r>
          </w:p>
        </w:tc>
        <w:tc>
          <w:tcPr>
            <w:tcW w:w="2268" w:type="dxa"/>
          </w:tcPr>
          <w:p w:rsidR="00A41980" w:rsidRPr="00B27059" w:rsidRDefault="00A41980" w:rsidP="00480411">
            <w:pPr>
              <w:pStyle w:val="Default"/>
              <w:rPr>
                <w:rFonts w:asciiTheme="minorHAnsi" w:hAnsiTheme="minorHAnsi"/>
                <w:sz w:val="22"/>
                <w:szCs w:val="22"/>
              </w:rPr>
            </w:pPr>
            <w:r w:rsidRPr="00B27059">
              <w:rPr>
                <w:rFonts w:asciiTheme="minorHAnsi" w:hAnsiTheme="minorHAnsi"/>
                <w:b/>
                <w:bCs/>
                <w:sz w:val="22"/>
                <w:szCs w:val="22"/>
              </w:rPr>
              <w:t xml:space="preserve">Forma konkursu (informacja na jakie etapy został podzielony konkurs): </w:t>
            </w:r>
          </w:p>
          <w:p w:rsidR="00A41980" w:rsidRPr="00B27059" w:rsidRDefault="00A41980" w:rsidP="00480411">
            <w:pPr>
              <w:pStyle w:val="Default"/>
              <w:rPr>
                <w:rFonts w:asciiTheme="minorHAnsi" w:hAnsiTheme="minorHAnsi"/>
                <w:b/>
                <w:bCs/>
                <w:sz w:val="22"/>
                <w:szCs w:val="22"/>
              </w:rPr>
            </w:pPr>
          </w:p>
        </w:tc>
        <w:tc>
          <w:tcPr>
            <w:tcW w:w="7494" w:type="dxa"/>
          </w:tcPr>
          <w:p w:rsidR="00A41980" w:rsidRPr="00B27059" w:rsidRDefault="00A41980" w:rsidP="00E75A4F">
            <w:pPr>
              <w:spacing w:before="120" w:line="240" w:lineRule="auto"/>
              <w:ind w:left="33" w:hanging="33"/>
              <w:jc w:val="both"/>
              <w:rPr>
                <w:rFonts w:cs="Calibri"/>
              </w:rPr>
            </w:pPr>
            <w:r w:rsidRPr="00B27059">
              <w:rPr>
                <w:rFonts w:cs="Calibri"/>
              </w:rPr>
              <w:t>Konkurs jest po</w:t>
            </w:r>
            <w:r w:rsidR="004151FA" w:rsidRPr="00B27059">
              <w:rPr>
                <w:rFonts w:cs="Calibri"/>
              </w:rPr>
              <w:t>stę</w:t>
            </w:r>
            <w:r w:rsidRPr="00B27059">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B27059"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Naboru wniosków o dofinansowanie czyli składania wniosków </w:t>
            </w:r>
            <w:r w:rsidRPr="00B27059">
              <w:rPr>
                <w:rFonts w:ascii="Calibri" w:hAnsi="Calibri" w:cs="Calibri"/>
                <w:color w:val="000000"/>
              </w:rPr>
              <w:br/>
              <w:t>o dofinasowanie – termin składania wniosków nie może być krótszy niż 7 dni licząc od dnia rozpoczęcia naboru wniosków o dofinansowanie projektów;</w:t>
            </w:r>
          </w:p>
          <w:p w:rsidR="00A41980" w:rsidRPr="00B27059"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Etapu weryfikacji technicznej, w trakcie której sprawdzeniu podlega:</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wypełnienia formularza wniosku (</w:t>
            </w:r>
            <w:r w:rsidR="0087288E" w:rsidRPr="00B27059">
              <w:rPr>
                <w:rFonts w:asciiTheme="minorHAnsi" w:hAnsiTheme="minorHAnsi" w:cs="Calibri"/>
                <w:color w:val="000000"/>
              </w:rPr>
              <w:t xml:space="preserve">czy formularz zawiera wszystkie wymagane strony oraz </w:t>
            </w:r>
            <w:r w:rsidRPr="00B27059">
              <w:rPr>
                <w:rFonts w:asciiTheme="minorHAnsi" w:hAnsiTheme="minorHAnsi" w:cs="Calibri"/>
                <w:color w:val="000000"/>
              </w:rPr>
              <w:t>czy wymagane pola zostały wypełnione),</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załączników (czy wszystkie załączniki zostały załączone),</w:t>
            </w:r>
          </w:p>
          <w:p w:rsidR="0047715D" w:rsidRPr="00B27059"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rPr>
              <w:t>czytelność załączonych skanów,</w:t>
            </w:r>
          </w:p>
          <w:p w:rsidR="0047715D" w:rsidRPr="00B27059"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podpisów i pieczęci</w:t>
            </w:r>
            <w:r w:rsidR="001248C7" w:rsidRPr="00B27059">
              <w:rPr>
                <w:rFonts w:asciiTheme="minorHAnsi" w:hAnsiTheme="minorHAnsi" w:cs="Calibri"/>
                <w:color w:val="000000"/>
              </w:rPr>
              <w:t>,</w:t>
            </w:r>
          </w:p>
          <w:p w:rsidR="00153A52" w:rsidRPr="00B27059"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zgodność sumy kontrolnej w wersji papierowej i elektronicznej</w:t>
            </w:r>
            <w:r w:rsidR="009A31F4" w:rsidRPr="00B27059">
              <w:rPr>
                <w:rFonts w:asciiTheme="minorHAnsi" w:hAnsiTheme="minorHAnsi" w:cs="Calibri"/>
                <w:color w:val="000000"/>
              </w:rPr>
              <w:t>.</w:t>
            </w:r>
          </w:p>
          <w:p w:rsidR="00CB791B" w:rsidRPr="00B27059"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B27059" w:rsidRDefault="00BB6BFC"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w:t>
            </w:r>
            <w:r w:rsidR="002965D5" w:rsidRPr="00B27059">
              <w:rPr>
                <w:rFonts w:ascii="Calibri" w:hAnsi="Calibri" w:cs="Calibri"/>
                <w:color w:val="000000"/>
              </w:rPr>
              <w:t>W</w:t>
            </w:r>
            <w:r w:rsidR="00A41980" w:rsidRPr="00B27059">
              <w:rPr>
                <w:rFonts w:ascii="Calibri" w:hAnsi="Calibri" w:cs="Calibri"/>
                <w:color w:val="000000"/>
              </w:rPr>
              <w:t>eryfikacja techniczna ni</w:t>
            </w:r>
            <w:r w:rsidR="002965D5" w:rsidRPr="00B27059">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B2705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B27059" w:rsidRDefault="009A7256"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Weryfikacja techniczna </w:t>
            </w:r>
            <w:r w:rsidR="00A41980" w:rsidRPr="00B27059">
              <w:rPr>
                <w:rFonts w:ascii="Calibri" w:hAnsi="Calibri" w:cs="Calibri"/>
                <w:color w:val="000000"/>
              </w:rPr>
              <w:t>trwa 7</w:t>
            </w:r>
            <w:r w:rsidR="002965D5" w:rsidRPr="00B27059">
              <w:rPr>
                <w:rFonts w:ascii="Calibri" w:hAnsi="Calibri" w:cs="Calibri"/>
                <w:color w:val="000000"/>
              </w:rPr>
              <w:t xml:space="preserve"> dni od dnia zakończenia naboru.</w:t>
            </w:r>
            <w:r w:rsidR="00BB6BFC" w:rsidRPr="00B27059">
              <w:rPr>
                <w:rFonts w:ascii="Calibri" w:hAnsi="Calibri" w:cs="Calibri"/>
                <w:color w:val="000000"/>
              </w:rPr>
              <w:t>);</w:t>
            </w:r>
          </w:p>
          <w:p w:rsidR="00A41980" w:rsidRPr="00B27059"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B27059">
              <w:rPr>
                <w:rFonts w:ascii="Calibri" w:hAnsi="Calibri" w:cs="Calibri"/>
                <w:color w:val="000000"/>
              </w:rPr>
              <w:t xml:space="preserve">I-go Etapu oceny – ocena formalna (obligatoryjna) - dokonywana przez 2 pracowników IOK; </w:t>
            </w:r>
          </w:p>
          <w:p w:rsidR="00A41980" w:rsidRPr="00B27059"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 etap oceny formalnej (ocena kryteriów formalnych </w:t>
            </w:r>
            <w:r w:rsidR="009A7256" w:rsidRPr="00B27059">
              <w:rPr>
                <w:rFonts w:ascii="Calibri" w:hAnsi="Calibri" w:cs="Calibri"/>
                <w:color w:val="000000"/>
              </w:rPr>
              <w:t xml:space="preserve">ogólnych </w:t>
            </w:r>
            <w:r w:rsidR="0047715D" w:rsidRPr="00B27059">
              <w:rPr>
                <w:rFonts w:ascii="Calibri" w:hAnsi="Calibri" w:cs="Calibri"/>
                <w:color w:val="000000"/>
              </w:rPr>
              <w:br/>
            </w:r>
            <w:r w:rsidR="009A7256" w:rsidRPr="00B27059">
              <w:rPr>
                <w:rFonts w:ascii="Calibri" w:hAnsi="Calibri" w:cs="Calibri"/>
                <w:color w:val="000000"/>
              </w:rPr>
              <w:t xml:space="preserve">i specyficznych </w:t>
            </w:r>
            <w:r w:rsidR="00B5754A" w:rsidRPr="00B27059">
              <w:rPr>
                <w:rFonts w:ascii="Calibri" w:hAnsi="Calibri" w:cs="Calibri"/>
                <w:color w:val="000000"/>
              </w:rPr>
              <w:t>przy których zaznaczono brak możliwości korekty</w:t>
            </w:r>
            <w:r w:rsidR="00B5754A" w:rsidRPr="00B27059" w:rsidDel="00B5754A">
              <w:rPr>
                <w:rFonts w:ascii="Calibri" w:hAnsi="Calibri" w:cs="Calibri"/>
                <w:color w:val="000000"/>
              </w:rPr>
              <w:t xml:space="preserve"> </w:t>
            </w:r>
            <w:r w:rsidRPr="00B27059">
              <w:rPr>
                <w:rFonts w:ascii="Calibri" w:hAnsi="Calibri" w:cs="Calibri"/>
                <w:color w:val="000000"/>
              </w:rPr>
              <w:t>– jeśli dotyczą naboru) – do 10 dni;</w:t>
            </w:r>
          </w:p>
          <w:p w:rsidR="00A41980" w:rsidRPr="00B27059"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II etap oceny formalnej (ocena kryteriów formalnych ogólnych </w:t>
            </w:r>
            <w:r w:rsidR="0047715D" w:rsidRPr="00B27059">
              <w:rPr>
                <w:rFonts w:ascii="Calibri" w:hAnsi="Calibri" w:cs="Calibri"/>
                <w:color w:val="000000"/>
              </w:rPr>
              <w:br/>
            </w:r>
            <w:r w:rsidRPr="00B27059">
              <w:rPr>
                <w:rFonts w:ascii="Calibri" w:hAnsi="Calibri" w:cs="Calibri"/>
                <w:color w:val="000000"/>
              </w:rPr>
              <w:t xml:space="preserve">i specyficznych </w:t>
            </w:r>
            <w:r w:rsidR="00B5754A" w:rsidRPr="00B27059">
              <w:rPr>
                <w:rFonts w:ascii="Calibri" w:hAnsi="Calibri" w:cs="Calibri"/>
                <w:color w:val="000000"/>
              </w:rPr>
              <w:t xml:space="preserve">przy których zaznaczono możliwość korekty </w:t>
            </w:r>
            <w:r w:rsidRPr="00B27059">
              <w:rPr>
                <w:rFonts w:ascii="Calibri" w:hAnsi="Calibri" w:cs="Calibri"/>
                <w:color w:val="000000"/>
              </w:rPr>
              <w:t>– jeśli dotyczą naboru) - do 10 dni;</w:t>
            </w:r>
          </w:p>
          <w:p w:rsidR="00A41980" w:rsidRPr="00B27059"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 II-go Etapu oceny – ocena merytoryczna (obligatoryjna</w:t>
            </w:r>
            <w:r w:rsidR="00B5754A" w:rsidRPr="00B27059">
              <w:rPr>
                <w:rFonts w:ascii="Calibri" w:hAnsi="Calibri" w:cs="Calibri"/>
                <w:color w:val="000000"/>
              </w:rPr>
              <w:t xml:space="preserve"> i fakultatywna</w:t>
            </w:r>
            <w:r w:rsidRPr="00B27059">
              <w:rPr>
                <w:rFonts w:ascii="Calibri" w:hAnsi="Calibri" w:cs="Calibri"/>
                <w:color w:val="000000"/>
              </w:rPr>
              <w:t xml:space="preserve">):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t>•</w:t>
            </w:r>
            <w:r w:rsidRPr="00B27059">
              <w:rPr>
                <w:rFonts w:ascii="Calibri" w:hAnsi="Calibri" w:cs="Calibri"/>
                <w:color w:val="000000"/>
              </w:rPr>
              <w:tab/>
              <w:t xml:space="preserve">I sekcja: ocena </w:t>
            </w:r>
            <w:proofErr w:type="spellStart"/>
            <w:r w:rsidRPr="00B27059">
              <w:rPr>
                <w:rFonts w:ascii="Calibri" w:hAnsi="Calibri" w:cs="Calibri"/>
                <w:color w:val="000000"/>
              </w:rPr>
              <w:t>ekonomiczno</w:t>
            </w:r>
            <w:proofErr w:type="spellEnd"/>
            <w:r w:rsidRPr="00B27059">
              <w:rPr>
                <w:rFonts w:ascii="Calibri" w:hAnsi="Calibri" w:cs="Calibri"/>
                <w:color w:val="000000"/>
              </w:rPr>
              <w:t xml:space="preserve"> – finansowa</w:t>
            </w:r>
            <w:r w:rsidR="003B4611" w:rsidRPr="00B27059">
              <w:rPr>
                <w:rFonts w:ascii="Calibri" w:hAnsi="Calibri" w:cs="Calibri"/>
                <w:color w:val="000000"/>
              </w:rPr>
              <w:t>, ogólna</w:t>
            </w:r>
            <w:r w:rsidRPr="00B27059">
              <w:rPr>
                <w:rFonts w:ascii="Calibri" w:hAnsi="Calibri" w:cs="Calibri"/>
                <w:color w:val="000000"/>
              </w:rPr>
              <w:t xml:space="preserve"> oraz dziedzinowa (w tym OOŚ) dokonywana przez 2 ekspertów z dziedziny „Analiza finansowo-ekonomiczna” oraz 2 ekspertów z dziedziny „</w:t>
            </w:r>
            <w:r w:rsidR="00DB783D">
              <w:rPr>
                <w:rFonts w:ascii="Calibri" w:hAnsi="Calibri" w:cs="Calibri"/>
                <w:color w:val="000000"/>
              </w:rPr>
              <w:t>Dziedzictwo kulturowe</w:t>
            </w:r>
            <w:r w:rsidRPr="00B27059">
              <w:rPr>
                <w:rFonts w:ascii="Calibri" w:hAnsi="Calibri" w:cs="Calibri"/>
                <w:color w:val="000000"/>
              </w:rPr>
              <w:t xml:space="preserve">” do 40 dni od momentu zakończenia oceny formalnej;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lastRenderedPageBreak/>
              <w:t>•</w:t>
            </w:r>
            <w:r w:rsidRPr="00B27059">
              <w:rPr>
                <w:rFonts w:ascii="Calibri" w:hAnsi="Calibri" w:cs="Calibri"/>
                <w:color w:val="000000"/>
              </w:rPr>
              <w:tab/>
              <w:t xml:space="preserve">II sekcja: ocena </w:t>
            </w:r>
            <w:r w:rsidR="00032C8C" w:rsidRPr="00B27059">
              <w:t xml:space="preserve"> </w:t>
            </w:r>
            <w:r w:rsidR="00032C8C" w:rsidRPr="00B27059">
              <w:rPr>
                <w:rFonts w:ascii="Calibri" w:hAnsi="Calibri" w:cs="Calibri"/>
                <w:color w:val="000000"/>
              </w:rPr>
              <w:t xml:space="preserve">wpływu projektów na realizację Strategii Rozwoju Województwa Dolnośląskiego 2020 </w:t>
            </w:r>
            <w:r w:rsidRPr="00B27059">
              <w:rPr>
                <w:rFonts w:ascii="Calibri" w:hAnsi="Calibri" w:cs="Calibri"/>
                <w:color w:val="000000"/>
              </w:rPr>
              <w:t xml:space="preserve">”– panel, porównanie projektów - do 20 dni od momentu zakończenia sekcji I; </w:t>
            </w:r>
          </w:p>
          <w:p w:rsidR="00A41980" w:rsidRPr="00B27059"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B27059">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B27059">
              <w:rPr>
                <w:rFonts w:ascii="Calibri" w:hAnsi="Calibri" w:cs="Calibri"/>
                <w:color w:val="000000"/>
              </w:rPr>
              <w:br/>
              <w:t xml:space="preserve">z wyróżnieniem projektów wybranych do dofinansowania zamieszczana jest na stronie internetowej </w:t>
            </w:r>
            <w:hyperlink r:id="rId15" w:history="1">
              <w:r w:rsidRPr="00B27059">
                <w:rPr>
                  <w:rStyle w:val="Hipercze"/>
                  <w:rFonts w:ascii="Calibri" w:hAnsi="Calibri" w:cs="Calibri"/>
                </w:rPr>
                <w:t>www.rpo.dolnyslask.pl</w:t>
              </w:r>
            </w:hyperlink>
            <w:r w:rsidRPr="00B27059">
              <w:rPr>
                <w:rFonts w:ascii="Calibri" w:hAnsi="Calibri" w:cs="Calibri"/>
                <w:color w:val="000000"/>
              </w:rPr>
              <w:t xml:space="preserve"> oraz </w:t>
            </w:r>
            <w:hyperlink r:id="rId16" w:history="1">
              <w:r w:rsidRPr="00B27059">
                <w:rPr>
                  <w:rStyle w:val="Hipercze"/>
                  <w:rFonts w:ascii="Calibri" w:hAnsi="Calibri" w:cs="Calibri"/>
                </w:rPr>
                <w:t>www.funduszeeuropejskie.gov.pl</w:t>
              </w:r>
            </w:hyperlink>
            <w:r w:rsidRPr="00B27059">
              <w:rPr>
                <w:rFonts w:ascii="Calibri" w:hAnsi="Calibri" w:cs="Calibri"/>
                <w:color w:val="000000"/>
              </w:rPr>
              <w:t xml:space="preserve">. </w:t>
            </w:r>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 xml:space="preserve">od godz. 8.00 dnia 31 maja 2016 r. do godz. 15.00 dnia  </w:t>
            </w:r>
            <w:r w:rsidR="00B54C70">
              <w:rPr>
                <w:b/>
                <w:bCs/>
                <w:u w:val="single"/>
              </w:rPr>
              <w:t xml:space="preserve">10 </w:t>
            </w:r>
            <w:r>
              <w:rPr>
                <w:b/>
                <w:bCs/>
                <w:u w:val="single"/>
              </w:rPr>
              <w:t>czerwca 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 xml:space="preserve">do godz. 15.00 dnia </w:t>
            </w:r>
            <w:r w:rsidR="00B54C70">
              <w:rPr>
                <w:b/>
                <w:bCs/>
                <w:u w:val="single"/>
              </w:rPr>
              <w:t>10</w:t>
            </w:r>
            <w:r>
              <w:rPr>
                <w:b/>
                <w:bCs/>
                <w:u w:val="single"/>
              </w:rPr>
              <w:t xml:space="preserve"> czerwca 2016 r</w:t>
            </w:r>
            <w:r>
              <w:t xml:space="preserv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Departament Funduszy Europejskich</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lastRenderedPageBreak/>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 lub dalszej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oczywistej omyłki w wyznaczonym terminie nie może prowadzić do jego istotnej modyfikacji. </w:t>
            </w:r>
          </w:p>
          <w:p w:rsidR="00B35B23" w:rsidRPr="00B27059" w:rsidRDefault="00B35B23"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0" w:line="240" w:lineRule="auto"/>
              <w:jc w:val="both"/>
              <w:rPr>
                <w:rFonts w:cs="Times New Roman"/>
              </w:rPr>
            </w:pPr>
            <w:r w:rsidRPr="00B27059">
              <w:rPr>
                <w:rFonts w:cs="Times New Roman"/>
              </w:rPr>
              <w:t xml:space="preserve">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w:t>
            </w:r>
            <w:r w:rsidRPr="00B27059">
              <w:rPr>
                <w:rFonts w:asciiTheme="minorHAnsi" w:hAnsiTheme="minorHAnsi" w:cs="Times New Roman"/>
                <w:sz w:val="22"/>
                <w:szCs w:val="22"/>
              </w:rPr>
              <w:lastRenderedPageBreak/>
              <w:t xml:space="preserve">złożonych w konkursie IOK zamieszcza na swojej stronie zbiorczą listę projektów </w:t>
            </w:r>
            <w:r w:rsidRPr="00B27059">
              <w:rPr>
                <w:bCs/>
                <w:iCs/>
                <w:sz w:val="22"/>
                <w:szCs w:val="22"/>
              </w:rPr>
              <w:t>(skierowanych do KOP, wycofanych, pozostawionych bez rozpatrzenia)</w:t>
            </w:r>
            <w:r w:rsidRPr="00B27059">
              <w:rPr>
                <w:rFonts w:asciiTheme="minorHAnsi" w:hAnsiTheme="minorHAnsi" w:cs="Times New Roman"/>
                <w:sz w:val="22"/>
                <w:szCs w:val="22"/>
              </w:rPr>
              <w:t xml:space="preserve">. </w:t>
            </w:r>
          </w:p>
          <w:p w:rsidR="00984533" w:rsidRPr="00B27059" w:rsidRDefault="00984533" w:rsidP="00480411">
            <w:pPr>
              <w:spacing w:before="120" w:after="120" w:line="240" w:lineRule="auto"/>
              <w:jc w:val="both"/>
            </w:pPr>
            <w:r w:rsidRPr="00B27059">
              <w:t>Informacje do Wnioskodawcy dotyczące poprawy/uzupełnienia wniosku/ informacje o</w:t>
            </w:r>
            <w:r w:rsidRPr="00B27059">
              <w:rPr>
                <w:rFonts w:ascii="Calibri" w:hAnsi="Calibri"/>
                <w:bCs/>
                <w:iCs/>
              </w:rPr>
              <w:t xml:space="preserve"> zakończeniu weryfikacji technicznej wniosku i jej wyniku wraz </w:t>
            </w:r>
            <w:r w:rsidRPr="00B27059">
              <w:rPr>
                <w:rFonts w:ascii="Calibri" w:hAnsi="Calibri"/>
                <w:bCs/>
                <w:iCs/>
              </w:rPr>
              <w:br/>
              <w:t>z uzasadnieniem,</w:t>
            </w:r>
            <w:r w:rsidRPr="00B27059">
              <w:t xml:space="preserve"> doręczane są zgodnie z przepisami Kodeksu postępowania administracyjnego (KPA) o doręczaniu.</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wniosku </w:t>
            </w:r>
            <w:r w:rsidRPr="00B27059">
              <w:rPr>
                <w:rFonts w:asciiTheme="minorHAnsi" w:hAnsiTheme="minorHAnsi"/>
                <w:b/>
                <w:bCs/>
                <w:sz w:val="22"/>
                <w:szCs w:val="22"/>
              </w:rPr>
              <w:br/>
              <w:t xml:space="preserve">o dofinansowanie projektu/zakres informacji: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F30430" w:rsidP="00480411">
            <w:pPr>
              <w:spacing w:before="120" w:after="120" w:line="240" w:lineRule="auto"/>
              <w:jc w:val="both"/>
              <w:rPr>
                <w:rFonts w:cs="Arial"/>
                <w:color w:val="000000"/>
              </w:rPr>
            </w:pPr>
            <w:r w:rsidRPr="00F30430">
              <w:rPr>
                <w:iCs/>
              </w:rPr>
              <w:t xml:space="preserve">Wykaz informacji, których należy udzielić ubiegając się o dofinansowanie projektu </w:t>
            </w:r>
            <w:r w:rsidR="00984533" w:rsidRPr="00F30430">
              <w:rPr>
                <w:rFonts w:cs="Arial"/>
              </w:rPr>
              <w:t xml:space="preserve">zawiera załącznik nr </w:t>
            </w:r>
            <w:r w:rsidR="00A84137" w:rsidRPr="00F30430">
              <w:rPr>
                <w:rFonts w:cs="Arial"/>
              </w:rPr>
              <w:t>5</w:t>
            </w:r>
            <w:r w:rsidR="00984533" w:rsidRPr="00F30430">
              <w:rPr>
                <w:rFonts w:cs="Arial"/>
              </w:rPr>
              <w:t xml:space="preserve"> </w:t>
            </w:r>
            <w:r w:rsidR="00984533" w:rsidRPr="00F30430">
              <w:t xml:space="preserve">do </w:t>
            </w:r>
            <w:r w:rsidR="00A84137" w:rsidRPr="00F30430">
              <w:t xml:space="preserve">uchwały przyjmującej </w:t>
            </w:r>
            <w:r w:rsidR="00984533" w:rsidRPr="00F30430">
              <w:t>niniejsz</w:t>
            </w:r>
            <w:r w:rsidR="00A84137" w:rsidRPr="00F30430">
              <w:t>y</w:t>
            </w:r>
            <w:r w:rsidR="00984533" w:rsidRPr="00F30430">
              <w:t xml:space="preserve"> Regulamin </w:t>
            </w:r>
            <w:r w:rsidR="00AD17E2">
              <w:br/>
            </w:r>
            <w:r w:rsidR="00984533" w:rsidRPr="00F30430">
              <w:t xml:space="preserve">i jest zamieszczony na stronie </w:t>
            </w:r>
            <w:hyperlink r:id="rId17" w:history="1">
              <w:r w:rsidR="00984533" w:rsidRPr="00B27059">
                <w:rPr>
                  <w:rStyle w:val="Hipercze"/>
                </w:rPr>
                <w:t>www.rpo.dolnyslask.pl</w:t>
              </w:r>
            </w:hyperlink>
            <w:r w:rsidR="00984533" w:rsidRPr="00B27059">
              <w:rPr>
                <w:rFonts w:cs="Arial"/>
                <w:color w:val="000000"/>
              </w:rPr>
              <w:t xml:space="preserve">. </w:t>
            </w:r>
          </w:p>
          <w:p w:rsidR="0040059D" w:rsidRPr="00B27059" w:rsidRDefault="0040059D" w:rsidP="0040059D">
            <w:pPr>
              <w:autoSpaceDE w:val="0"/>
              <w:autoSpaceDN w:val="0"/>
              <w:adjustRightInd w:val="0"/>
              <w:spacing w:after="0" w:line="240" w:lineRule="auto"/>
              <w:jc w:val="both"/>
              <w:rPr>
                <w:rFonts w:cs="MS Sans Serif"/>
              </w:rPr>
            </w:pPr>
            <w:r w:rsidRPr="00B27059">
              <w:rPr>
                <w:rFonts w:cs="MS Sans Serif"/>
              </w:rPr>
              <w:t xml:space="preserve">Na powyższej stronie zamieszczone są również wzory załączników do wniosku </w:t>
            </w:r>
            <w:r w:rsidRPr="00B27059">
              <w:rPr>
                <w:rFonts w:cs="MS Sans Serif"/>
              </w:rPr>
              <w:br/>
              <w:t>o dofinansowanie.</w:t>
            </w:r>
          </w:p>
          <w:p w:rsidR="00984533" w:rsidRPr="00B27059" w:rsidRDefault="00984533" w:rsidP="00480411">
            <w:pPr>
              <w:spacing w:before="120" w:after="120" w:line="240" w:lineRule="auto"/>
              <w:jc w:val="both"/>
            </w:pPr>
            <w:r w:rsidRPr="00B27059">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umowy </w:t>
            </w:r>
            <w:r w:rsidRPr="00B27059">
              <w:rPr>
                <w:rFonts w:asciiTheme="minorHAnsi" w:hAnsiTheme="minorHAnsi"/>
                <w:b/>
                <w:bCs/>
                <w:sz w:val="22"/>
                <w:szCs w:val="22"/>
              </w:rPr>
              <w:br/>
              <w:t xml:space="preserve">o dofinansowanie projektu: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Wzór umowy</w:t>
            </w:r>
            <w:r w:rsidR="00A84137" w:rsidRPr="00B27059">
              <w:rPr>
                <w:rFonts w:asciiTheme="minorHAnsi" w:hAnsiTheme="minorHAnsi"/>
                <w:sz w:val="22"/>
                <w:szCs w:val="22"/>
              </w:rPr>
              <w:t>/decyzji</w:t>
            </w:r>
            <w:r w:rsidRPr="00B27059">
              <w:rPr>
                <w:rFonts w:asciiTheme="minorHAnsi" w:hAnsiTheme="minorHAnsi"/>
                <w:sz w:val="22"/>
                <w:szCs w:val="22"/>
              </w:rPr>
              <w:t xml:space="preserve"> o dofinansowanie projektu, która będzie zawierana </w:t>
            </w:r>
            <w:r w:rsidRPr="00B27059">
              <w:rPr>
                <w:rFonts w:asciiTheme="minorHAnsi" w:hAnsiTheme="minorHAnsi"/>
                <w:sz w:val="22"/>
                <w:szCs w:val="22"/>
              </w:rPr>
              <w:br/>
              <w:t xml:space="preserve">z wnioskodawcami projektów wybranych do dofinansowania stanowi załącznik nr </w:t>
            </w:r>
            <w:r w:rsidR="00A84137" w:rsidRPr="00B27059">
              <w:rPr>
                <w:rFonts w:asciiTheme="minorHAnsi" w:hAnsiTheme="minorHAnsi"/>
                <w:sz w:val="22"/>
                <w:szCs w:val="22"/>
              </w:rPr>
              <w:t>6/7</w:t>
            </w:r>
            <w:r w:rsidRPr="00B27059">
              <w:rPr>
                <w:rFonts w:asciiTheme="minorHAnsi" w:hAnsiTheme="minorHAnsi"/>
                <w:sz w:val="22"/>
                <w:szCs w:val="22"/>
              </w:rPr>
              <w:t xml:space="preserve"> do </w:t>
            </w:r>
            <w:r w:rsidR="00A84137" w:rsidRPr="00B27059">
              <w:rPr>
                <w:rFonts w:asciiTheme="minorHAnsi" w:hAnsiTheme="minorHAnsi"/>
                <w:sz w:val="22"/>
                <w:szCs w:val="22"/>
              </w:rPr>
              <w:t xml:space="preserve">uchwały przyjmującej </w:t>
            </w:r>
            <w:r w:rsidRPr="00B27059">
              <w:rPr>
                <w:rFonts w:asciiTheme="minorHAnsi" w:hAnsiTheme="minorHAnsi"/>
                <w:sz w:val="22"/>
                <w:szCs w:val="22"/>
              </w:rPr>
              <w:t>niniejsz</w:t>
            </w:r>
            <w:r w:rsidR="00A84137" w:rsidRPr="00B27059">
              <w:rPr>
                <w:rFonts w:asciiTheme="minorHAnsi" w:hAnsiTheme="minorHAnsi"/>
                <w:sz w:val="22"/>
                <w:szCs w:val="22"/>
              </w:rPr>
              <w:t>y</w:t>
            </w:r>
            <w:r w:rsidRPr="00B27059">
              <w:rPr>
                <w:rFonts w:asciiTheme="minorHAnsi" w:hAnsiTheme="minorHAnsi"/>
                <w:sz w:val="22"/>
                <w:szCs w:val="22"/>
              </w:rPr>
              <w:t xml:space="preserve"> Regulaminu i jest zamieszczony na stronie </w:t>
            </w:r>
            <w:hyperlink r:id="rId18" w:history="1">
              <w:r w:rsidRPr="00B27059">
                <w:rPr>
                  <w:rStyle w:val="Hipercze"/>
                  <w:rFonts w:asciiTheme="minorHAnsi" w:hAnsiTheme="minorHAnsi"/>
                  <w:sz w:val="22"/>
                  <w:szCs w:val="22"/>
                </w:rPr>
                <w:t>www.rpo.dolnyslask.pl</w:t>
              </w:r>
            </w:hyperlink>
            <w:r w:rsidRPr="00B27059">
              <w:rPr>
                <w:rFonts w:asciiTheme="minorHAnsi" w:hAnsiTheme="minorHAnsi"/>
                <w:sz w:val="22"/>
                <w:szCs w:val="22"/>
              </w:rPr>
              <w:t xml:space="preserve">.   </w:t>
            </w:r>
          </w:p>
          <w:p w:rsidR="00A84137" w:rsidRPr="00B27059" w:rsidRDefault="00A84137" w:rsidP="00480411">
            <w:pPr>
              <w:pStyle w:val="Default"/>
              <w:jc w:val="both"/>
              <w:rPr>
                <w:rFonts w:asciiTheme="minorHAnsi" w:hAnsiTheme="minorHAns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Wzór umowy</w:t>
            </w:r>
            <w:r w:rsidR="00A84137" w:rsidRPr="00B27059">
              <w:rPr>
                <w:rFonts w:asciiTheme="minorHAnsi" w:hAnsiTheme="minorHAnsi"/>
                <w:sz w:val="22"/>
                <w:szCs w:val="22"/>
              </w:rPr>
              <w:t>/decyzji</w:t>
            </w:r>
            <w:r w:rsidRPr="00B27059">
              <w:rPr>
                <w:rFonts w:asciiTheme="minorHAnsi" w:hAnsiTheme="minorHAnsi"/>
                <w:sz w:val="22"/>
                <w:szCs w:val="22"/>
              </w:rPr>
              <w:t xml:space="preserve"> zawiera wszystkie postanowienia wymagane przepisami prawa,</w:t>
            </w:r>
            <w:r w:rsidR="00A84137" w:rsidRPr="00B27059">
              <w:rPr>
                <w:rFonts w:asciiTheme="minorHAnsi" w:hAnsiTheme="minorHAnsi"/>
                <w:sz w:val="22"/>
                <w:szCs w:val="22"/>
              </w:rPr>
              <w:t xml:space="preserve"> </w:t>
            </w:r>
            <w:r w:rsidRPr="00B27059">
              <w:rPr>
                <w:rFonts w:asciiTheme="minorHAnsi" w:hAnsiTheme="minorHAnsi"/>
                <w:sz w:val="22"/>
                <w:szCs w:val="22"/>
              </w:rPr>
              <w:t xml:space="preserve">w tym wynikające z przepisów ustawy o finansach publicznych, określające elementy umowy o dofinansowanie. </w:t>
            </w:r>
          </w:p>
          <w:p w:rsidR="00984533" w:rsidRPr="00B27059" w:rsidRDefault="00984533" w:rsidP="00FD6131">
            <w:pPr>
              <w:pStyle w:val="Default"/>
              <w:jc w:val="both"/>
            </w:pPr>
            <w:r w:rsidRPr="00B27059">
              <w:rPr>
                <w:rFonts w:asciiTheme="minorHAnsi" w:hAnsiTheme="minorHAnsi"/>
                <w:sz w:val="22"/>
                <w:szCs w:val="22"/>
              </w:rPr>
              <w:t>Wzór umowy</w:t>
            </w:r>
            <w:r w:rsidR="000D3A04" w:rsidRPr="00B27059">
              <w:rPr>
                <w:rFonts w:asciiTheme="minorHAnsi" w:hAnsiTheme="minorHAnsi"/>
                <w:sz w:val="22"/>
                <w:szCs w:val="22"/>
              </w:rPr>
              <w:t>/decyzji</w:t>
            </w:r>
            <w:r w:rsidRPr="00B27059">
              <w:rPr>
                <w:rFonts w:asciiTheme="minorHAnsi" w:hAnsiTheme="minorHAnsi"/>
                <w:sz w:val="22"/>
                <w:szCs w:val="22"/>
              </w:rPr>
              <w:t xml:space="preserve"> uwzględnia prawa i obowiązki beneficjenta oraz właściwej instytucji udzielającej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załącznik nr </w:t>
            </w:r>
            <w:r w:rsidR="00AA219A" w:rsidRPr="00B27059">
              <w:rPr>
                <w:rFonts w:asciiTheme="minorHAnsi" w:hAnsiTheme="minorHAnsi"/>
                <w:sz w:val="22"/>
                <w:szCs w:val="22"/>
              </w:rPr>
              <w:t xml:space="preserve">1 </w:t>
            </w:r>
            <w:r w:rsidRPr="00B27059">
              <w:rPr>
                <w:rFonts w:asciiTheme="minorHAnsi" w:hAnsiTheme="minorHAnsi"/>
                <w:sz w:val="22"/>
                <w:szCs w:val="22"/>
              </w:rPr>
              <w:t>do niniejszego Regulaminu.</w:t>
            </w:r>
          </w:p>
          <w:p w:rsidR="00A41980" w:rsidRDefault="00984533" w:rsidP="00AD17E2">
            <w:pPr>
              <w:pStyle w:val="Default"/>
              <w:jc w:val="both"/>
              <w:rPr>
                <w:rFonts w:asciiTheme="minorHAnsi" w:hAnsiTheme="minorHAnsi"/>
                <w:sz w:val="22"/>
                <w:szCs w:val="22"/>
              </w:rPr>
            </w:pPr>
            <w:r w:rsidRPr="00B27059">
              <w:rPr>
                <w:bCs/>
                <w:i/>
                <w:iCs/>
                <w:sz w:val="22"/>
                <w:szCs w:val="22"/>
              </w:rPr>
              <w:t>„Kryteria wyboru projektów w ramach RPO WD 2014-2020”</w:t>
            </w:r>
            <w:r w:rsidRPr="00B27059">
              <w:rPr>
                <w:bCs/>
                <w:iCs/>
                <w:sz w:val="22"/>
                <w:szCs w:val="22"/>
              </w:rPr>
              <w:t xml:space="preserve">, </w:t>
            </w:r>
            <w:r w:rsidRPr="00B27059">
              <w:rPr>
                <w:iCs/>
                <w:sz w:val="22"/>
                <w:szCs w:val="22"/>
              </w:rPr>
              <w:t>zatwierdzone uchwałą nr</w:t>
            </w:r>
            <w:r w:rsidR="00DB5D60" w:rsidRPr="00B27059">
              <w:rPr>
                <w:iCs/>
                <w:sz w:val="22"/>
                <w:szCs w:val="22"/>
              </w:rPr>
              <w:t xml:space="preserve"> </w:t>
            </w:r>
            <w:r w:rsidR="00673C73" w:rsidRPr="00B27059">
              <w:rPr>
                <w:iCs/>
                <w:sz w:val="22"/>
                <w:szCs w:val="22"/>
              </w:rPr>
              <w:t>31</w:t>
            </w:r>
            <w:r w:rsidR="005779A2" w:rsidRPr="00B27059">
              <w:rPr>
                <w:iCs/>
                <w:sz w:val="22"/>
                <w:szCs w:val="22"/>
              </w:rPr>
              <w:t>/16</w:t>
            </w:r>
            <w:r w:rsidRPr="00B27059">
              <w:rPr>
                <w:iCs/>
                <w:sz w:val="22"/>
                <w:szCs w:val="22"/>
              </w:rPr>
              <w:t xml:space="preserve"> z dnia </w:t>
            </w:r>
            <w:r w:rsidR="00A216E3" w:rsidRPr="00B27059">
              <w:rPr>
                <w:iCs/>
                <w:sz w:val="22"/>
                <w:szCs w:val="22"/>
              </w:rPr>
              <w:t>0</w:t>
            </w:r>
            <w:r w:rsidR="00673C73" w:rsidRPr="00B27059">
              <w:rPr>
                <w:iCs/>
                <w:sz w:val="22"/>
                <w:szCs w:val="22"/>
              </w:rPr>
              <w:t>7</w:t>
            </w:r>
            <w:r w:rsidR="00D5162B" w:rsidRPr="00B27059">
              <w:rPr>
                <w:iCs/>
                <w:sz w:val="22"/>
                <w:szCs w:val="22"/>
              </w:rPr>
              <w:t xml:space="preserve"> </w:t>
            </w:r>
            <w:r w:rsidR="00673C73" w:rsidRPr="00B27059">
              <w:rPr>
                <w:iCs/>
                <w:sz w:val="22"/>
                <w:szCs w:val="22"/>
              </w:rPr>
              <w:t>kwietnia</w:t>
            </w:r>
            <w:r w:rsidR="00D5162B" w:rsidRPr="00B27059">
              <w:rPr>
                <w:iCs/>
                <w:sz w:val="22"/>
                <w:szCs w:val="22"/>
              </w:rPr>
              <w:t xml:space="preserve"> </w:t>
            </w:r>
            <w:r w:rsidR="005779A2" w:rsidRPr="00B27059">
              <w:rPr>
                <w:iCs/>
                <w:sz w:val="22"/>
                <w:szCs w:val="22"/>
              </w:rPr>
              <w:t>2016</w:t>
            </w:r>
            <w:r w:rsidR="009455A4" w:rsidRPr="00B27059">
              <w:rPr>
                <w:iCs/>
                <w:sz w:val="22"/>
                <w:szCs w:val="22"/>
              </w:rPr>
              <w:t xml:space="preserve"> r. </w:t>
            </w:r>
            <w:r w:rsidRPr="00B27059">
              <w:rPr>
                <w:iCs/>
                <w:sz w:val="22"/>
                <w:szCs w:val="22"/>
              </w:rPr>
              <w:t>przez Komitet Monitorujący Regionalnego Programu Operacyjnego Województwa Dolnośląskiego</w:t>
            </w:r>
            <w:r w:rsidRPr="00B27059">
              <w:rPr>
                <w:rFonts w:asciiTheme="minorHAnsi" w:hAnsiTheme="minorHAnsi"/>
                <w:sz w:val="22"/>
                <w:szCs w:val="22"/>
              </w:rPr>
              <w:t xml:space="preserve"> są zamieszczone na stronie </w:t>
            </w:r>
            <w:hyperlink r:id="rId19" w:history="1">
              <w:r w:rsidRPr="00B27059">
                <w:rPr>
                  <w:rStyle w:val="Hipercze"/>
                  <w:rFonts w:asciiTheme="minorHAnsi" w:hAnsiTheme="minorHAnsi"/>
                  <w:sz w:val="22"/>
                  <w:szCs w:val="22"/>
                </w:rPr>
                <w:t>www.rpo.dolnyslask.pl</w:t>
              </w:r>
            </w:hyperlink>
            <w:r w:rsidRPr="00B27059">
              <w:rPr>
                <w:rFonts w:asciiTheme="minorHAnsi" w:hAnsiTheme="minorHAnsi"/>
                <w:sz w:val="22"/>
                <w:szCs w:val="22"/>
              </w:rPr>
              <w:t xml:space="preserve">.   </w:t>
            </w:r>
          </w:p>
          <w:p w:rsidR="00B445B8" w:rsidRDefault="00B445B8" w:rsidP="00AD17E2">
            <w:pPr>
              <w:pStyle w:val="Default"/>
              <w:jc w:val="both"/>
              <w:rPr>
                <w:rFonts w:asciiTheme="minorHAnsi" w:hAnsiTheme="minorHAnsi"/>
                <w:sz w:val="22"/>
                <w:szCs w:val="22"/>
              </w:rPr>
            </w:pPr>
          </w:p>
          <w:p w:rsidR="00B445B8" w:rsidRPr="00B445B8" w:rsidRDefault="00B445B8" w:rsidP="00B445B8">
            <w:pPr>
              <w:pStyle w:val="Default"/>
              <w:jc w:val="both"/>
              <w:rPr>
                <w:rFonts w:asciiTheme="minorHAnsi" w:hAnsiTheme="minorHAnsi"/>
                <w:sz w:val="22"/>
                <w:szCs w:val="22"/>
              </w:rPr>
            </w:pPr>
            <w:r w:rsidRPr="00B445B8">
              <w:rPr>
                <w:rFonts w:eastAsia="Times New Roman" w:cs="Arial"/>
                <w:b/>
                <w:bCs/>
                <w:color w:val="auto"/>
                <w:sz w:val="22"/>
                <w:szCs w:val="22"/>
                <w:u w:val="single"/>
              </w:rPr>
              <w:t>Dot. kryterium „Lokalizacja obiektu</w:t>
            </w:r>
            <w:r w:rsidRPr="00710091">
              <w:rPr>
                <w:rFonts w:eastAsia="Times New Roman" w:cs="Arial"/>
                <w:b/>
                <w:bCs/>
                <w:color w:val="auto"/>
                <w:sz w:val="22"/>
                <w:szCs w:val="22"/>
              </w:rPr>
              <w:t xml:space="preserve"> -</w:t>
            </w:r>
            <w:r w:rsidRPr="00B445B8">
              <w:rPr>
                <w:rFonts w:eastAsia="Times New Roman" w:cs="Arial"/>
                <w:bCs/>
                <w:color w:val="auto"/>
                <w:sz w:val="22"/>
                <w:szCs w:val="22"/>
              </w:rPr>
              <w:t xml:space="preserve"> </w:t>
            </w:r>
            <w:r w:rsidRPr="00B445B8">
              <w:rPr>
                <w:rFonts w:eastAsia="Times New Roman" w:cs="Arial"/>
                <w:bCs/>
                <w:sz w:val="22"/>
                <w:szCs w:val="22"/>
              </w:rPr>
              <w:t xml:space="preserve">kryterium weryfikowane na podstawie: </w:t>
            </w:r>
            <w:r w:rsidRPr="00B445B8">
              <w:rPr>
                <w:rFonts w:asciiTheme="minorHAnsi" w:hAnsiTheme="minorHAnsi" w:cs="Arial"/>
                <w:bCs/>
                <w:sz w:val="22"/>
                <w:szCs w:val="22"/>
              </w:rPr>
              <w:t xml:space="preserve">Uchwały nr 3893/III/10 Zarządu Województwa Dolnośląskiego z dnia 19 stycznia 2010 r. w sprawie przyjęcia listy szlaków turystycznych o znaczeniu regionalnym dla Województwa Dolnośląskiego z </w:t>
            </w:r>
            <w:proofErr w:type="spellStart"/>
            <w:r w:rsidRPr="00B445B8">
              <w:rPr>
                <w:rFonts w:asciiTheme="minorHAnsi" w:hAnsiTheme="minorHAnsi" w:cs="Arial"/>
                <w:bCs/>
                <w:sz w:val="22"/>
                <w:szCs w:val="22"/>
              </w:rPr>
              <w:t>późn</w:t>
            </w:r>
            <w:proofErr w:type="spellEnd"/>
            <w:r w:rsidRPr="00B445B8">
              <w:rPr>
                <w:rFonts w:asciiTheme="minorHAnsi" w:hAnsiTheme="minorHAnsi" w:cs="Arial"/>
                <w:bCs/>
                <w:sz w:val="22"/>
                <w:szCs w:val="22"/>
              </w:rPr>
              <w:t xml:space="preserve">. zm. </w:t>
            </w:r>
          </w:p>
          <w:p w:rsidR="00B445B8" w:rsidRDefault="00B445B8" w:rsidP="00AD17E2">
            <w:pPr>
              <w:pStyle w:val="Default"/>
              <w:jc w:val="both"/>
              <w:rPr>
                <w:rFonts w:eastAsia="Times New Roman" w:cs="Arial"/>
                <w:b/>
                <w:bCs/>
                <w:color w:val="auto"/>
                <w:sz w:val="22"/>
                <w:szCs w:val="22"/>
                <w:u w:val="single"/>
              </w:rPr>
            </w:pPr>
          </w:p>
          <w:p w:rsidR="00710091" w:rsidRPr="00710091" w:rsidRDefault="00B445B8" w:rsidP="00710091">
            <w:pPr>
              <w:pStyle w:val="Default"/>
              <w:jc w:val="both"/>
              <w:rPr>
                <w:rFonts w:eastAsia="Times New Roman" w:cs="Arial"/>
                <w:bCs/>
                <w:sz w:val="22"/>
                <w:szCs w:val="22"/>
              </w:rPr>
            </w:pPr>
            <w:r w:rsidRPr="00710091">
              <w:rPr>
                <w:rFonts w:eastAsia="Times New Roman" w:cs="Arial"/>
                <w:b/>
                <w:bCs/>
                <w:color w:val="auto"/>
                <w:sz w:val="22"/>
                <w:szCs w:val="22"/>
                <w:u w:val="single"/>
              </w:rPr>
              <w:t>Dot. kryterium</w:t>
            </w:r>
            <w:r w:rsidRPr="00710091">
              <w:rPr>
                <w:rFonts w:eastAsia="Times New Roman" w:cs="Arial"/>
                <w:b/>
                <w:bCs/>
                <w:color w:val="auto"/>
                <w:sz w:val="22"/>
                <w:szCs w:val="22"/>
              </w:rPr>
              <w:t xml:space="preserve"> „</w:t>
            </w:r>
            <w:r w:rsidRPr="00710091">
              <w:rPr>
                <w:rFonts w:eastAsia="Times New Roman" w:cs="Arial"/>
                <w:b/>
                <w:bCs/>
                <w:sz w:val="22"/>
                <w:szCs w:val="22"/>
              </w:rPr>
              <w:t xml:space="preserve">Zgodność z </w:t>
            </w:r>
            <w:r w:rsidRPr="00710091">
              <w:rPr>
                <w:rFonts w:cs="Arial"/>
                <w:b/>
                <w:sz w:val="22"/>
                <w:szCs w:val="22"/>
              </w:rPr>
              <w:t>Planem zagospodarowania przestrzennego województwa dolnośląskiego” -</w:t>
            </w:r>
            <w:r w:rsidRPr="00710091">
              <w:rPr>
                <w:rFonts w:eastAsia="Times New Roman" w:cs="Arial"/>
                <w:bCs/>
                <w:sz w:val="22"/>
                <w:szCs w:val="22"/>
              </w:rPr>
              <w:t xml:space="preserve"> kryterium weryfikowane na podstawie:</w:t>
            </w:r>
            <w:r w:rsidR="00710091" w:rsidRPr="00710091">
              <w:rPr>
                <w:rFonts w:eastAsia="Times New Roman" w:cs="Arial"/>
                <w:bCs/>
                <w:sz w:val="22"/>
                <w:szCs w:val="22"/>
              </w:rPr>
              <w:t xml:space="preserve"> </w:t>
            </w:r>
            <w:r w:rsidR="00710091" w:rsidRPr="00710091">
              <w:rPr>
                <w:rFonts w:asciiTheme="minorHAnsi" w:hAnsiTheme="minorHAnsi"/>
                <w:sz w:val="22"/>
                <w:szCs w:val="22"/>
              </w:rPr>
              <w:t xml:space="preserve">Wyciągu z Planu Zagospodarowania Przestrzennego </w:t>
            </w:r>
            <w:r w:rsidR="00710091" w:rsidRPr="00710091">
              <w:rPr>
                <w:rFonts w:asciiTheme="minorHAnsi" w:hAnsiTheme="minorHAnsi" w:cs="Arial"/>
                <w:sz w:val="22"/>
                <w:szCs w:val="22"/>
              </w:rPr>
              <w:t>Województwa Dolnośląskiego</w:t>
            </w:r>
            <w:r w:rsidR="00710091" w:rsidRPr="00710091">
              <w:rPr>
                <w:rFonts w:asciiTheme="minorHAnsi" w:hAnsiTheme="minorHAnsi" w:cs="Arial"/>
                <w:b/>
                <w:sz w:val="22"/>
                <w:szCs w:val="22"/>
              </w:rPr>
              <w:t xml:space="preserve">. </w:t>
            </w:r>
            <w:r w:rsidR="00710091" w:rsidRPr="00710091">
              <w:rPr>
                <w:rStyle w:val="Pogrubienie"/>
                <w:rFonts w:asciiTheme="minorHAnsi" w:hAnsiTheme="minorHAnsi" w:cs="Arial"/>
                <w:b w:val="0"/>
                <w:sz w:val="22"/>
                <w:szCs w:val="22"/>
              </w:rPr>
              <w:t>Perspektywa 2020</w:t>
            </w:r>
            <w:r w:rsidR="00710091" w:rsidRPr="00710091">
              <w:rPr>
                <w:rFonts w:asciiTheme="minorHAnsi" w:hAnsiTheme="minorHAnsi" w:cs="Arial"/>
                <w:sz w:val="22"/>
                <w:szCs w:val="22"/>
              </w:rPr>
              <w:t> (Uchwała Nr XLVIII/1622/2014 Sejmiku Województwa Dolnośląskiego z dnia </w:t>
            </w:r>
            <w:r w:rsidR="00710091" w:rsidRPr="00710091">
              <w:rPr>
                <w:rStyle w:val="Pogrubienie"/>
                <w:rFonts w:asciiTheme="minorHAnsi" w:hAnsiTheme="minorHAnsi" w:cs="Arial"/>
                <w:b w:val="0"/>
                <w:sz w:val="22"/>
                <w:szCs w:val="22"/>
              </w:rPr>
              <w:t>27 marca 2014 r.</w:t>
            </w:r>
            <w:r w:rsidR="00710091" w:rsidRPr="00710091">
              <w:rPr>
                <w:rFonts w:asciiTheme="minorHAnsi" w:hAnsiTheme="minorHAnsi" w:cs="Arial"/>
                <w:sz w:val="22"/>
                <w:szCs w:val="22"/>
              </w:rPr>
              <w:t>)  – obiekty zabytkowe</w:t>
            </w:r>
            <w:r w:rsidR="00710091">
              <w:rPr>
                <w:rFonts w:asciiTheme="minorHAnsi" w:hAnsiTheme="minorHAnsi" w:cs="Arial"/>
                <w:sz w:val="22"/>
                <w:szCs w:val="22"/>
              </w:rPr>
              <w:t xml:space="preserve">, umieszczonego na stronie </w:t>
            </w:r>
            <w:hyperlink r:id="rId20" w:history="1">
              <w:r w:rsidR="00710091" w:rsidRPr="0035103A">
                <w:rPr>
                  <w:rStyle w:val="Hipercze"/>
                  <w:rFonts w:asciiTheme="minorHAnsi" w:hAnsiTheme="minorHAnsi" w:cs="Arial"/>
                  <w:sz w:val="22"/>
                  <w:szCs w:val="22"/>
                </w:rPr>
                <w:t>www.rpo.dolnyslask.pl</w:t>
              </w:r>
            </w:hyperlink>
            <w:r w:rsidR="00710091">
              <w:rPr>
                <w:rFonts w:asciiTheme="minorHAnsi" w:hAnsiTheme="minorHAnsi" w:cs="Arial"/>
                <w:sz w:val="22"/>
                <w:szCs w:val="22"/>
              </w:rPr>
              <w:t xml:space="preserve"> wraz z dokumentacją konkursową</w:t>
            </w:r>
            <w:r w:rsidR="00710091" w:rsidRPr="00710091">
              <w:rPr>
                <w:rFonts w:asciiTheme="minorHAnsi" w:hAnsiTheme="minorHAnsi" w:cs="Arial"/>
                <w:sz w:val="22"/>
                <w:szCs w:val="22"/>
              </w:rPr>
              <w:t>.</w:t>
            </w:r>
          </w:p>
          <w:p w:rsidR="00B445B8" w:rsidRPr="00B27059" w:rsidRDefault="00B445B8" w:rsidP="00AD17E2">
            <w:pPr>
              <w:pStyle w:val="Default"/>
              <w:jc w:val="both"/>
              <w:rPr>
                <w:rFonts w:asciiTheme="minorHAnsi" w:hAnsiTheme="minorHAnsi"/>
                <w:sz w:val="22"/>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480411">
            <w:pPr>
              <w:spacing w:before="240" w:line="240" w:lineRule="auto"/>
              <w:jc w:val="both"/>
            </w:pPr>
            <w:r w:rsidRPr="00B27059">
              <w:t xml:space="preserve">Studium wykonalności nie stanowi osobnego załącznika do wniosku </w:t>
            </w:r>
            <w:r w:rsidRPr="00B27059">
              <w:br/>
              <w:t xml:space="preserve">o dofinansowanie. Część opisowa studium jest zintegrowana z wnioskiem, </w:t>
            </w:r>
            <w:r w:rsidRPr="00B27059">
              <w:lastRenderedPageBreak/>
              <w:t xml:space="preserve">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B27059" w:rsidRDefault="00984533" w:rsidP="00480411">
            <w:pPr>
              <w:spacing w:before="240" w:line="240" w:lineRule="auto"/>
              <w:jc w:val="both"/>
            </w:pPr>
            <w:r w:rsidRPr="00B27059">
              <w:t xml:space="preserve">Na stronie internetowej </w:t>
            </w:r>
            <w:hyperlink r:id="rId21"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p>
          <w:p w:rsidR="008505B1" w:rsidRPr="00B27059" w:rsidRDefault="008505B1" w:rsidP="00480411">
            <w:pPr>
              <w:spacing w:before="240" w:line="240" w:lineRule="auto"/>
              <w:jc w:val="both"/>
              <w:rPr>
                <w:rFonts w:cs="Calibri"/>
              </w:rPr>
            </w:pPr>
            <w:r w:rsidRPr="00B27059">
              <w:rPr>
                <w:rFonts w:cs="Calibri"/>
              </w:rPr>
              <w:t>Dokładny link:</w:t>
            </w:r>
          </w:p>
          <w:p w:rsidR="008505B1" w:rsidRPr="00B27059" w:rsidRDefault="00B45E60" w:rsidP="00480411">
            <w:pPr>
              <w:spacing w:before="240" w:line="240" w:lineRule="auto"/>
              <w:jc w:val="both"/>
              <w:rPr>
                <w:rFonts w:cs="Calibri"/>
              </w:rPr>
            </w:pPr>
            <w:hyperlink r:id="rId22" w:anchor="more-3218" w:history="1">
              <w:r w:rsidR="008505B1" w:rsidRPr="00B27059">
                <w:rPr>
                  <w:rStyle w:val="Hipercze"/>
                  <w:rFonts w:cs="Calibri"/>
                </w:rPr>
                <w:t>http://rpo.dolnyslask.pl/analiza-finansowa-na-potrzeby-aplikacji-o-srodki-europejskiego-funduszu-rozwoju-regionalnego-w-ramach-rpo-wd-2014-2020-przyklady/#more-3218</w:t>
              </w:r>
            </w:hyperlink>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21.</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6A2DD1" w:rsidRPr="00B27059">
              <w:t>4.</w:t>
            </w:r>
            <w:r w:rsidR="00DB783D">
              <w:t>3</w:t>
            </w:r>
            <w:r w:rsidR="00A61522" w:rsidRPr="00B27059">
              <w:t xml:space="preserve">.1 </w:t>
            </w:r>
            <w:r w:rsidR="00DB783D">
              <w:rPr>
                <w:rFonts w:cs="Arial"/>
                <w:bCs/>
              </w:rPr>
              <w:t>Dziedzictwo kulturowe</w:t>
            </w:r>
            <w:r w:rsidR="00AC0C48" w:rsidRPr="00B27059">
              <w:rPr>
                <w:rFonts w:cs="Arial"/>
              </w:rPr>
              <w:t xml:space="preserve"> – konkursy horyzontalne,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after="0" w:line="240" w:lineRule="auto"/>
              <w:jc w:val="both"/>
              <w:rPr>
                <w:rFonts w:ascii="Calibri" w:hAnsi="Calibri"/>
              </w:rPr>
            </w:pPr>
            <w:r w:rsidRPr="00B27059">
              <w:rPr>
                <w:rFonts w:ascii="Calibri" w:hAnsi="Calibri"/>
              </w:rPr>
              <w:t xml:space="preserve">IZ RPO WD, po zakończeniu każdego etapu konkursu (poza oceną wpływu projektów na realizację Strategii Rozwoju Województwa Dolnośląskiego 2020) </w:t>
            </w:r>
            <w:r w:rsidRPr="00B2705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t>
            </w:r>
            <w:r w:rsidRPr="00B27059">
              <w:rPr>
                <w:rFonts w:ascii="Calibri" w:hAnsi="Calibri"/>
              </w:rPr>
              <w:lastRenderedPageBreak/>
              <w:t xml:space="preserve">wynik oceny wraz z uzasadnieniem oceny i podaniem liczby punktów otrzymanych przez projekt lub informację o spełnieniu albo niespełnieniu kryteriów wyboru projektów. </w:t>
            </w:r>
          </w:p>
          <w:p w:rsidR="00984533" w:rsidRPr="00B27059" w:rsidRDefault="00984533" w:rsidP="00480411">
            <w:pPr>
              <w:spacing w:after="0" w:line="240" w:lineRule="auto"/>
              <w:jc w:val="both"/>
              <w:rPr>
                <w:rFonts w:ascii="Calibri" w:hAnsi="Calibri"/>
              </w:rPr>
            </w:pPr>
            <w:r w:rsidRPr="00B27059">
              <w:rPr>
                <w:rFonts w:ascii="Calibri" w:hAnsi="Calibri"/>
              </w:rPr>
              <w:t>Po poszczególnych etapach oceny formalnej i</w:t>
            </w:r>
            <w:r w:rsidRPr="00B27059" w:rsidDel="00D37D97">
              <w:t xml:space="preserve"> </w:t>
            </w:r>
            <w:r w:rsidRPr="00B2705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B27059">
              <w:t xml:space="preserve"> </w:t>
            </w:r>
            <w:r w:rsidRPr="00B27059">
              <w:rPr>
                <w:rFonts w:ascii="Calibri" w:hAnsi="Calibri"/>
              </w:rPr>
              <w:t>ustawy wdrożeniowej.</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D63A11" w:rsidRPr="00B27059" w:rsidRDefault="009C7DD5" w:rsidP="00D63A11">
            <w:pPr>
              <w:spacing w:after="0" w:line="240" w:lineRule="auto"/>
              <w:jc w:val="both"/>
              <w:rPr>
                <w:rFonts w:ascii="Calibri" w:hAnsi="Calibri"/>
              </w:rPr>
            </w:pPr>
            <w:r w:rsidRPr="00B27059">
              <w:rPr>
                <w:rFonts w:ascii="Calibri" w:hAnsi="Calibri"/>
              </w:rPr>
              <w:t xml:space="preserve">Zgodnie z art. 53 ust. 2 ustawy wdrożeniowej protest </w:t>
            </w:r>
            <w:r w:rsidR="00984533" w:rsidRPr="00B27059">
              <w:rPr>
                <w:rFonts w:ascii="Calibri" w:hAnsi="Calibri"/>
              </w:rPr>
              <w:t xml:space="preserve">przysługuje Wnioskodawcy od negatywnej oceny  projektu </w:t>
            </w:r>
            <w:r w:rsidR="00D63A11" w:rsidRPr="00B27059">
              <w:rPr>
                <w:rFonts w:ascii="Calibri" w:hAnsi="Calibri"/>
              </w:rPr>
              <w:t>w zakresie spełnienia przez projekt kryteriów wyboru projektów, w ramach której:</w:t>
            </w:r>
          </w:p>
          <w:p w:rsidR="00D63A11" w:rsidRPr="00B27059" w:rsidRDefault="00D63A11" w:rsidP="00D63A11">
            <w:pPr>
              <w:spacing w:after="0" w:line="240" w:lineRule="auto"/>
              <w:jc w:val="both"/>
              <w:rPr>
                <w:rFonts w:ascii="Calibri" w:hAnsi="Calibri"/>
              </w:rPr>
            </w:pPr>
            <w:r w:rsidRPr="00B27059">
              <w:rPr>
                <w:rFonts w:ascii="Calibri" w:hAnsi="Calibri"/>
              </w:rPr>
              <w:t>1.</w:t>
            </w:r>
            <w:r w:rsidRPr="00B27059">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B27059" w:rsidRDefault="00D63A11" w:rsidP="00D63A11">
            <w:pPr>
              <w:spacing w:after="0" w:line="240" w:lineRule="auto"/>
              <w:jc w:val="both"/>
              <w:rPr>
                <w:rFonts w:ascii="Calibri" w:hAnsi="Calibri"/>
              </w:rPr>
            </w:pPr>
            <w:r w:rsidRPr="00B27059">
              <w:rPr>
                <w:rFonts w:ascii="Calibri" w:hAnsi="Calibri"/>
              </w:rPr>
              <w:t>lub</w:t>
            </w:r>
          </w:p>
          <w:p w:rsidR="00D63A11" w:rsidRPr="00B27059" w:rsidRDefault="00D63A11" w:rsidP="00D63A11">
            <w:pPr>
              <w:spacing w:after="0" w:line="240" w:lineRule="auto"/>
              <w:jc w:val="both"/>
              <w:rPr>
                <w:rFonts w:ascii="Calibri" w:hAnsi="Calibri"/>
              </w:rPr>
            </w:pPr>
            <w:r w:rsidRPr="00B27059">
              <w:rPr>
                <w:rFonts w:ascii="Calibri" w:hAnsi="Calibri"/>
              </w:rPr>
              <w:t>2.</w:t>
            </w:r>
            <w:r w:rsidRPr="00B27059">
              <w:rPr>
                <w:rFonts w:ascii="Calibri" w:hAnsi="Calibri"/>
              </w:rPr>
              <w:tab/>
              <w:t xml:space="preserve">projekt uzyskał wymaganą liczbę punktów lub spełnił kryteria wyboru projektów, jednak kwota przeznaczona na dofinansowanie projektów </w:t>
            </w:r>
            <w:r w:rsidR="00C41509" w:rsidRPr="00B27059">
              <w:rPr>
                <w:rFonts w:ascii="Calibri" w:hAnsi="Calibri"/>
              </w:rPr>
              <w:br/>
            </w:r>
            <w:r w:rsidRPr="00B27059">
              <w:rPr>
                <w:rFonts w:ascii="Calibri" w:hAnsi="Calibri"/>
              </w:rPr>
              <w:t>w konkursie nie wystarcza na wybranie go do dofinansowania (z zastrzeżeniem zapisów art. 53 ust. 3 ustawy wdrożeniowej).</w:t>
            </w:r>
          </w:p>
          <w:p w:rsidR="00984533" w:rsidRPr="00B27059" w:rsidRDefault="00984533" w:rsidP="00D63A11">
            <w:pPr>
              <w:spacing w:after="0" w:line="240" w:lineRule="auto"/>
              <w:jc w:val="both"/>
              <w:rPr>
                <w:rFonts w:ascii="Calibri" w:hAnsi="Calibri"/>
              </w:rPr>
            </w:pPr>
            <w:r w:rsidRPr="00B27059">
              <w:rPr>
                <w:rFonts w:ascii="Calibri" w:hAnsi="Calibri"/>
              </w:rPr>
              <w:t xml:space="preserve">Termin </w:t>
            </w:r>
            <w:r w:rsidR="00B52DF1" w:rsidRPr="00B27059">
              <w:rPr>
                <w:rFonts w:ascii="Calibri" w:hAnsi="Calibri"/>
              </w:rPr>
              <w:t xml:space="preserve">14 dni </w:t>
            </w:r>
            <w:r w:rsidRPr="00B27059">
              <w:rPr>
                <w:rFonts w:ascii="Calibri" w:hAnsi="Calibri"/>
              </w:rPr>
              <w:t xml:space="preserve">na wniesienie przez Wnioskodawcę protestu (o którym mowa </w:t>
            </w:r>
            <w:r w:rsidR="00C41509" w:rsidRPr="00B27059">
              <w:rPr>
                <w:rFonts w:ascii="Calibri" w:hAnsi="Calibri"/>
              </w:rPr>
              <w:br/>
            </w:r>
            <w:r w:rsidRPr="00B27059">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B27059" w:rsidRDefault="00984533" w:rsidP="00480411">
            <w:pPr>
              <w:widowControl w:val="0"/>
              <w:autoSpaceDE w:val="0"/>
              <w:autoSpaceDN w:val="0"/>
              <w:adjustRightInd w:val="0"/>
              <w:spacing w:after="0" w:line="240" w:lineRule="auto"/>
              <w:jc w:val="both"/>
              <w:rPr>
                <w:rFonts w:ascii="Calibri" w:hAnsi="Calibri"/>
              </w:rPr>
            </w:pP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Protest jest wnoszony przez Wnioskodawcę w formie pisemnej, bezpośrednio do IZ RPO WD. Zgodnie z art. 54 ust. 2 ustawy wdrożeniowej, </w:t>
            </w:r>
            <w:r w:rsidRPr="00B2705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2705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w:t>
            </w:r>
            <w:r w:rsidRPr="00B27059">
              <w:rPr>
                <w:rFonts w:ascii="Calibri" w:hAnsi="Calibri"/>
              </w:rPr>
              <w:lastRenderedPageBreak/>
              <w:t>zakresie, w ramach której Wnioskodawca wycofał protest, jednak wyłącznie przy zachowaniu pierwotnego terminu na wniesienie protestu.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tabs>
                <w:tab w:val="num" w:pos="0"/>
              </w:tabs>
              <w:spacing w:after="0" w:line="240" w:lineRule="auto"/>
              <w:jc w:val="both"/>
              <w:rPr>
                <w:rFonts w:ascii="Calibri" w:hAnsi="Calibri" w:cs="Arial"/>
              </w:rPr>
            </w:pPr>
            <w:r w:rsidRPr="00B27059">
              <w:rPr>
                <w:rFonts w:ascii="Calibri" w:hAnsi="Calibri" w:cs="Arial"/>
              </w:rPr>
              <w:t xml:space="preserve">IZ RPO WD rozpatruje protest – weryfikując prawidłowość oceny projektu </w:t>
            </w:r>
            <w:r w:rsidRPr="00B2705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spacing w:after="0" w:line="240" w:lineRule="auto"/>
              <w:jc w:val="both"/>
              <w:rPr>
                <w:rFonts w:ascii="Calibri" w:hAnsi="Calibri"/>
              </w:rPr>
            </w:pPr>
            <w:r w:rsidRPr="00B2705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B27059" w:rsidRDefault="00984533" w:rsidP="00480411">
            <w:pPr>
              <w:spacing w:after="0" w:line="240" w:lineRule="auto"/>
              <w:jc w:val="both"/>
              <w:rPr>
                <w:rFonts w:ascii="Calibri" w:hAnsi="Calibri"/>
              </w:rPr>
            </w:pPr>
            <w:r w:rsidRPr="00B2705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B27059" w:rsidRDefault="00984533" w:rsidP="00480411">
            <w:pPr>
              <w:tabs>
                <w:tab w:val="num" w:pos="0"/>
              </w:tabs>
              <w:spacing w:after="0" w:line="240" w:lineRule="auto"/>
              <w:jc w:val="both"/>
              <w:rPr>
                <w:rFonts w:ascii="Calibri" w:hAnsi="Calibri" w:cs="Arial"/>
                <w:iCs/>
              </w:rPr>
            </w:pPr>
            <w:r w:rsidRPr="00B27059">
              <w:rPr>
                <w:rFonts w:ascii="Calibri" w:hAnsi="Calibri" w:cs="Arial"/>
                <w:iCs/>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Nie podlega rozpatrzeniu przez IZ RPO WD protest, jeżeli mimo prawidłowego pouczenia ww. środek odwoławczy został wniesiony przez Wnioskodawcę do IZ RPO WD:</w:t>
            </w:r>
          </w:p>
          <w:p w:rsidR="00984533" w:rsidRPr="00B27059" w:rsidRDefault="00984533" w:rsidP="00480411">
            <w:pPr>
              <w:spacing w:after="0" w:line="240" w:lineRule="auto"/>
              <w:jc w:val="both"/>
              <w:rPr>
                <w:rFonts w:ascii="Calibri" w:hAnsi="Calibri"/>
              </w:rPr>
            </w:pPr>
            <w:r w:rsidRPr="00B27059">
              <w:rPr>
                <w:rFonts w:ascii="Calibri" w:hAnsi="Calibri"/>
              </w:rPr>
              <w:t xml:space="preserve">- po terminie, </w:t>
            </w:r>
          </w:p>
          <w:p w:rsidR="00984533" w:rsidRPr="00B27059" w:rsidRDefault="00984533" w:rsidP="00480411">
            <w:pPr>
              <w:spacing w:after="0" w:line="240" w:lineRule="auto"/>
              <w:jc w:val="both"/>
              <w:rPr>
                <w:rFonts w:ascii="Calibri" w:hAnsi="Calibri"/>
              </w:rPr>
            </w:pPr>
            <w:r w:rsidRPr="00B27059">
              <w:rPr>
                <w:rFonts w:ascii="Calibri" w:hAnsi="Calibri"/>
              </w:rPr>
              <w:t xml:space="preserve">- przez podmiot wykluczony z możliwości otrzymania dofinansowania, </w:t>
            </w:r>
          </w:p>
          <w:p w:rsidR="00984533" w:rsidRPr="00B27059" w:rsidRDefault="00984533" w:rsidP="00480411">
            <w:pPr>
              <w:spacing w:after="0" w:line="240" w:lineRule="auto"/>
              <w:jc w:val="both"/>
              <w:rPr>
                <w:rFonts w:ascii="Calibri" w:hAnsi="Calibri"/>
              </w:rPr>
            </w:pPr>
            <w:r w:rsidRPr="00B27059">
              <w:rPr>
                <w:rFonts w:ascii="Calibri" w:hAnsi="Calibri"/>
              </w:rPr>
              <w:t>- bez wskazania kryteriów wyboru projektów, z których oceną Wnioskodawca się nie zgadza (wraz z uzasadnieniem).</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B27059" w:rsidRDefault="00984533" w:rsidP="00480411">
            <w:pPr>
              <w:spacing w:after="0" w:line="240" w:lineRule="auto"/>
              <w:jc w:val="both"/>
              <w:rPr>
                <w:rFonts w:ascii="Calibri" w:hAnsi="Calibri"/>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rPr>
              <w:t xml:space="preserve">W przypadku, gdy wniesiony protest nie zawiera: oznaczenia instytucji właściwej do rozpatrzenia protestu, oznaczenia Wnioskodawcy, numeru wniosku </w:t>
            </w:r>
            <w:r w:rsidRPr="00B2705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2705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B27059">
              <w:rPr>
                <w:rFonts w:ascii="Calibri" w:eastAsia="Calibri" w:hAnsi="Calibri" w:cs="Arial"/>
              </w:rPr>
              <w:br/>
              <w:t xml:space="preserve">W przypadku, gdy w odpowiedzi na wezwanie: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zawiera w dalszym ciągu uchybienia formalne i/lub zawiera oczywiste omyłki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i/lub,</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został wniesiony z uchybieniem 7-dniowego terminu, </w:t>
            </w:r>
            <w:r w:rsidRPr="00B27059">
              <w:rPr>
                <w:rFonts w:ascii="Calibri" w:eastAsia="Calibri" w:hAnsi="Calibri"/>
              </w:rPr>
              <w:t xml:space="preserve">licząc od dnia </w:t>
            </w:r>
            <w:r w:rsidRPr="00B27059">
              <w:rPr>
                <w:rFonts w:ascii="Calibri" w:eastAsia="Calibri" w:hAnsi="Calibri" w:cs="Arial"/>
              </w:rPr>
              <w:t xml:space="preserve">następnego po dniu otrzymania wezwania-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pozostawia środek odwoławczy bez rozpatrzenia.</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suppressAutoHyphens/>
              <w:spacing w:after="0" w:line="240" w:lineRule="auto"/>
              <w:jc w:val="both"/>
              <w:rPr>
                <w:rFonts w:ascii="Calibri" w:hAnsi="Calibri" w:cs="Arial"/>
              </w:rPr>
            </w:pPr>
            <w:r w:rsidRPr="00B2705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 do wniesienia skargi kasacyjnej do Naczelnego Sądu Administracyjnego od wyroku Wojewódzkiego Sądu Administracyjnego we Wrocławiu posiada Wnioskodawca, jak również IZ RPO WD.</w:t>
            </w:r>
          </w:p>
          <w:p w:rsidR="00984533" w:rsidRPr="00B27059" w:rsidRDefault="00984533" w:rsidP="00480411">
            <w:pPr>
              <w:tabs>
                <w:tab w:val="left" w:pos="993"/>
                <w:tab w:val="left" w:pos="1276"/>
              </w:tabs>
              <w:spacing w:after="0" w:line="240" w:lineRule="auto"/>
              <w:jc w:val="both"/>
              <w:rPr>
                <w:rFonts w:ascii="Calibri" w:hAnsi="Calibri" w:cs="Arial"/>
              </w:rPr>
            </w:pP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27059" w:rsidRDefault="00984533" w:rsidP="00480411">
            <w:pPr>
              <w:autoSpaceDE w:val="0"/>
              <w:autoSpaceDN w:val="0"/>
              <w:adjustRightInd w:val="0"/>
              <w:spacing w:after="0" w:line="240" w:lineRule="auto"/>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23.</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Zgodnie z zapisami art. 45 ust. 2 ustawy wdrożeniowej po każdym etapie konkursu (weryfikacja techniczna, ocena formalna oraz ocena merytoryczna) IZ RPO WD 2014-2020 zamieszcza na swojej stronie list</w:t>
            </w:r>
            <w:r w:rsidR="00E92452" w:rsidRPr="00B27059">
              <w:rPr>
                <w:rFonts w:asciiTheme="minorHAnsi" w:hAnsiTheme="minorHAnsi"/>
                <w:sz w:val="22"/>
                <w:szCs w:val="22"/>
              </w:rPr>
              <w:t>y</w:t>
            </w:r>
            <w:r w:rsidRPr="00B27059">
              <w:rPr>
                <w:rFonts w:asciiTheme="minorHAnsi" w:hAnsiTheme="minorHAnsi"/>
                <w:sz w:val="22"/>
                <w:szCs w:val="22"/>
              </w:rPr>
              <w:t xml:space="preserve"> projektów zakwalifikowanych do kolejnego etapu lub list</w:t>
            </w:r>
            <w:r w:rsidR="00E92452" w:rsidRPr="00B27059">
              <w:rPr>
                <w:rFonts w:asciiTheme="minorHAnsi" w:hAnsiTheme="minorHAnsi"/>
                <w:sz w:val="22"/>
                <w:szCs w:val="22"/>
              </w:rPr>
              <w:t>y</w:t>
            </w:r>
            <w:r w:rsidRPr="00B27059">
              <w:rPr>
                <w:rFonts w:asciiTheme="minorHAnsi" w:hAnsiTheme="minorHAnsi"/>
                <w:sz w:val="22"/>
                <w:szCs w:val="22"/>
              </w:rPr>
              <w:t>, o któr</w:t>
            </w:r>
            <w:r w:rsidR="00E92452" w:rsidRPr="00B27059">
              <w:rPr>
                <w:rFonts w:asciiTheme="minorHAnsi" w:hAnsiTheme="minorHAnsi"/>
                <w:sz w:val="22"/>
                <w:szCs w:val="22"/>
              </w:rPr>
              <w:t>ych</w:t>
            </w:r>
            <w:r w:rsidR="00AA5C57" w:rsidRPr="00B27059">
              <w:rPr>
                <w:rFonts w:asciiTheme="minorHAnsi" w:hAnsiTheme="minorHAnsi"/>
                <w:sz w:val="22"/>
                <w:szCs w:val="22"/>
              </w:rPr>
              <w:t xml:space="preserve"> mowa w art. 46</w:t>
            </w:r>
            <w:r w:rsidRPr="00B27059">
              <w:rPr>
                <w:rFonts w:asciiTheme="minorHAnsi" w:hAnsiTheme="minorHAnsi"/>
                <w:sz w:val="22"/>
                <w:szCs w:val="22"/>
              </w:rPr>
              <w:t xml:space="preserve"> ust. 4 ustawy</w:t>
            </w:r>
            <w:r w:rsidR="00A41980" w:rsidRPr="00B27059">
              <w:rPr>
                <w:rFonts w:asciiTheme="minorHAnsi" w:hAnsiTheme="minorHAnsi"/>
                <w:sz w:val="22"/>
                <w:szCs w:val="22"/>
              </w:rPr>
              <w:t xml:space="preserve"> wdrożeniowej</w:t>
            </w:r>
            <w:r w:rsidRPr="00B27059">
              <w:rPr>
                <w:rFonts w:asciiTheme="minorHAnsi" w:hAnsiTheme="minorHAnsi"/>
                <w:sz w:val="22"/>
                <w:szCs w:val="22"/>
              </w:rPr>
              <w:t xml:space="preserve">. Ww. listy zawierają m.in. numer wniosku, tytuł projektu, nazwę wnioskodawcy, kwotę dofinansowania oraz wartość całkowitą projektu. </w:t>
            </w:r>
          </w:p>
          <w:p w:rsidR="00984533" w:rsidRPr="00B27059" w:rsidRDefault="00984533" w:rsidP="00480411">
            <w:pPr>
              <w:autoSpaceDE w:val="0"/>
              <w:autoSpaceDN w:val="0"/>
              <w:adjustRightInd w:val="0"/>
              <w:spacing w:after="0" w:line="240" w:lineRule="auto"/>
              <w:jc w:val="both"/>
            </w:pPr>
            <w:r w:rsidRPr="00B27059">
              <w:t xml:space="preserve">Zgodnie z art. 46 ust. 4 ustawy wdrożeniowej po rozstrzygnięciu konkursu IZ RPO WD 2014-2020 zamieszcza na swojej stronie internetowej: </w:t>
            </w:r>
            <w:hyperlink r:id="rId23" w:history="1">
              <w:r w:rsidRPr="00B27059">
                <w:rPr>
                  <w:rStyle w:val="Hipercze"/>
                </w:rPr>
                <w:t>www.rpo.dolnyslask.pl</w:t>
              </w:r>
            </w:hyperlink>
            <w:r w:rsidRPr="00B27059">
              <w:t xml:space="preserve">  oraz na portalu Funduszy Europejskich: </w:t>
            </w:r>
            <w:hyperlink r:id="rId24" w:history="1">
              <w:r w:rsidRPr="00B27059">
                <w:rPr>
                  <w:rStyle w:val="Hipercze"/>
                </w:rPr>
                <w:t>www.funduszeeuropejskie.gov.pl</w:t>
              </w:r>
            </w:hyperlink>
            <w:r w:rsidRPr="00B27059">
              <w:t xml:space="preserve">, listy projektów, które uzyskały wymaganą liczbę punktów, z wyróżnieniem projektów wybranych do dofinansowania jak również powiadamia pisemnie każdego wnioskodawcę o zakończeniu oceny jego projektu. </w:t>
            </w:r>
          </w:p>
          <w:p w:rsidR="00984533" w:rsidRPr="00B27059" w:rsidRDefault="00AA5C57" w:rsidP="00480411">
            <w:pPr>
              <w:pStyle w:val="Default"/>
              <w:jc w:val="both"/>
              <w:rPr>
                <w:rFonts w:asciiTheme="minorHAnsi" w:hAnsiTheme="minorHAnsi"/>
                <w:sz w:val="22"/>
                <w:szCs w:val="22"/>
              </w:rPr>
            </w:pPr>
            <w:r w:rsidRPr="00B27059">
              <w:rPr>
                <w:rFonts w:asciiTheme="minorHAnsi" w:hAnsiTheme="minorHAnsi"/>
                <w:sz w:val="22"/>
                <w:szCs w:val="22"/>
              </w:rPr>
              <w:t>Dodatkowo</w:t>
            </w:r>
            <w:r w:rsidR="00EF4ECD" w:rsidRPr="00B27059">
              <w:rPr>
                <w:rFonts w:asciiTheme="minorHAnsi" w:hAnsiTheme="minorHAnsi"/>
                <w:sz w:val="22"/>
                <w:szCs w:val="22"/>
              </w:rPr>
              <w:t>,</w:t>
            </w:r>
            <w:r w:rsidRPr="00B27059">
              <w:rPr>
                <w:rFonts w:asciiTheme="minorHAnsi" w:hAnsiTheme="minorHAnsi"/>
                <w:sz w:val="22"/>
                <w:szCs w:val="22"/>
              </w:rPr>
              <w:t xml:space="preserve"> zgodnie z art. 44 ust. 5 </w:t>
            </w:r>
            <w:r w:rsidR="00984533" w:rsidRPr="00B27059">
              <w:rPr>
                <w:rFonts w:asciiTheme="minorHAnsi" w:hAnsiTheme="minorHAnsi"/>
                <w:sz w:val="22"/>
                <w:szCs w:val="22"/>
              </w:rPr>
              <w:t xml:space="preserve">po rozstrzygnięciu konkursu IZ RPO WD 2014-2020 zamieszcza na swojej stronie internetowej informację o składzie KOP. </w:t>
            </w:r>
            <w:r w:rsidR="00EF4ECD" w:rsidRPr="00B27059">
              <w:rPr>
                <w:rFonts w:asciiTheme="minorHAnsi" w:hAnsiTheme="minorHAnsi"/>
                <w:sz w:val="22"/>
                <w:szCs w:val="22"/>
              </w:rPr>
              <w:t xml:space="preserve"> </w:t>
            </w:r>
          </w:p>
          <w:p w:rsidR="00984533" w:rsidRPr="00B27059" w:rsidRDefault="00984533" w:rsidP="00480411">
            <w:pPr>
              <w:pStyle w:val="Default"/>
              <w:jc w:val="both"/>
              <w:rPr>
                <w:rFonts w:asciiTheme="minorHAnsi" w:hAnsiTheme="minorHAnsi"/>
                <w:sz w:val="22"/>
                <w:szCs w:val="22"/>
              </w:rPr>
            </w:pPr>
          </w:p>
          <w:p w:rsidR="00984533" w:rsidRPr="00B27059" w:rsidRDefault="00984533" w:rsidP="00480411">
            <w:pPr>
              <w:pStyle w:val="Default"/>
              <w:jc w:val="both"/>
              <w:rPr>
                <w:sz w:val="22"/>
                <w:szCs w:val="22"/>
              </w:rPr>
            </w:pPr>
            <w:r w:rsidRPr="00B27059">
              <w:rPr>
                <w:sz w:val="22"/>
                <w:szCs w:val="22"/>
              </w:rPr>
              <w:t>Ponadto na wniosek zainteresowanego udziela</w:t>
            </w:r>
            <w:r w:rsidR="00AA5C57" w:rsidRPr="00B27059">
              <w:rPr>
                <w:sz w:val="22"/>
                <w:szCs w:val="22"/>
              </w:rPr>
              <w:t>na jest informacja o postę</w:t>
            </w:r>
            <w:r w:rsidRPr="00B27059">
              <w:rPr>
                <w:sz w:val="22"/>
                <w:szCs w:val="22"/>
              </w:rPr>
              <w:t xml:space="preserve">powaniu jakie toczy się w odniesieniu do jego projektu, jednakże zwraca się uwagę, iż na podstawie art. 37 ust. 6 Ustawy wdrożeniowej informacją publiczną, </w:t>
            </w:r>
            <w:r w:rsidRPr="00B27059">
              <w:rPr>
                <w:sz w:val="22"/>
                <w:szCs w:val="22"/>
              </w:rPr>
              <w:br/>
              <w:t xml:space="preserve">w rozumieniu ustawy z dnia 6 września 2001 r. o dostępie do informacji publicznej (Tj. Dz. U. z 2014 r., poz. 782 z </w:t>
            </w:r>
            <w:proofErr w:type="spellStart"/>
            <w:r w:rsidRPr="00B27059">
              <w:rPr>
                <w:sz w:val="22"/>
                <w:szCs w:val="22"/>
              </w:rPr>
              <w:t>późn</w:t>
            </w:r>
            <w:proofErr w:type="spellEnd"/>
            <w:r w:rsidRPr="00B27059">
              <w:rPr>
                <w:sz w:val="22"/>
                <w:szCs w:val="22"/>
              </w:rPr>
              <w:t xml:space="preserve">. zm.), nie są: </w:t>
            </w:r>
          </w:p>
          <w:p w:rsidR="00984533" w:rsidRPr="00B27059" w:rsidRDefault="00984533" w:rsidP="00480411">
            <w:pPr>
              <w:pStyle w:val="Default"/>
              <w:jc w:val="both"/>
              <w:rPr>
                <w:sz w:val="22"/>
                <w:szCs w:val="22"/>
              </w:rPr>
            </w:pPr>
            <w:r w:rsidRPr="00B27059">
              <w:rPr>
                <w:sz w:val="22"/>
                <w:szCs w:val="22"/>
              </w:rPr>
              <w:t>a) dokumenty i informacje przedstawiane przez wnioskodawców, do momentu zawarcia z nimi umowy o dofinansowanie</w:t>
            </w:r>
            <w:r w:rsidR="00E92452" w:rsidRPr="00B27059">
              <w:rPr>
                <w:sz w:val="22"/>
                <w:szCs w:val="22"/>
              </w:rPr>
              <w:t xml:space="preserve"> albo wydania w stosunku do nich decyzji o dofinansowaniu projektu;</w:t>
            </w:r>
            <w:r w:rsidRPr="00B27059">
              <w:rPr>
                <w:sz w:val="22"/>
                <w:szCs w:val="22"/>
              </w:rPr>
              <w:t xml:space="preserve"> </w:t>
            </w:r>
          </w:p>
          <w:p w:rsidR="00984533" w:rsidRPr="00B27059" w:rsidRDefault="00984533" w:rsidP="00480411">
            <w:pPr>
              <w:pStyle w:val="Default"/>
              <w:jc w:val="both"/>
              <w:rPr>
                <w:sz w:val="22"/>
                <w:szCs w:val="22"/>
              </w:rPr>
            </w:pPr>
            <w:r w:rsidRPr="00B27059">
              <w:rPr>
                <w:sz w:val="22"/>
                <w:szCs w:val="22"/>
              </w:rPr>
              <w:t xml:space="preserve">b) dokumenty wytworzone lub przygotowane w związku z oceną dokumentów </w:t>
            </w:r>
            <w:r w:rsidRPr="00B27059">
              <w:rPr>
                <w:sz w:val="22"/>
                <w:szCs w:val="22"/>
              </w:rPr>
              <w:br/>
              <w:t xml:space="preserve">i informacji przedstawianych przez wnioskodawców do czasu rozstrzygnięcia konkursu. </w:t>
            </w:r>
          </w:p>
          <w:p w:rsidR="00984533" w:rsidRPr="00B27059" w:rsidRDefault="00984533" w:rsidP="00E92452">
            <w:pPr>
              <w:autoSpaceDE w:val="0"/>
              <w:autoSpaceDN w:val="0"/>
              <w:adjustRightInd w:val="0"/>
              <w:spacing w:after="0" w:line="240" w:lineRule="auto"/>
              <w:jc w:val="both"/>
              <w:rPr>
                <w:rFonts w:cs="Calibri"/>
                <w:color w:val="000000"/>
              </w:rPr>
            </w:pPr>
            <w:r w:rsidRPr="00B27059">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w:t>
            </w:r>
            <w:r w:rsidRPr="00B27059">
              <w:lastRenderedPageBreak/>
              <w:t xml:space="preserve">rozwiązań opracowanych przez innych wnioskodawców. Z tego względu </w:t>
            </w:r>
            <w:r w:rsidRPr="00B27059">
              <w:br/>
              <w:t xml:space="preserve">w sytuacji wystąpienia o udzielenie informacji na temat ww. dokumentów, IOK informuje zainteresowanego, że na podstawie art. 37 pkt. 6 Ustawy nie stanowią one informacji publicznej.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5" w:history="1">
              <w:r w:rsidRPr="00B27059">
                <w:rPr>
                  <w:rStyle w:val="Hipercze"/>
                  <w:b/>
                </w:rPr>
                <w:t>pife@dolnyslask.pl</w:t>
              </w:r>
            </w:hyperlink>
          </w:p>
          <w:p w:rsidR="002779AA" w:rsidRPr="00B27059" w:rsidRDefault="00B45E60" w:rsidP="002779AA">
            <w:pPr>
              <w:spacing w:before="120" w:after="120" w:line="240" w:lineRule="auto"/>
              <w:jc w:val="center"/>
              <w:rPr>
                <w:b/>
              </w:rPr>
            </w:pPr>
            <w:hyperlink r:id="rId26" w:history="1">
              <w:r w:rsidR="002779AA" w:rsidRPr="00B27059">
                <w:rPr>
                  <w:rStyle w:val="Hipercze"/>
                  <w:b/>
                </w:rPr>
                <w:t>pife.jeleniagora@dolnyslask.pl</w:t>
              </w:r>
            </w:hyperlink>
          </w:p>
          <w:p w:rsidR="002779AA" w:rsidRPr="00B27059" w:rsidRDefault="00B45E60" w:rsidP="002779AA">
            <w:pPr>
              <w:spacing w:before="120" w:after="120" w:line="240" w:lineRule="auto"/>
              <w:jc w:val="center"/>
              <w:rPr>
                <w:b/>
              </w:rPr>
            </w:pPr>
            <w:hyperlink r:id="rId27" w:history="1">
              <w:r w:rsidR="002779AA" w:rsidRPr="00B27059">
                <w:rPr>
                  <w:rStyle w:val="Hipercze"/>
                  <w:b/>
                </w:rPr>
                <w:t>pife.legnica@dolnyslask.pl</w:t>
              </w:r>
            </w:hyperlink>
          </w:p>
          <w:p w:rsidR="00984533" w:rsidRPr="00B27059" w:rsidRDefault="00B45E60" w:rsidP="002779AA">
            <w:pPr>
              <w:spacing w:before="120" w:after="120" w:line="240" w:lineRule="auto"/>
              <w:jc w:val="center"/>
              <w:rPr>
                <w:b/>
              </w:rPr>
            </w:pPr>
            <w:hyperlink r:id="rId28" w:history="1">
              <w:r w:rsidR="002779AA" w:rsidRPr="00B27059">
                <w:rPr>
                  <w:rStyle w:val="Hipercze"/>
                  <w:b/>
                </w:rPr>
                <w:t>pife.walbrzych@dolnyslask.pl</w:t>
              </w:r>
            </w:hyperlink>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9"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673C73">
            <w:pPr>
              <w:pStyle w:val="Default"/>
            </w:pPr>
            <w:r w:rsidRPr="00B27059">
              <w:rPr>
                <w:rFonts w:asciiTheme="minorHAnsi" w:hAnsiTheme="minorHAnsi"/>
                <w:sz w:val="22"/>
                <w:szCs w:val="22"/>
              </w:rPr>
              <w:t xml:space="preserve">Orientacyjny termin rozstrzygnięcia konkursu to </w:t>
            </w:r>
            <w:r w:rsidR="00673C73" w:rsidRPr="00AD17E2">
              <w:rPr>
                <w:rFonts w:asciiTheme="minorHAnsi" w:hAnsiTheme="minorHAnsi"/>
                <w:sz w:val="22"/>
                <w:szCs w:val="22"/>
              </w:rPr>
              <w:t>grudzień</w:t>
            </w:r>
            <w:r w:rsidR="00933C87" w:rsidRPr="00AD17E2">
              <w:rPr>
                <w:rFonts w:asciiTheme="minorHAnsi" w:hAnsiTheme="minorHAnsi"/>
                <w:sz w:val="22"/>
                <w:szCs w:val="22"/>
              </w:rPr>
              <w:t xml:space="preserve"> </w:t>
            </w:r>
            <w:r w:rsidR="00020C5D" w:rsidRPr="00AD17E2">
              <w:rPr>
                <w:rFonts w:asciiTheme="minorHAnsi" w:hAnsiTheme="minorHAnsi"/>
                <w:sz w:val="22"/>
                <w:szCs w:val="22"/>
              </w:rPr>
              <w:t>2016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r>
            <w:r w:rsidRPr="00B27059">
              <w:rPr>
                <w:rFonts w:cs="Calibri"/>
              </w:rPr>
              <w:lastRenderedPageBreak/>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5" w:name="_Toc425494883"/>
            <w:bookmarkEnd w:id="5"/>
            <w:r w:rsidRPr="00B27059">
              <w:t xml:space="preserve">internetowej </w:t>
            </w:r>
            <w:hyperlink r:id="rId31"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A0630" w:rsidP="00480411">
            <w:pPr>
              <w:autoSpaceDE w:val="0"/>
              <w:autoSpaceDN w:val="0"/>
              <w:adjustRightInd w:val="0"/>
              <w:spacing w:after="0" w:line="240" w:lineRule="auto"/>
              <w:jc w:val="both"/>
              <w:rPr>
                <w:color w:val="000000"/>
              </w:rPr>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Kwalifikowalność wydatków: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EF3AAC" w:rsidRPr="00B27059" w:rsidRDefault="00EF3AAC" w:rsidP="00EF3AAC">
            <w:pPr>
              <w:numPr>
                <w:ilvl w:val="0"/>
                <w:numId w:val="37"/>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B27059">
              <w:rPr>
                <w:rFonts w:ascii="Calibri" w:eastAsia="Times New Roman" w:hAnsi="Calibri" w:cs="Times New Roman"/>
                <w:color w:val="00000A"/>
                <w:lang w:eastAsia="pl-PL"/>
              </w:rPr>
              <w:t>minimis</w:t>
            </w:r>
            <w:proofErr w:type="spellEnd"/>
            <w:r w:rsidR="00DB783D">
              <w:rPr>
                <w:rFonts w:ascii="Calibri" w:eastAsia="Times New Roman" w:hAnsi="Calibri" w:cs="Times New Roman"/>
                <w:color w:val="00000A"/>
                <w:lang w:eastAsia="pl-PL"/>
              </w:rPr>
              <w:t>,</w:t>
            </w:r>
            <w:r w:rsidRPr="00B27059">
              <w:t xml:space="preserve"> </w:t>
            </w:r>
          </w:p>
          <w:p w:rsidR="00081F91" w:rsidRDefault="00EF3AAC" w:rsidP="00EF3AAC">
            <w:pPr>
              <w:numPr>
                <w:ilvl w:val="0"/>
                <w:numId w:val="37"/>
              </w:numPr>
              <w:suppressAutoHyphens/>
              <w:spacing w:after="0" w:line="240" w:lineRule="auto"/>
              <w:ind w:left="395"/>
              <w:jc w:val="both"/>
            </w:pPr>
            <w:r w:rsidRPr="00B27059">
              <w:t xml:space="preserve">Rozporządzeniem Ministra Infrastruktury i Rozwoju z dnia 19 marca 2015 r. w sprawie udzielania pomocy de </w:t>
            </w:r>
            <w:proofErr w:type="spellStart"/>
            <w:r w:rsidRPr="00B27059">
              <w:t>minimis</w:t>
            </w:r>
            <w:proofErr w:type="spellEnd"/>
            <w:r w:rsidRPr="00B27059">
              <w:t xml:space="preserve"> w ramach regionalnych programów operacyjnych na lata 2014-2020. (Dz. U. z 2015 r. poz. 488 </w:t>
            </w:r>
            <w:r w:rsidRPr="00B27059">
              <w:br/>
              <w:t xml:space="preserve">z </w:t>
            </w:r>
            <w:proofErr w:type="spellStart"/>
            <w:r w:rsidRPr="00B27059">
              <w:t>późn</w:t>
            </w:r>
            <w:proofErr w:type="spellEnd"/>
            <w:r w:rsidRPr="00B27059">
              <w:t xml:space="preserve">. zm.), </w:t>
            </w:r>
          </w:p>
          <w:p w:rsidR="00B45E60" w:rsidRPr="00B27059" w:rsidRDefault="00B45E60" w:rsidP="00EF3AAC">
            <w:pPr>
              <w:numPr>
                <w:ilvl w:val="0"/>
                <w:numId w:val="37"/>
              </w:numPr>
              <w:suppressAutoHyphens/>
              <w:spacing w:after="0" w:line="240" w:lineRule="auto"/>
              <w:ind w:left="395"/>
              <w:jc w:val="both"/>
            </w:pPr>
            <w:r>
              <w:t>Rozporządzeniem</w:t>
            </w:r>
            <w:r w:rsidRPr="00600EB8">
              <w:t xml:space="preserve"> 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DB783D" w:rsidRPr="00DC123A" w:rsidRDefault="00DB783D" w:rsidP="00DB783D">
            <w:pPr>
              <w:spacing w:after="0" w:line="240" w:lineRule="auto"/>
              <w:jc w:val="both"/>
              <w:rPr>
                <w:color w:val="000000"/>
              </w:rPr>
            </w:pPr>
            <w:r w:rsidRPr="00DC123A">
              <w:rPr>
                <w:color w:val="000000"/>
              </w:rPr>
              <w:t>Najpóźniejszy termin złożenia ostatniego wniosku o płatność:</w:t>
            </w:r>
          </w:p>
          <w:p w:rsidR="00DB783D" w:rsidRPr="00DC123A" w:rsidRDefault="00DB783D" w:rsidP="00DB783D">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 xml:space="preserve">B: </w:t>
            </w:r>
            <w:r>
              <w:rPr>
                <w:rFonts w:asciiTheme="minorHAnsi" w:hAnsiTheme="minorHAnsi"/>
                <w:color w:val="000000"/>
                <w:szCs w:val="22"/>
              </w:rPr>
              <w:t>1.</w:t>
            </w:r>
            <w:r w:rsidRPr="00DC123A">
              <w:rPr>
                <w:rFonts w:asciiTheme="minorHAnsi" w:hAnsiTheme="minorHAnsi"/>
                <w:color w:val="000000"/>
                <w:szCs w:val="22"/>
              </w:rPr>
              <w:t>12.2017 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xml:space="preserve">, który został fizycznie ukończony lub w pełni </w:t>
            </w:r>
            <w:r w:rsidRPr="00B27059">
              <w:rPr>
                <w:rFonts w:asciiTheme="minorHAnsi" w:hAnsiTheme="minorHAnsi"/>
                <w:sz w:val="22"/>
                <w:szCs w:val="22"/>
              </w:rPr>
              <w:lastRenderedPageBreak/>
              <w:t>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lastRenderedPageBreak/>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tcPr>
          <w:p w:rsidR="00B445B8" w:rsidRPr="00B445B8" w:rsidRDefault="00B445B8" w:rsidP="00B445B8">
            <w:pPr>
              <w:spacing w:after="120"/>
              <w:jc w:val="both"/>
              <w:rPr>
                <w:u w:val="single"/>
              </w:rPr>
            </w:pPr>
            <w:r w:rsidRPr="00B445B8">
              <w:rPr>
                <w:u w:val="single"/>
              </w:rPr>
              <w:t>Do wniosku o dofinansowanie realizacji Projektu należy dołączyć:</w:t>
            </w:r>
          </w:p>
          <w:p w:rsidR="00B445B8" w:rsidRPr="00B445B8" w:rsidRDefault="00B445B8" w:rsidP="00B445B8">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Oświadczenie „Analiza oddziaływania na środowisko, z uwzględnieniem potrzeb dotyczących przystosowania się do zmiany klimatu i łagodzenia zmiany klimatu, a także odporności na klęski żywiołowe”. </w:t>
            </w:r>
          </w:p>
          <w:p w:rsidR="00B445B8" w:rsidRPr="00B445B8" w:rsidRDefault="00B445B8" w:rsidP="00B445B8">
            <w:pPr>
              <w:pStyle w:val="Akapitzlist"/>
              <w:ind w:left="360"/>
              <w:rPr>
                <w:rFonts w:asciiTheme="minorHAnsi" w:hAnsiTheme="minorHAnsi"/>
                <w:szCs w:val="22"/>
              </w:rPr>
            </w:pPr>
          </w:p>
          <w:p w:rsidR="00B445B8" w:rsidRPr="00B445B8" w:rsidRDefault="00B445B8" w:rsidP="00B445B8">
            <w:pPr>
              <w:spacing w:after="120"/>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445B8" w:rsidRPr="00B445B8" w:rsidRDefault="00B445B8" w:rsidP="00B445B8">
            <w:pPr>
              <w:spacing w:after="0"/>
              <w:jc w:val="both"/>
            </w:pPr>
            <w:r w:rsidRPr="00B445B8">
              <w:t xml:space="preserve">W przypadku przedsięwzięć objętych </w:t>
            </w:r>
            <w:r w:rsidRPr="00B445B8">
              <w:rPr>
                <w:rFonts w:eastAsia="Times New Roman"/>
                <w:bCs/>
                <w:lang w:eastAsia="pl-PL"/>
              </w:rPr>
              <w:t xml:space="preserve">Rozporządzeniem Rady Ministrów </w:t>
            </w:r>
            <w:r w:rsidRPr="00B445B8">
              <w:rPr>
                <w:rFonts w:eastAsia="Times New Roman"/>
                <w:lang w:eastAsia="pl-PL"/>
              </w:rPr>
              <w:t xml:space="preserve">z dnia 9 listopada 2010 r. </w:t>
            </w:r>
            <w:r w:rsidRPr="00B445B8">
              <w:rPr>
                <w:rFonts w:eastAsia="Times New Roman"/>
                <w:bCs/>
                <w:lang w:eastAsia="pl-PL"/>
              </w:rPr>
              <w:t>w sprawie przedsięwzięć mogących znacząco oddziaływać na środowisko (</w:t>
            </w:r>
            <w:r w:rsidRPr="00B445B8">
              <w:rPr>
                <w:bCs/>
              </w:rPr>
              <w:t>Dz.U. z 2016 poz. 71</w:t>
            </w:r>
            <w:r w:rsidRPr="00B445B8">
              <w:rPr>
                <w:rFonts w:eastAsia="Times New Roman"/>
                <w:bCs/>
                <w:lang w:eastAsia="pl-PL"/>
              </w:rPr>
              <w:t xml:space="preserve">) </w:t>
            </w:r>
            <w:r w:rsidRPr="00B445B8">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45B8" w:rsidRPr="00B445B8" w:rsidRDefault="00B45E60" w:rsidP="00B445B8">
            <w:pPr>
              <w:spacing w:after="120"/>
              <w:jc w:val="both"/>
            </w:pPr>
            <w:hyperlink r:id="rId32" w:history="1">
              <w:r w:rsidR="00B445B8" w:rsidRPr="00B445B8">
                <w:rPr>
                  <w:rStyle w:val="Hipercze"/>
                </w:rPr>
                <w:t>www.funduszeeuropejskie.gov.pl</w:t>
              </w:r>
            </w:hyperlink>
            <w:r w:rsidR="00B445B8" w:rsidRPr="00B445B8">
              <w:t>.</w:t>
            </w:r>
          </w:p>
          <w:p w:rsidR="00B445B8" w:rsidRPr="00B445B8" w:rsidRDefault="00B445B8" w:rsidP="00B445B8">
            <w:pPr>
              <w:spacing w:after="120"/>
              <w:jc w:val="both"/>
            </w:pPr>
            <w:r w:rsidRPr="00B445B8">
              <w:t>Ponadto w przypadku inwestycji o charakterze nieinfrastrukturalnym np. zakup sprzętu, urządzeń, lub tzw. projektów „miękkich” np. szkolenia, kampania edukacyjna, dołączenie załącznika nie jest konieczne.</w:t>
            </w:r>
          </w:p>
          <w:p w:rsidR="00B445B8" w:rsidRPr="00B445B8" w:rsidRDefault="00B445B8" w:rsidP="00B445B8">
            <w:pPr>
              <w:spacing w:after="120"/>
              <w:jc w:val="both"/>
            </w:pPr>
          </w:p>
          <w:p w:rsidR="00B445B8" w:rsidRPr="00B445B8" w:rsidRDefault="00B445B8" w:rsidP="00B445B8">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Deklaracja organu odpowiedzialnego za monitorowanie obszarów Natura 2000.</w:t>
            </w:r>
          </w:p>
          <w:p w:rsidR="00B445B8" w:rsidRDefault="00B445B8" w:rsidP="00B445B8">
            <w:pPr>
              <w:spacing w:after="120"/>
              <w:jc w:val="both"/>
            </w:pPr>
          </w:p>
          <w:p w:rsidR="00B445B8" w:rsidRPr="00B445B8" w:rsidRDefault="00B445B8" w:rsidP="00B445B8">
            <w:pPr>
              <w:spacing w:after="120"/>
              <w:jc w:val="both"/>
            </w:pPr>
            <w:r w:rsidRPr="00B445B8">
              <w:t xml:space="preserve">Załącznik dotyczy </w:t>
            </w:r>
            <w:r w:rsidRPr="00B445B8">
              <w:rPr>
                <w:rFonts w:eastAsia="Times New Roman" w:cs="Arial"/>
                <w:lang w:eastAsia="pl-PL"/>
              </w:rPr>
              <w:t xml:space="preserve">przedsięwzięć, tj. </w:t>
            </w:r>
            <w:r w:rsidRPr="00B445B8">
              <w:t xml:space="preserve">zamierzeń budowlanych lub innych ingerencji </w:t>
            </w:r>
            <w:r w:rsidRPr="00B445B8">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445B8" w:rsidRPr="00B445B8" w:rsidRDefault="00B445B8" w:rsidP="00B445B8">
            <w:pPr>
              <w:spacing w:after="120"/>
              <w:jc w:val="both"/>
            </w:pPr>
            <w:r w:rsidRPr="00B445B8">
              <w:t>W przypadku inwestycji o charakterze nieinfrastrukturalnym np. zakup sprzętu, urządzeń, lub tzw. projektów „miękkich” np. szkolenia, kampania edukacyjna, dołączenie załącznika nie jest konieczne.</w:t>
            </w:r>
          </w:p>
          <w:p w:rsidR="00B445B8" w:rsidRPr="00B445B8" w:rsidRDefault="00B445B8" w:rsidP="00B445B8">
            <w:pPr>
              <w:ind w:left="360"/>
            </w:pPr>
          </w:p>
          <w:p w:rsidR="00B445B8" w:rsidRPr="00B445B8" w:rsidRDefault="00B445B8" w:rsidP="00B445B8">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Deklaracja właściwego organu odpowiedzialnego za gospodarkę wodną. </w:t>
            </w:r>
          </w:p>
          <w:p w:rsidR="00B445B8" w:rsidRPr="00B445B8" w:rsidRDefault="00B445B8" w:rsidP="00B445B8">
            <w:pPr>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w:t>
            </w:r>
            <w:r w:rsidRPr="00B445B8">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717700" w:rsidRDefault="00B445B8" w:rsidP="00B445B8">
            <w:pPr>
              <w:jc w:val="both"/>
              <w:rPr>
                <w:rFonts w:eastAsia="Times New Roman" w:cs="Arial"/>
                <w:highlight w:val="yellow"/>
                <w:lang w:eastAsia="pl-PL"/>
              </w:rPr>
            </w:pPr>
            <w:r w:rsidRPr="00B445B8">
              <w:t>W przypadku inwestycji o charakterze nieinfrastrukturalnym np. zakup sprzętu, urządzeń, lub tzw. projektów „miękkich” np. szkolenia, kampania edukacyjna, dołączenie załącznika nie jest konieczne.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32.</w:t>
            </w:r>
          </w:p>
        </w:tc>
        <w:tc>
          <w:tcPr>
            <w:tcW w:w="2268" w:type="dxa"/>
          </w:tcPr>
          <w:p w:rsidR="00984533" w:rsidRPr="00B27059" w:rsidRDefault="00984533" w:rsidP="00480411">
            <w:pPr>
              <w:pStyle w:val="Default"/>
              <w:rPr>
                <w:rFonts w:asciiTheme="minorHAnsi" w:hAnsiTheme="minorHAnsi"/>
                <w:b/>
                <w:bCs/>
                <w:sz w:val="22"/>
                <w:szCs w:val="22"/>
              </w:rPr>
            </w:pPr>
            <w:bookmarkStart w:id="6" w:name="_Toc426632923"/>
            <w:bookmarkStart w:id="7" w:name="_Toc430826827"/>
            <w:bookmarkStart w:id="8" w:name="_Toc432758975"/>
            <w:r w:rsidRPr="00B27059">
              <w:rPr>
                <w:rFonts w:asciiTheme="minorHAnsi" w:hAnsiTheme="minorHAnsi"/>
                <w:b/>
                <w:sz w:val="22"/>
                <w:szCs w:val="22"/>
              </w:rPr>
              <w:t>Wymagania w zakresie realizacji projektu partnerskiego</w:t>
            </w:r>
            <w:bookmarkEnd w:id="6"/>
            <w:bookmarkEnd w:id="7"/>
            <w:bookmarkEnd w:id="8"/>
          </w:p>
        </w:tc>
        <w:tc>
          <w:tcPr>
            <w:tcW w:w="7494" w:type="dxa"/>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w:t>
            </w:r>
            <w:r w:rsidRPr="00B27059">
              <w:lastRenderedPageBreak/>
              <w:t xml:space="preserve">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185792" w:rsidRPr="00B27059">
        <w:rPr>
          <w:rFonts w:asciiTheme="minorHAnsi" w:hAnsiTheme="minorHAnsi"/>
          <w:szCs w:val="22"/>
        </w:rPr>
        <w:t>0</w:t>
      </w:r>
      <w:r w:rsidR="00673C73" w:rsidRPr="00B27059">
        <w:rPr>
          <w:rFonts w:asciiTheme="minorHAnsi" w:hAnsiTheme="minorHAnsi"/>
          <w:szCs w:val="22"/>
        </w:rPr>
        <w:t>7</w:t>
      </w:r>
      <w:r w:rsidR="00185792" w:rsidRPr="00B27059">
        <w:rPr>
          <w:rFonts w:asciiTheme="minorHAnsi" w:hAnsiTheme="minorHAnsi"/>
          <w:szCs w:val="22"/>
        </w:rPr>
        <w:t>.0</w:t>
      </w:r>
      <w:r w:rsidR="00673C73" w:rsidRPr="00B27059">
        <w:rPr>
          <w:rFonts w:asciiTheme="minorHAnsi" w:hAnsiTheme="minorHAnsi"/>
          <w:szCs w:val="22"/>
        </w:rPr>
        <w:t>4</w:t>
      </w:r>
      <w:r w:rsidR="0034777C" w:rsidRPr="00B27059">
        <w:rPr>
          <w:rFonts w:asciiTheme="minorHAnsi" w:hAnsiTheme="minorHAnsi"/>
          <w:szCs w:val="22"/>
        </w:rPr>
        <w:t>.2016</w:t>
      </w:r>
      <w:r w:rsidR="000D366A" w:rsidRPr="00B27059">
        <w:rPr>
          <w:rFonts w:asciiTheme="minorHAnsi" w:hAnsiTheme="minorHAnsi"/>
          <w:szCs w:val="22"/>
        </w:rPr>
        <w:t xml:space="preserve"> r. (Uchwała  </w:t>
      </w:r>
      <w:r w:rsidR="000D366A" w:rsidRPr="00B27059">
        <w:rPr>
          <w:rFonts w:asciiTheme="minorHAnsi" w:hAnsiTheme="minorHAnsi"/>
          <w:bCs/>
          <w:szCs w:val="22"/>
        </w:rPr>
        <w:t xml:space="preserve">nr </w:t>
      </w:r>
      <w:r w:rsidR="00673C73" w:rsidRPr="00B27059">
        <w:rPr>
          <w:rFonts w:asciiTheme="minorHAnsi" w:hAnsiTheme="minorHAnsi"/>
          <w:bCs/>
          <w:szCs w:val="22"/>
        </w:rPr>
        <w:t>31</w:t>
      </w:r>
      <w:r w:rsidR="000D366A" w:rsidRPr="00B27059">
        <w:rPr>
          <w:rFonts w:asciiTheme="minorHAnsi" w:hAnsiTheme="minorHAnsi"/>
          <w:bCs/>
          <w:szCs w:val="22"/>
        </w:rPr>
        <w:t>/1</w:t>
      </w:r>
      <w:r w:rsidR="0034777C" w:rsidRPr="00B27059">
        <w:rPr>
          <w:rFonts w:asciiTheme="minorHAnsi" w:hAnsiTheme="minorHAnsi"/>
          <w:bCs/>
          <w:szCs w:val="22"/>
        </w:rPr>
        <w:t>6</w:t>
      </w:r>
      <w:r w:rsidR="000D366A" w:rsidRPr="00B27059">
        <w:rPr>
          <w:rFonts w:asciiTheme="minorHAnsi" w:hAnsiTheme="minorHAnsi"/>
          <w:szCs w:val="22"/>
        </w:rPr>
        <w:t xml:space="preserve"> KM RPO WD)</w:t>
      </w:r>
      <w:r w:rsidR="001B7E02" w:rsidRPr="00B27059">
        <w:rPr>
          <w:rFonts w:asciiTheme="minorHAnsi" w:hAnsiTheme="minorHAnsi"/>
          <w:szCs w:val="22"/>
        </w:rPr>
        <w:t xml:space="preserve"> </w:t>
      </w:r>
      <w:r w:rsidRPr="00B27059">
        <w:rPr>
          <w:rFonts w:asciiTheme="minorHAnsi" w:hAnsiTheme="minorHAnsi"/>
          <w:szCs w:val="22"/>
        </w:rPr>
        <w:t>obowiązujących w niniejszym naborze.</w:t>
      </w:r>
    </w:p>
    <w:p w:rsidR="00673C73" w:rsidRPr="00717700"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cs="Calibri"/>
          <w:color w:val="000000"/>
          <w:szCs w:val="22"/>
        </w:rPr>
        <w:t xml:space="preserve">Lista wskaźników na poziomie projektu dla </w:t>
      </w:r>
      <w:r w:rsidR="00540EE1" w:rsidRPr="00B27059">
        <w:rPr>
          <w:rFonts w:asciiTheme="minorHAnsi" w:hAnsiTheme="minorHAnsi" w:cs="Calibri"/>
          <w:color w:val="000000"/>
          <w:szCs w:val="22"/>
        </w:rPr>
        <w:t>pod</w:t>
      </w:r>
      <w:r w:rsidRPr="00B27059">
        <w:rPr>
          <w:rFonts w:asciiTheme="minorHAnsi" w:hAnsiTheme="minorHAnsi" w:cs="Calibri"/>
          <w:color w:val="000000"/>
          <w:szCs w:val="22"/>
        </w:rPr>
        <w:t xml:space="preserve">działania </w:t>
      </w:r>
      <w:r w:rsidR="006A2DD1" w:rsidRPr="00B27059">
        <w:rPr>
          <w:rFonts w:asciiTheme="minorHAnsi" w:hAnsiTheme="minorHAnsi" w:cs="Calibri"/>
          <w:color w:val="000000"/>
          <w:szCs w:val="22"/>
        </w:rPr>
        <w:t>4.</w:t>
      </w:r>
      <w:r w:rsidR="00717700">
        <w:rPr>
          <w:rFonts w:asciiTheme="minorHAnsi" w:hAnsiTheme="minorHAnsi" w:cs="Calibri"/>
          <w:color w:val="000000"/>
          <w:szCs w:val="22"/>
        </w:rPr>
        <w:t>3.</w:t>
      </w:r>
      <w:r w:rsidR="0034777C" w:rsidRPr="00B27059">
        <w:rPr>
          <w:rFonts w:asciiTheme="minorHAnsi" w:hAnsiTheme="minorHAnsi" w:cs="Calibri"/>
          <w:color w:val="000000"/>
          <w:szCs w:val="22"/>
        </w:rPr>
        <w:t xml:space="preserve">1 </w:t>
      </w:r>
      <w:r w:rsidR="00717700">
        <w:rPr>
          <w:rFonts w:asciiTheme="minorHAnsi" w:hAnsiTheme="minorHAnsi" w:cs="Arial"/>
          <w:bCs/>
        </w:rPr>
        <w:t>Dziedzictwo kulturowe</w:t>
      </w:r>
      <w:r w:rsidR="00673C73" w:rsidRPr="00B27059">
        <w:rPr>
          <w:rFonts w:asciiTheme="minorHAnsi" w:hAnsiTheme="minorHAnsi" w:cs="Arial"/>
        </w:rPr>
        <w:t xml:space="preserve"> – konkursy horyzontalne.</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bookmarkStart w:id="9" w:name="_GoBack"/>
      <w:bookmarkEnd w:id="9"/>
    </w:p>
    <w:sectPr w:rsidR="00163B95" w:rsidRPr="004E0C6E" w:rsidSect="007B7525">
      <w:footerReference w:type="default" r:id="rId3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60" w:rsidRDefault="00B45E60" w:rsidP="00E873C4">
      <w:pPr>
        <w:spacing w:after="0" w:line="240" w:lineRule="auto"/>
      </w:pPr>
      <w:r>
        <w:separator/>
      </w:r>
    </w:p>
  </w:endnote>
  <w:endnote w:type="continuationSeparator" w:id="0">
    <w:p w:rsidR="00B45E60" w:rsidRDefault="00B45E6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B45E60" w:rsidRDefault="00B45E60">
        <w:pPr>
          <w:pStyle w:val="Stopka"/>
          <w:jc w:val="right"/>
        </w:pPr>
        <w:r>
          <w:fldChar w:fldCharType="begin"/>
        </w:r>
        <w:r>
          <w:instrText xml:space="preserve"> PAGE   \* MERGEFORMAT </w:instrText>
        </w:r>
        <w:r>
          <w:fldChar w:fldCharType="separate"/>
        </w:r>
        <w:r w:rsidR="008D3731">
          <w:rPr>
            <w:noProof/>
          </w:rPr>
          <w:t>27</w:t>
        </w:r>
        <w:r>
          <w:rPr>
            <w:noProof/>
          </w:rPr>
          <w:fldChar w:fldCharType="end"/>
        </w:r>
      </w:p>
    </w:sdtContent>
  </w:sdt>
  <w:p w:rsidR="00B45E60" w:rsidRDefault="00B45E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60" w:rsidRDefault="00B45E60" w:rsidP="00E873C4">
      <w:pPr>
        <w:spacing w:after="0" w:line="240" w:lineRule="auto"/>
      </w:pPr>
      <w:r>
        <w:separator/>
      </w:r>
    </w:p>
  </w:footnote>
  <w:footnote w:type="continuationSeparator" w:id="0">
    <w:p w:rsidR="00B45E60" w:rsidRDefault="00B45E60"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9">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2"/>
  </w:num>
  <w:num w:numId="3">
    <w:abstractNumId w:val="40"/>
  </w:num>
  <w:num w:numId="4">
    <w:abstractNumId w:val="35"/>
  </w:num>
  <w:num w:numId="5">
    <w:abstractNumId w:val="6"/>
  </w:num>
  <w:num w:numId="6">
    <w:abstractNumId w:val="42"/>
  </w:num>
  <w:num w:numId="7">
    <w:abstractNumId w:val="11"/>
  </w:num>
  <w:num w:numId="8">
    <w:abstractNumId w:val="19"/>
  </w:num>
  <w:num w:numId="9">
    <w:abstractNumId w:val="39"/>
  </w:num>
  <w:num w:numId="10">
    <w:abstractNumId w:val="24"/>
  </w:num>
  <w:num w:numId="11">
    <w:abstractNumId w:val="33"/>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8"/>
  </w:num>
  <w:num w:numId="16">
    <w:abstractNumId w:val="1"/>
  </w:num>
  <w:num w:numId="17">
    <w:abstractNumId w:val="46"/>
  </w:num>
  <w:num w:numId="18">
    <w:abstractNumId w:val="30"/>
  </w:num>
  <w:num w:numId="19">
    <w:abstractNumId w:val="3"/>
  </w:num>
  <w:num w:numId="20">
    <w:abstractNumId w:val="26"/>
  </w:num>
  <w:num w:numId="21">
    <w:abstractNumId w:val="31"/>
  </w:num>
  <w:num w:numId="22">
    <w:abstractNumId w:val="43"/>
  </w:num>
  <w:num w:numId="23">
    <w:abstractNumId w:val="21"/>
  </w:num>
  <w:num w:numId="24">
    <w:abstractNumId w:val="37"/>
  </w:num>
  <w:num w:numId="25">
    <w:abstractNumId w:val="41"/>
  </w:num>
  <w:num w:numId="26">
    <w:abstractNumId w:val="22"/>
  </w:num>
  <w:num w:numId="27">
    <w:abstractNumId w:val="28"/>
  </w:num>
  <w:num w:numId="28">
    <w:abstractNumId w:val="8"/>
  </w:num>
  <w:num w:numId="29">
    <w:abstractNumId w:val="0"/>
  </w:num>
  <w:num w:numId="30">
    <w:abstractNumId w:val="7"/>
  </w:num>
  <w:num w:numId="31">
    <w:abstractNumId w:val="4"/>
  </w:num>
  <w:num w:numId="32">
    <w:abstractNumId w:val="27"/>
  </w:num>
  <w:num w:numId="33">
    <w:abstractNumId w:val="13"/>
  </w:num>
  <w:num w:numId="34">
    <w:abstractNumId w:val="47"/>
  </w:num>
  <w:num w:numId="35">
    <w:abstractNumId w:val="38"/>
  </w:num>
  <w:num w:numId="36">
    <w:abstractNumId w:val="44"/>
  </w:num>
  <w:num w:numId="37">
    <w:abstractNumId w:val="16"/>
  </w:num>
  <w:num w:numId="38">
    <w:abstractNumId w:val="5"/>
  </w:num>
  <w:num w:numId="39">
    <w:abstractNumId w:val="17"/>
  </w:num>
  <w:num w:numId="40">
    <w:abstractNumId w:val="23"/>
  </w:num>
  <w:num w:numId="41">
    <w:abstractNumId w:val="15"/>
  </w:num>
  <w:num w:numId="42">
    <w:abstractNumId w:val="10"/>
  </w:num>
  <w:num w:numId="43">
    <w:abstractNumId w:val="45"/>
  </w:num>
  <w:num w:numId="44">
    <w:abstractNumId w:val="25"/>
  </w:num>
  <w:num w:numId="45">
    <w:abstractNumId w:val="29"/>
  </w:num>
  <w:num w:numId="46">
    <w:abstractNumId w:val="12"/>
  </w:num>
  <w:num w:numId="47">
    <w:abstractNumId w:val="2"/>
  </w:num>
  <w:num w:numId="48">
    <w:abstractNumId w:val="36"/>
  </w:num>
  <w:num w:numId="4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1F04AA"/>
    <w:rsid w:val="00203AEB"/>
    <w:rsid w:val="00204163"/>
    <w:rsid w:val="002049F3"/>
    <w:rsid w:val="00207364"/>
    <w:rsid w:val="00214423"/>
    <w:rsid w:val="00216D57"/>
    <w:rsid w:val="0022084B"/>
    <w:rsid w:val="002238CA"/>
    <w:rsid w:val="002366CF"/>
    <w:rsid w:val="002368A3"/>
    <w:rsid w:val="00240F39"/>
    <w:rsid w:val="002479B3"/>
    <w:rsid w:val="00263BF7"/>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2C95"/>
    <w:rsid w:val="002B4B1B"/>
    <w:rsid w:val="002B5686"/>
    <w:rsid w:val="002B6A0F"/>
    <w:rsid w:val="002B7A29"/>
    <w:rsid w:val="002C337B"/>
    <w:rsid w:val="002C562E"/>
    <w:rsid w:val="002D184C"/>
    <w:rsid w:val="002D4095"/>
    <w:rsid w:val="002D6AE8"/>
    <w:rsid w:val="002E2658"/>
    <w:rsid w:val="002E2802"/>
    <w:rsid w:val="002E5984"/>
    <w:rsid w:val="002E5B1F"/>
    <w:rsid w:val="002F2511"/>
    <w:rsid w:val="002F3568"/>
    <w:rsid w:val="00300E2C"/>
    <w:rsid w:val="00302591"/>
    <w:rsid w:val="00303BCB"/>
    <w:rsid w:val="00306C59"/>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105B"/>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545F6"/>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091"/>
    <w:rsid w:val="0071078C"/>
    <w:rsid w:val="00715262"/>
    <w:rsid w:val="00716ADF"/>
    <w:rsid w:val="00717700"/>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D3731"/>
    <w:rsid w:val="008E1123"/>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01BF"/>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17E2"/>
    <w:rsid w:val="00AD3892"/>
    <w:rsid w:val="00AD417D"/>
    <w:rsid w:val="00AD4F70"/>
    <w:rsid w:val="00AD6E10"/>
    <w:rsid w:val="00AE05B6"/>
    <w:rsid w:val="00AE3B42"/>
    <w:rsid w:val="00AF2A83"/>
    <w:rsid w:val="00AF490F"/>
    <w:rsid w:val="00AF520B"/>
    <w:rsid w:val="00B05ACC"/>
    <w:rsid w:val="00B1751D"/>
    <w:rsid w:val="00B203D0"/>
    <w:rsid w:val="00B23C9D"/>
    <w:rsid w:val="00B27059"/>
    <w:rsid w:val="00B35B23"/>
    <w:rsid w:val="00B40499"/>
    <w:rsid w:val="00B41748"/>
    <w:rsid w:val="00B42EB9"/>
    <w:rsid w:val="00B433A2"/>
    <w:rsid w:val="00B436F1"/>
    <w:rsid w:val="00B445B8"/>
    <w:rsid w:val="00B45E60"/>
    <w:rsid w:val="00B474CB"/>
    <w:rsid w:val="00B51B27"/>
    <w:rsid w:val="00B5255D"/>
    <w:rsid w:val="00B52DF1"/>
    <w:rsid w:val="00B54C70"/>
    <w:rsid w:val="00B5754A"/>
    <w:rsid w:val="00B618A5"/>
    <w:rsid w:val="00B61F6F"/>
    <w:rsid w:val="00B64FEB"/>
    <w:rsid w:val="00B66089"/>
    <w:rsid w:val="00B66E42"/>
    <w:rsid w:val="00B67EF7"/>
    <w:rsid w:val="00B70336"/>
    <w:rsid w:val="00B71854"/>
    <w:rsid w:val="00B72DBF"/>
    <w:rsid w:val="00B80017"/>
    <w:rsid w:val="00B92573"/>
    <w:rsid w:val="00B92E12"/>
    <w:rsid w:val="00B9341F"/>
    <w:rsid w:val="00BA0FE2"/>
    <w:rsid w:val="00BA161C"/>
    <w:rsid w:val="00BA504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509"/>
    <w:rsid w:val="00C41E9C"/>
    <w:rsid w:val="00C47AD4"/>
    <w:rsid w:val="00C62904"/>
    <w:rsid w:val="00C64D88"/>
    <w:rsid w:val="00C64F3B"/>
    <w:rsid w:val="00C652F8"/>
    <w:rsid w:val="00C73D60"/>
    <w:rsid w:val="00C76888"/>
    <w:rsid w:val="00C77521"/>
    <w:rsid w:val="00C77D65"/>
    <w:rsid w:val="00C84549"/>
    <w:rsid w:val="00C918E6"/>
    <w:rsid w:val="00C95C5F"/>
    <w:rsid w:val="00CA0BCE"/>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9AD"/>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B783D"/>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0F74"/>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0506"/>
    <w:rsid w:val="00F14DAF"/>
    <w:rsid w:val="00F259B1"/>
    <w:rsid w:val="00F30430"/>
    <w:rsid w:val="00F373AC"/>
    <w:rsid w:val="00F37B47"/>
    <w:rsid w:val="00F466F1"/>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C9BB-70AA-45B2-9175-0F336045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9621</Words>
  <Characters>57732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5</cp:revision>
  <cp:lastPrinted>2016-04-27T10:40:00Z</cp:lastPrinted>
  <dcterms:created xsi:type="dcterms:W3CDTF">2016-04-27T06:17:00Z</dcterms:created>
  <dcterms:modified xsi:type="dcterms:W3CDTF">2016-04-27T10:48:00Z</dcterms:modified>
</cp:coreProperties>
</file>