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nr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A74C6A" w:rsidP="00480411">
      <w:pPr>
        <w:pStyle w:val="Nagwek"/>
        <w:spacing w:before="120" w:after="120"/>
        <w:jc w:val="center"/>
        <w:rPr>
          <w:rFonts w:cs="Arial"/>
          <w:b/>
          <w:sz w:val="32"/>
          <w:szCs w:val="32"/>
        </w:rPr>
      </w:pPr>
    </w:p>
    <w:p w:rsidR="00836815" w:rsidRDefault="00836815" w:rsidP="00836815">
      <w:pPr>
        <w:pStyle w:val="Nagwek"/>
        <w:spacing w:before="120" w:after="120"/>
        <w:jc w:val="center"/>
        <w:rPr>
          <w:rFonts w:cs="Arial"/>
          <w:b/>
          <w:sz w:val="36"/>
          <w:szCs w:val="36"/>
          <w:u w:val="single"/>
        </w:rPr>
      </w:pPr>
      <w:bookmarkStart w:id="0" w:name="_Toc422949625"/>
      <w:bookmarkStart w:id="1" w:name="_Toc430826812"/>
      <w:r w:rsidRPr="00B72DBF">
        <w:rPr>
          <w:rFonts w:cs="Arial"/>
          <w:b/>
          <w:sz w:val="36"/>
          <w:szCs w:val="36"/>
          <w:u w:val="single"/>
        </w:rPr>
        <w:t>Działanie 4.3 Dziedzictwo kulturowe</w:t>
      </w:r>
    </w:p>
    <w:p w:rsidR="00836815" w:rsidRPr="00B72DBF" w:rsidRDefault="00836815" w:rsidP="00836815">
      <w:pPr>
        <w:pStyle w:val="Nagwek"/>
        <w:spacing w:before="120" w:after="120"/>
        <w:jc w:val="center"/>
        <w:rPr>
          <w:rFonts w:cs="Arial"/>
          <w:b/>
          <w:sz w:val="36"/>
          <w:szCs w:val="36"/>
          <w:u w:val="single"/>
        </w:rPr>
      </w:pPr>
    </w:p>
    <w:p w:rsidR="006754E3" w:rsidRPr="00E734C3" w:rsidRDefault="00836815" w:rsidP="00836815">
      <w:pPr>
        <w:pStyle w:val="Nagwek"/>
        <w:spacing w:before="120" w:after="120"/>
        <w:jc w:val="center"/>
        <w:rPr>
          <w:rFonts w:cs="Arial"/>
          <w:b/>
          <w:sz w:val="36"/>
          <w:szCs w:val="36"/>
        </w:rPr>
      </w:pPr>
      <w:r w:rsidRPr="00E734C3">
        <w:rPr>
          <w:rFonts w:cs="Arial"/>
          <w:b/>
          <w:sz w:val="36"/>
          <w:szCs w:val="36"/>
        </w:rPr>
        <w:t xml:space="preserve">Poddziałanie 4.3.1 Dziedzictwo kulturowe – </w:t>
      </w:r>
      <w:r w:rsidR="00E734C3" w:rsidRPr="00E734C3">
        <w:rPr>
          <w:rFonts w:cs="Arial"/>
          <w:b/>
          <w:sz w:val="36"/>
          <w:szCs w:val="36"/>
        </w:rPr>
        <w:t xml:space="preserve">konkursy horyzontalne - </w:t>
      </w:r>
      <w:r w:rsidR="00AD4306" w:rsidRPr="00E734C3">
        <w:rPr>
          <w:rFonts w:cs="Arial"/>
          <w:b/>
          <w:sz w:val="36"/>
          <w:szCs w:val="36"/>
        </w:rPr>
        <w:t xml:space="preserve">nabór na </w:t>
      </w:r>
      <w:r w:rsidR="00CC7F92" w:rsidRPr="00E734C3">
        <w:rPr>
          <w:rFonts w:cs="Arial"/>
          <w:b/>
          <w:sz w:val="36"/>
          <w:szCs w:val="36"/>
        </w:rPr>
        <w:t>OSI</w:t>
      </w:r>
    </w:p>
    <w:p w:rsidR="00A522D6" w:rsidRPr="00CA3AEF" w:rsidRDefault="00A522D6" w:rsidP="00A74C6A">
      <w:pPr>
        <w:pStyle w:val="Nagwek"/>
        <w:spacing w:before="120" w:after="120"/>
        <w:jc w:val="center"/>
        <w:rPr>
          <w:rFonts w:cs="Arial"/>
          <w:b/>
          <w:sz w:val="24"/>
          <w:szCs w:val="24"/>
        </w:rPr>
      </w:pPr>
    </w:p>
    <w:bookmarkEnd w:id="0"/>
    <w:bookmarkEnd w:id="1"/>
    <w:p w:rsidR="006754E3" w:rsidRPr="00CA3AEF" w:rsidRDefault="006754E3" w:rsidP="006754E3">
      <w:pPr>
        <w:tabs>
          <w:tab w:val="left" w:pos="2835"/>
        </w:tabs>
        <w:spacing w:line="240" w:lineRule="auto"/>
        <w:jc w:val="center"/>
        <w:rPr>
          <w:b/>
          <w:u w:val="single"/>
        </w:rPr>
      </w:pPr>
    </w:p>
    <w:p w:rsidR="006A2DD1" w:rsidRPr="00CA3AEF" w:rsidRDefault="006A2DD1" w:rsidP="006754E3">
      <w:pPr>
        <w:tabs>
          <w:tab w:val="left" w:pos="2835"/>
        </w:tabs>
        <w:spacing w:line="240" w:lineRule="auto"/>
        <w:jc w:val="center"/>
        <w:rPr>
          <w:b/>
          <w:u w:val="single"/>
        </w:rPr>
      </w:pPr>
    </w:p>
    <w:p w:rsidR="00E873C4" w:rsidRPr="00CA3AEF" w:rsidRDefault="00390D9C" w:rsidP="00480411">
      <w:pPr>
        <w:spacing w:line="240" w:lineRule="auto"/>
        <w:jc w:val="center"/>
        <w:rPr>
          <w:b/>
          <w:sz w:val="28"/>
          <w:szCs w:val="28"/>
        </w:rPr>
      </w:pPr>
      <w:r w:rsidRPr="00CA3AEF">
        <w:rPr>
          <w:b/>
          <w:sz w:val="28"/>
          <w:szCs w:val="28"/>
        </w:rPr>
        <w:t xml:space="preserve">Nr </w:t>
      </w:r>
      <w:r w:rsidR="004E1A59" w:rsidRPr="00CA3AEF">
        <w:rPr>
          <w:b/>
          <w:sz w:val="28"/>
          <w:szCs w:val="28"/>
        </w:rPr>
        <w:t xml:space="preserve">naboru </w:t>
      </w:r>
      <w:r w:rsidR="0001134F" w:rsidRPr="00E734C3">
        <w:rPr>
          <w:b/>
          <w:sz w:val="28"/>
          <w:szCs w:val="28"/>
        </w:rPr>
        <w:t>RPDS.0</w:t>
      </w:r>
      <w:r w:rsidR="006A2DD1" w:rsidRPr="00E734C3">
        <w:rPr>
          <w:b/>
          <w:sz w:val="28"/>
          <w:szCs w:val="28"/>
        </w:rPr>
        <w:t>4</w:t>
      </w:r>
      <w:r w:rsidR="0001134F" w:rsidRPr="00E734C3">
        <w:rPr>
          <w:b/>
          <w:sz w:val="28"/>
          <w:szCs w:val="28"/>
        </w:rPr>
        <w:t>.0</w:t>
      </w:r>
      <w:r w:rsidR="00836815" w:rsidRPr="00E734C3">
        <w:rPr>
          <w:b/>
          <w:sz w:val="28"/>
          <w:szCs w:val="28"/>
        </w:rPr>
        <w:t>3</w:t>
      </w:r>
      <w:r w:rsidR="00C27CC9" w:rsidRPr="00E734C3">
        <w:rPr>
          <w:b/>
          <w:sz w:val="28"/>
          <w:szCs w:val="28"/>
        </w:rPr>
        <w:t>.01-IZ.00-02-1</w:t>
      </w:r>
      <w:r w:rsidR="00E734C3" w:rsidRPr="00E734C3">
        <w:rPr>
          <w:b/>
          <w:sz w:val="28"/>
          <w:szCs w:val="28"/>
        </w:rPr>
        <w:t>13</w:t>
      </w:r>
      <w:r w:rsidR="0001134F" w:rsidRPr="00E734C3">
        <w:rPr>
          <w:b/>
          <w:sz w:val="28"/>
          <w:szCs w:val="28"/>
        </w:rPr>
        <w:t>/16</w:t>
      </w:r>
    </w:p>
    <w:p w:rsidR="00124CCA" w:rsidRPr="00CA3AEF" w:rsidRDefault="00124CCA" w:rsidP="00480411">
      <w:pPr>
        <w:spacing w:line="240" w:lineRule="auto"/>
      </w:pPr>
    </w:p>
    <w:p w:rsidR="00936001" w:rsidRPr="00CA3AEF" w:rsidRDefault="00936001"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6A2DD1" w:rsidRPr="00CA3AEF">
        <w:rPr>
          <w:sz w:val="28"/>
          <w:szCs w:val="28"/>
        </w:rPr>
        <w:t>kwiecień</w:t>
      </w:r>
      <w:r w:rsidR="009A0630" w:rsidRPr="00CA3AEF">
        <w:rPr>
          <w:sz w:val="28"/>
          <w:szCs w:val="28"/>
        </w:rPr>
        <w:t xml:space="preserve"> 2016</w:t>
      </w:r>
    </w:p>
    <w:p w:rsidR="00480411" w:rsidRPr="00CA3AEF" w:rsidRDefault="00480411" w:rsidP="00921011">
      <w:pPr>
        <w:spacing w:line="240" w:lineRule="auto"/>
        <w:ind w:right="1"/>
        <w:rPr>
          <w:b/>
          <w:bCs/>
        </w:rPr>
      </w:pPr>
    </w:p>
    <w:p w:rsidR="00A74C6A" w:rsidRPr="00CA3AEF" w:rsidRDefault="00A74C6A" w:rsidP="00921011">
      <w:pPr>
        <w:spacing w:line="240" w:lineRule="auto"/>
        <w:ind w:right="1"/>
        <w:rPr>
          <w:b/>
          <w:bCs/>
        </w:rPr>
      </w:pPr>
    </w:p>
    <w:p w:rsidR="00582A00" w:rsidRPr="00CA3AEF" w:rsidRDefault="00582A00" w:rsidP="00921011">
      <w:pPr>
        <w:spacing w:line="240" w:lineRule="auto"/>
        <w:ind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 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proofErr w:type="spellStart"/>
            <w:r w:rsidRPr="00CA3AEF">
              <w:rPr>
                <w:rFonts w:ascii="Calibri" w:hAnsi="Calibri" w:cs="Calibri"/>
                <w:color w:val="000000"/>
              </w:rPr>
              <w:t>Uooś</w:t>
            </w:r>
            <w:proofErr w:type="spellEnd"/>
            <w:r w:rsidRPr="00CA3AEF">
              <w:rPr>
                <w:rFonts w:ascii="Calibri" w:hAnsi="Calibri" w:cs="Calibri"/>
                <w:color w:val="000000"/>
              </w:rPr>
              <w:t xml:space="preserv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6A2DD1" w:rsidRPr="00CA3AEF" w:rsidRDefault="005F764E" w:rsidP="004D297F">
            <w:pPr>
              <w:pStyle w:val="Nagwek"/>
              <w:spacing w:before="120" w:after="120"/>
              <w:jc w:val="both"/>
              <w:rPr>
                <w:rFonts w:cs="Arial"/>
              </w:rPr>
            </w:pPr>
            <w:r w:rsidRPr="00CA3AEF">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F27888">
              <w:rPr>
                <w:rFonts w:ascii="Calibri" w:eastAsia="Droid Sans Fallback" w:hAnsi="Calibri" w:cs="Calibri"/>
                <w:color w:val="00000A"/>
              </w:rPr>
              <w:t>,</w:t>
            </w:r>
            <w:r w:rsidRPr="00CA3AEF">
              <w:rPr>
                <w:rFonts w:ascii="Calibri" w:eastAsia="Droid Sans Fallback" w:hAnsi="Calibri" w:cs="Calibri"/>
                <w:color w:val="00000A"/>
              </w:rPr>
              <w:t xml:space="preserve">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F27888" w:rsidRPr="007F7945">
              <w:rPr>
                <w:rFonts w:cs="Arial"/>
              </w:rPr>
              <w:t>Działania 4.3 Dziedzictwo kulturowe - Poddziałanie 4.3.1 Dziedzictwo kulturowe</w:t>
            </w:r>
            <w:r w:rsidR="00F27888">
              <w:rPr>
                <w:rFonts w:cs="Arial"/>
              </w:rPr>
              <w:t xml:space="preserve"> -</w:t>
            </w:r>
            <w:r w:rsidR="006A2DD1" w:rsidRPr="00CA3AEF">
              <w:rPr>
                <w:rFonts w:cs="Arial"/>
              </w:rPr>
              <w:t xml:space="preserve"> </w:t>
            </w:r>
            <w:r w:rsidR="004D297F" w:rsidRPr="00CA3AEF">
              <w:rPr>
                <w:rFonts w:cs="Arial"/>
              </w:rPr>
              <w:t>konkursy horyzontalne – nabór na OSI</w:t>
            </w:r>
            <w:r w:rsidR="006A2DD1" w:rsidRPr="00CA3AEF">
              <w:rPr>
                <w:rFonts w:cs="Arial"/>
              </w:rPr>
              <w:t>.</w:t>
            </w:r>
          </w:p>
          <w:p w:rsidR="004D297F" w:rsidRPr="00CA3AEF" w:rsidRDefault="005F764E" w:rsidP="004D297F">
            <w:pPr>
              <w:pStyle w:val="Nagwek"/>
              <w:spacing w:before="120" w:after="120"/>
              <w:jc w:val="both"/>
              <w:rPr>
                <w:rFonts w:cs="Arial"/>
                <w:b/>
                <w:u w:val="single"/>
              </w:rPr>
            </w:pPr>
            <w:r w:rsidRPr="00CA3AEF">
              <w:rPr>
                <w:rFonts w:ascii="Calibri" w:eastAsia="Times New Roman" w:hAnsi="Calibri" w:cs="Calibri"/>
                <w:b/>
                <w:color w:val="000000"/>
                <w:szCs w:val="20"/>
                <w:lang w:eastAsia="pl-PL"/>
              </w:rPr>
              <w:t xml:space="preserve">Nabór w trybie konkursowym – </w:t>
            </w:r>
            <w:r w:rsidR="004D297F" w:rsidRPr="00CA3AEF">
              <w:rPr>
                <w:rFonts w:cs="Calibri"/>
                <w:b/>
                <w:color w:val="000000"/>
                <w:u w:val="single"/>
              </w:rPr>
              <w:t>ukierunkowany na Obszary Strategicznej Interwencji</w:t>
            </w:r>
            <w:r w:rsidR="00E734C3">
              <w:rPr>
                <w:rFonts w:cs="Calibri"/>
                <w:b/>
                <w:color w:val="000000"/>
                <w:u w:val="single"/>
              </w:rPr>
              <w:t xml:space="preserve"> – na projekty realizowane na obszarze danego OSI</w:t>
            </w:r>
            <w:r w:rsidR="004D297F" w:rsidRPr="00CA3AEF">
              <w:rPr>
                <w:rFonts w:cs="Calibri"/>
                <w:b/>
                <w:color w:val="000000"/>
                <w:u w:val="single"/>
              </w:rPr>
              <w:t>:</w:t>
            </w:r>
          </w:p>
          <w:p w:rsidR="004D297F" w:rsidRPr="00CA3AEF" w:rsidRDefault="004D297F" w:rsidP="004D297F">
            <w:pPr>
              <w:pStyle w:val="Nagwek"/>
              <w:numPr>
                <w:ilvl w:val="0"/>
                <w:numId w:val="14"/>
              </w:numPr>
              <w:spacing w:before="120" w:after="120"/>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2"/>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5F764E" w:rsidRPr="00CA3AEF" w:rsidRDefault="005F764E" w:rsidP="004D297F">
            <w:pPr>
              <w:suppressAutoHyphens/>
              <w:spacing w:before="120" w:after="120" w:line="240" w:lineRule="auto"/>
              <w:ind w:left="33"/>
              <w:jc w:val="both"/>
              <w:rPr>
                <w:rFonts w:eastAsia="Times New Roman" w:cs="Times New Roman"/>
                <w:szCs w:val="20"/>
                <w:lang w:eastAsia="pl-PL"/>
              </w:rPr>
            </w:pP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konkursu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CA3AEF">
              <w:rPr>
                <w:rFonts w:ascii="Calibri" w:eastAsia="Times New Roman" w:hAnsi="Calibri" w:cs="Calibri"/>
                <w:color w:val="000000"/>
                <w:szCs w:val="20"/>
                <w:lang w:eastAsia="pl-PL"/>
              </w:rPr>
              <w:lastRenderedPageBreak/>
              <w:t>równe traktowanie.</w:t>
            </w:r>
          </w:p>
          <w:p w:rsidR="00FB53DA" w:rsidRPr="00CA3AEF" w:rsidRDefault="005F764E" w:rsidP="005F764E">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CA3AEF" w:rsidTr="006D7C1A">
        <w:tc>
          <w:tcPr>
            <w:tcW w:w="534" w:type="dxa"/>
          </w:tcPr>
          <w:p w:rsidR="00424DF6" w:rsidRPr="00CA3AEF" w:rsidRDefault="00FD6EC7"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00FD6EC7" w:rsidRPr="00CA3AEF">
              <w:rPr>
                <w:b/>
              </w:rPr>
              <w:t xml:space="preserve"> </w:t>
            </w:r>
            <w:r w:rsidR="00D560BA" w:rsidRPr="00CA3AEF">
              <w:rPr>
                <w:b/>
              </w:rPr>
              <w:t>o</w:t>
            </w:r>
            <w:r w:rsidR="00FD6EC7" w:rsidRPr="00CA3AEF">
              <w:rPr>
                <w:b/>
              </w:rPr>
              <w:t xml:space="preserve">rganizującej </w:t>
            </w:r>
            <w:r w:rsidR="00D560BA" w:rsidRPr="00CA3AEF">
              <w:rPr>
                <w:b/>
              </w:rPr>
              <w:t>k</w:t>
            </w:r>
            <w:r w:rsidR="00FD6EC7" w:rsidRPr="00CA3AEF">
              <w:rPr>
                <w:b/>
              </w:rPr>
              <w:t>onkurs</w:t>
            </w:r>
            <w:r w:rsidRPr="00CA3AEF">
              <w:rPr>
                <w:rFonts w:cs="Calibri"/>
                <w:b/>
                <w:bCs/>
                <w:color w:val="000000"/>
              </w:rPr>
              <w:t xml:space="preserve">: </w:t>
            </w:r>
          </w:p>
        </w:tc>
        <w:tc>
          <w:tcPr>
            <w:tcW w:w="7494" w:type="dxa"/>
          </w:tcPr>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Funkcję Instytucji Zarządzającej pełni Zarząd Województwa Dolnośląskiego. </w:t>
            </w:r>
          </w:p>
          <w:p w:rsidR="00424DF6" w:rsidRPr="00CA3AEF" w:rsidRDefault="003B6C9D" w:rsidP="00480411">
            <w:pPr>
              <w:pStyle w:val="Akapitzlist"/>
              <w:spacing w:before="120" w:after="120" w:line="240" w:lineRule="auto"/>
              <w:ind w:left="0"/>
              <w:jc w:val="both"/>
              <w:rPr>
                <w:rFonts w:cs="Calibri"/>
                <w:color w:val="000000"/>
              </w:rPr>
            </w:pPr>
            <w:r w:rsidRPr="00CA3AEF">
              <w:rPr>
                <w:rFonts w:asciiTheme="minorHAnsi" w:hAnsiTheme="minorHAnsi"/>
                <w:szCs w:val="22"/>
              </w:rPr>
              <w:t xml:space="preserve">Zadania związane z naborem realizuje Departament Funduszy Europejskich </w:t>
            </w:r>
            <w:r w:rsidR="002D184C" w:rsidRPr="00CA3AEF">
              <w:rPr>
                <w:rFonts w:asciiTheme="minorHAnsi" w:hAnsiTheme="minorHAnsi"/>
                <w:szCs w:val="22"/>
              </w:rPr>
              <w:br/>
            </w:r>
            <w:r w:rsidRPr="00CA3AEF">
              <w:rPr>
                <w:rFonts w:asciiTheme="minorHAnsi" w:hAnsiTheme="minorHAnsi"/>
                <w:szCs w:val="22"/>
              </w:rPr>
              <w:t>w Urzędzie Marszałkow</w:t>
            </w:r>
            <w:r w:rsidR="002D184C" w:rsidRPr="00CA3AEF">
              <w:rPr>
                <w:rFonts w:asciiTheme="minorHAnsi" w:hAnsiTheme="minorHAnsi"/>
                <w:szCs w:val="22"/>
              </w:rPr>
              <w:t>skim Województwa Dolnośląskiego</w:t>
            </w:r>
            <w:r w:rsidR="00FD6EC7" w:rsidRPr="00CA3AEF">
              <w:rPr>
                <w:rFonts w:asciiTheme="minorHAnsi" w:hAnsiTheme="minorHAnsi"/>
                <w:szCs w:val="22"/>
              </w:rPr>
              <w:t xml:space="preserve">, </w:t>
            </w:r>
            <w:r w:rsidR="00FD6EC7" w:rsidRPr="00CA3AEF">
              <w:rPr>
                <w:rFonts w:asciiTheme="minorHAnsi" w:hAnsiTheme="minorHAnsi"/>
                <w:bCs/>
              </w:rPr>
              <w:t>ul. Mazowiecka 17, 50-412 Wrocław</w:t>
            </w:r>
            <w:r w:rsidRPr="00CA3AEF">
              <w:rPr>
                <w:rFonts w:asciiTheme="minorHAnsi" w:hAnsiTheme="minorHAnsi"/>
                <w:szCs w:val="22"/>
              </w:rPr>
              <w:t xml:space="preserve">. </w:t>
            </w:r>
          </w:p>
        </w:tc>
      </w:tr>
      <w:tr w:rsidR="00960C43" w:rsidRPr="00CA3AEF" w:rsidTr="00A60962">
        <w:tc>
          <w:tcPr>
            <w:tcW w:w="534"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autoSpaceDE w:val="0"/>
              <w:autoSpaceDN w:val="0"/>
              <w:adjustRightInd w:val="0"/>
              <w:spacing w:after="0" w:line="240" w:lineRule="auto"/>
              <w:rPr>
                <w:rFonts w:cs="Calibri"/>
                <w:b/>
                <w:bCs/>
                <w:color w:val="000000"/>
              </w:rPr>
            </w:pPr>
            <w:r w:rsidRPr="00CA3AEF">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pStyle w:val="Default"/>
              <w:rPr>
                <w:rFonts w:asciiTheme="minorHAnsi" w:hAnsiTheme="minorHAnsi"/>
                <w:b/>
                <w:bCs/>
                <w:sz w:val="22"/>
                <w:szCs w:val="22"/>
              </w:rPr>
            </w:pPr>
            <w:r w:rsidRPr="00CA3AEF">
              <w:rPr>
                <w:rFonts w:asciiTheme="minorHAnsi" w:hAnsiTheme="minorHAnsi"/>
                <w:b/>
                <w:bCs/>
                <w:sz w:val="22"/>
                <w:szCs w:val="22"/>
              </w:rPr>
              <w:t>Podstawy prawne oraz inne ważne dokumenty:</w:t>
            </w:r>
          </w:p>
          <w:p w:rsidR="00960C43" w:rsidRPr="00CA3AEF" w:rsidRDefault="00960C43"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960C43" w:rsidRPr="00B27059" w:rsidRDefault="00960C43" w:rsidP="00B845DE">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960C43" w:rsidRPr="00B27059" w:rsidRDefault="00960C43" w:rsidP="00B845DE">
            <w:pPr>
              <w:pStyle w:val="Akapitzlist"/>
              <w:spacing w:before="120" w:after="120" w:line="240" w:lineRule="auto"/>
              <w:ind w:left="720"/>
              <w:jc w:val="both"/>
              <w:rPr>
                <w:rFonts w:asciiTheme="minorHAnsi" w:eastAsiaTheme="minorHAnsi" w:hAnsiTheme="minorHAnsi" w:cs="Calibri"/>
                <w:color w:val="000000"/>
                <w:szCs w:val="22"/>
                <w:lang w:eastAsia="en-US"/>
              </w:rPr>
            </w:pP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 xml:space="preserve">Traktat o funkcjonowaniu Unii Europejskiej;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lastRenderedPageBreak/>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960C43" w:rsidRDefault="00960C43"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CA2621" w:rsidRPr="00CA2621" w:rsidRDefault="00CA2621"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A2621">
              <w:rPr>
                <w:rFonts w:asciiTheme="minorHAnsi" w:hAnsiTheme="minorHAnsi"/>
              </w:rPr>
              <w:t xml:space="preserve">Rozporządzenia Ministra Infrastruktury i Rozwoju </w:t>
            </w:r>
            <w:r w:rsidRPr="00CA2621">
              <w:rPr>
                <w:rFonts w:asciiTheme="minorHAnsi" w:eastAsia="TimesNewRoman" w:hAnsiTheme="minorHAnsi" w:cs="TimesNewRoman"/>
              </w:rPr>
              <w:t xml:space="preserve">z dnia 28 sierpnia 2015 r. </w:t>
            </w:r>
            <w:r w:rsidRPr="00CA2621">
              <w:rPr>
                <w:rFonts w:asciiTheme="minorHAnsi" w:hAnsiTheme="minorHAnsi"/>
              </w:rPr>
              <w:t>w sprawie udzielania pomocy inwestycyjnej na kulturę i zachowanie dziedzictwa kulturowego w ramach regionalnych programów operacyjnych na lata 2014-2020.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14 czerwca 1960 r. Kodeks postępowania administracyjnego (tekst jedn.: Dz. U. z 2016 r. poz. 23);</w:t>
            </w:r>
          </w:p>
          <w:p w:rsidR="00960C43"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30 sierpnia 2002 r. – Prawo o postępowaniu przed sądami </w:t>
            </w:r>
            <w:r w:rsidRPr="00B27059">
              <w:rPr>
                <w:rFonts w:asciiTheme="minorHAnsi" w:hAnsiTheme="minorHAnsi"/>
                <w:color w:val="000000"/>
                <w:szCs w:val="22"/>
              </w:rPr>
              <w:t xml:space="preserve">administracyjnymi (tekst. jedn.: Dz. U. z 2012 r. poz. 270, z </w:t>
            </w:r>
            <w:proofErr w:type="spellStart"/>
            <w:r w:rsidRPr="00B27059">
              <w:rPr>
                <w:rFonts w:asciiTheme="minorHAnsi" w:hAnsiTheme="minorHAnsi"/>
                <w:color w:val="000000"/>
                <w:szCs w:val="22"/>
              </w:rPr>
              <w:t>późn</w:t>
            </w:r>
            <w:proofErr w:type="spellEnd"/>
            <w:r w:rsidRPr="00B27059">
              <w:rPr>
                <w:rFonts w:asciiTheme="minorHAnsi" w:hAnsiTheme="minorHAnsi"/>
                <w:color w:val="000000"/>
                <w:szCs w:val="22"/>
              </w:rPr>
              <w:t>. zm.);</w:t>
            </w:r>
          </w:p>
          <w:p w:rsidR="00960C43" w:rsidRPr="00DF0941"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 xml:space="preserve">Dz.U. 2003 Nr 162 poz. 1568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960C43" w:rsidRPr="008E1123"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Style w:val="h2"/>
                <w:rFonts w:asciiTheme="minorHAnsi" w:hAnsiTheme="minorHAnsi"/>
                <w:szCs w:val="22"/>
              </w:rPr>
              <w:t>Ustawa z dnia 16 kwietnia 2004 r. o ochronie przyrody</w:t>
            </w:r>
            <w:r w:rsidRPr="00B27059">
              <w:rPr>
                <w:rFonts w:asciiTheme="minorHAnsi" w:hAnsiTheme="minorHAnsi"/>
                <w:color w:val="000000"/>
                <w:szCs w:val="22"/>
              </w:rPr>
              <w:t xml:space="preserve"> (</w:t>
            </w:r>
            <w:r w:rsidRPr="00B27059">
              <w:rPr>
                <w:rFonts w:asciiTheme="minorHAnsi" w:eastAsiaTheme="minorHAnsi" w:hAnsiTheme="minorHAnsi"/>
                <w:color w:val="000000"/>
                <w:szCs w:val="22"/>
                <w:lang w:eastAsia="en-US"/>
              </w:rPr>
              <w:t xml:space="preserve"> tekst jedn. Dz. U. z 2015 r. poz. 1651, 1936).</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Strategia Rozwoju Województwa Dolnośląskiego 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Regionalny Program Operacyjny Województwa Dolnośląskiego 2014-</w:t>
            </w:r>
            <w:r w:rsidRPr="00B27059">
              <w:rPr>
                <w:rFonts w:asciiTheme="minorHAnsi" w:hAnsiTheme="minorHAnsi"/>
                <w:color w:val="000000"/>
              </w:rPr>
              <w:lastRenderedPageBreak/>
              <w:t>2020 przyjęty przez Komisję Europejską w dniu 18 grudnia 2014 r.;</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Szczegółowy opis osi priorytetowych Regionalnego Programu Operacyjnego Województwa Dolnośląskiego 2014-2020 z dnia 25 kwietnia 2016 r.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Ministra Infrastruktury i Rozwoju.</w:t>
            </w:r>
          </w:p>
          <w:p w:rsidR="00960C43" w:rsidRPr="00B27059" w:rsidRDefault="00960C43" w:rsidP="00B845DE">
            <w:pPr>
              <w:autoSpaceDE w:val="0"/>
              <w:autoSpaceDN w:val="0"/>
              <w:adjustRightInd w:val="0"/>
              <w:spacing w:before="60" w:after="60" w:line="240" w:lineRule="auto"/>
              <w:ind w:left="360"/>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E734C3" w:rsidRDefault="00E734C3" w:rsidP="00E734C3">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w:t>
            </w:r>
            <w:r>
              <w:rPr>
                <w:rFonts w:cs="Calibri"/>
                <w:color w:val="000000"/>
              </w:rPr>
              <w:t xml:space="preserve">realizowane na obszarze OSI, </w:t>
            </w:r>
            <w:r w:rsidRPr="00151119">
              <w:rPr>
                <w:rFonts w:cs="Calibri"/>
                <w:color w:val="000000"/>
              </w:rPr>
              <w:t>tj.:</w:t>
            </w:r>
          </w:p>
          <w:p w:rsidR="00E734C3" w:rsidRPr="00151119" w:rsidRDefault="00E734C3" w:rsidP="00E734C3">
            <w:pPr>
              <w:autoSpaceDE w:val="0"/>
              <w:autoSpaceDN w:val="0"/>
              <w:adjustRightInd w:val="0"/>
              <w:spacing w:after="0" w:line="240" w:lineRule="auto"/>
              <w:jc w:val="both"/>
              <w:rPr>
                <w:rFonts w:cs="Calibri"/>
                <w:color w:val="000000"/>
              </w:rPr>
            </w:pPr>
          </w:p>
          <w:p w:rsidR="00960C43" w:rsidRPr="00960C43" w:rsidRDefault="00960C43" w:rsidP="00960C43">
            <w:pPr>
              <w:numPr>
                <w:ilvl w:val="0"/>
                <w:numId w:val="1"/>
              </w:numPr>
              <w:spacing w:after="0" w:line="240" w:lineRule="auto"/>
              <w:jc w:val="both"/>
              <w:rPr>
                <w:rFonts w:cs="Arial"/>
              </w:rPr>
            </w:pPr>
            <w:r w:rsidRPr="00960C43">
              <w:rPr>
                <w:rFonts w:cs="Arial"/>
              </w:rPr>
              <w:t>Zabytki nieruchome, wpisane do rejestru prowadzonego przez Wojewódzkiego Konserwatora Zabytków we Wrocławiu wraz z ich otoczeniem, w tym:</w:t>
            </w:r>
          </w:p>
          <w:p w:rsidR="00960C43" w:rsidRPr="00960C43" w:rsidRDefault="00960C43" w:rsidP="00960C43">
            <w:pPr>
              <w:numPr>
                <w:ilvl w:val="0"/>
                <w:numId w:val="3"/>
              </w:numPr>
              <w:spacing w:after="0" w:line="240" w:lineRule="auto"/>
              <w:jc w:val="both"/>
              <w:rPr>
                <w:rFonts w:cs="Arial"/>
              </w:rPr>
            </w:pPr>
            <w:r w:rsidRPr="00960C43">
              <w:rPr>
                <w:rFonts w:cs="Arial"/>
              </w:rPr>
              <w:t xml:space="preserve">rewitalizacja, rewaloryzacja, konserwacja, renowacja, restauracja, zachowanie i adaptacja oraz roboty budowlane obiektów zabytkowych oraz obszarów zabytkowych; </w:t>
            </w:r>
          </w:p>
          <w:p w:rsidR="00960C43" w:rsidRPr="00960C43" w:rsidRDefault="00960C43" w:rsidP="00960C43">
            <w:pPr>
              <w:pStyle w:val="Akapitzlist"/>
              <w:numPr>
                <w:ilvl w:val="0"/>
                <w:numId w:val="3"/>
              </w:numPr>
              <w:spacing w:before="0" w:line="240" w:lineRule="auto"/>
              <w:contextualSpacing/>
              <w:jc w:val="both"/>
              <w:rPr>
                <w:rFonts w:asciiTheme="minorHAnsi" w:hAnsiTheme="minorHAnsi" w:cs="Arial"/>
                <w:szCs w:val="22"/>
              </w:rPr>
            </w:pPr>
            <w:r w:rsidRPr="00960C43">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60C43" w:rsidRPr="00960C43" w:rsidRDefault="00960C43" w:rsidP="00960C43">
            <w:pPr>
              <w:pStyle w:val="Akapitzlist"/>
              <w:spacing w:line="240" w:lineRule="auto"/>
              <w:ind w:left="753"/>
              <w:jc w:val="both"/>
              <w:rPr>
                <w:rFonts w:asciiTheme="minorHAnsi" w:hAnsiTheme="minorHAnsi" w:cs="Arial"/>
                <w:szCs w:val="22"/>
              </w:rPr>
            </w:pPr>
          </w:p>
          <w:p w:rsidR="00960C43" w:rsidRPr="00960C43" w:rsidRDefault="00960C43" w:rsidP="00960C43">
            <w:pPr>
              <w:spacing w:line="240" w:lineRule="auto"/>
              <w:rPr>
                <w:rFonts w:cs="Arial"/>
              </w:rPr>
            </w:pPr>
            <w:r w:rsidRPr="00960C43">
              <w:rPr>
                <w:rFonts w:cs="Arial"/>
              </w:rPr>
              <w:t>Jako uzupełniający element wyżej wymienionych projektów będą mogły być realizowane:</w:t>
            </w:r>
          </w:p>
          <w:p w:rsidR="00960C43" w:rsidRPr="00960C43" w:rsidRDefault="00960C43" w:rsidP="00960C43">
            <w:pPr>
              <w:pStyle w:val="Akapitzlist"/>
              <w:numPr>
                <w:ilvl w:val="0"/>
                <w:numId w:val="2"/>
              </w:numPr>
              <w:tabs>
                <w:tab w:val="left" w:pos="317"/>
                <w:tab w:val="left" w:pos="1405"/>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dostosowanie infrastruktury do potrzeb osób niepełnosprawnych;</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adaptacja i zastosowanie środków ochrony (np. przeciwwłamaniowej i przeciwpożarowej); </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eastAsia="TTE1ABE920t00" w:hAnsiTheme="minorHAnsi" w:cs="Arial"/>
                <w:szCs w:val="22"/>
              </w:rPr>
              <w:t>przedsięwzięcia dotyczące infrastruktury towarzyszącej (np. parkingi, chodniki, drogi) – do 15% całkowitych kosztów kwalifikowalnych projektu;</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konserwacja, restauracja zabytków ruchomych znajdujących się w ww. zabytkach nieruchomych objętych wsparciem). </w:t>
            </w:r>
          </w:p>
          <w:p w:rsidR="00960C43" w:rsidRPr="00960C43" w:rsidRDefault="00960C43" w:rsidP="00960C43">
            <w:pPr>
              <w:spacing w:line="240" w:lineRule="auto"/>
              <w:ind w:left="1080"/>
              <w:rPr>
                <w:rFonts w:cs="Arial"/>
              </w:rPr>
            </w:pPr>
          </w:p>
          <w:p w:rsidR="00960C43" w:rsidRPr="00960C43" w:rsidRDefault="00960C43" w:rsidP="00960C43">
            <w:pPr>
              <w:pStyle w:val="Poprawka"/>
              <w:numPr>
                <w:ilvl w:val="0"/>
                <w:numId w:val="1"/>
              </w:numPr>
              <w:jc w:val="both"/>
              <w:rPr>
                <w:rFonts w:asciiTheme="minorHAnsi" w:hAnsiTheme="minorHAnsi" w:cs="Arial"/>
                <w:sz w:val="22"/>
                <w:szCs w:val="22"/>
              </w:rPr>
            </w:pPr>
            <w:r w:rsidRPr="00960C43">
              <w:rPr>
                <w:rFonts w:asciiTheme="minorHAnsi" w:hAnsiTheme="minorHAnsi" w:cs="Arial"/>
                <w:sz w:val="22"/>
                <w:szCs w:val="22"/>
              </w:rPr>
              <w:t xml:space="preserve">Instytucje kultury, w tym: </w:t>
            </w:r>
          </w:p>
          <w:p w:rsidR="00960C43" w:rsidRPr="00960C43" w:rsidRDefault="00960C43" w:rsidP="00960C43">
            <w:pPr>
              <w:numPr>
                <w:ilvl w:val="0"/>
                <w:numId w:val="4"/>
              </w:numPr>
              <w:spacing w:after="0" w:line="240" w:lineRule="auto"/>
              <w:jc w:val="both"/>
              <w:rPr>
                <w:rFonts w:cs="Arial"/>
              </w:rPr>
            </w:pPr>
            <w:r w:rsidRPr="00960C43">
              <w:rPr>
                <w:rFonts w:cs="Arial"/>
              </w:rPr>
              <w:t>przebudowa/rozbudowa obiektów zajmowanych przez te instytucje (wraz z zakupem niezbędnego sprzętu), w tym zastosowanie rozwiązań energooszczędnych zmniejszających ogólne koszty eksploatacji;</w:t>
            </w:r>
          </w:p>
          <w:p w:rsidR="00960C43" w:rsidRPr="00960C43" w:rsidRDefault="00960C43" w:rsidP="00960C43">
            <w:pPr>
              <w:numPr>
                <w:ilvl w:val="0"/>
                <w:numId w:val="4"/>
              </w:numPr>
              <w:spacing w:after="0" w:line="240" w:lineRule="auto"/>
              <w:jc w:val="both"/>
              <w:rPr>
                <w:rFonts w:cs="Arial"/>
              </w:rPr>
            </w:pPr>
            <w:r w:rsidRPr="00960C43">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960C43" w:rsidRPr="00960C43" w:rsidRDefault="00960C43" w:rsidP="00960C43">
            <w:pPr>
              <w:numPr>
                <w:ilvl w:val="0"/>
                <w:numId w:val="4"/>
              </w:numPr>
              <w:spacing w:after="0" w:line="240" w:lineRule="auto"/>
              <w:jc w:val="both"/>
              <w:rPr>
                <w:rFonts w:cs="Arial"/>
              </w:rPr>
            </w:pPr>
            <w:r w:rsidRPr="00960C43">
              <w:rPr>
                <w:rFonts w:cs="Arial"/>
              </w:rPr>
              <w:t>oprogramowania komputerowe ułatwiające wewnętrzne zarządzanie w instytucji.</w:t>
            </w:r>
          </w:p>
          <w:p w:rsidR="00960C43" w:rsidRPr="00960C43" w:rsidRDefault="00960C43" w:rsidP="00960C43">
            <w:pPr>
              <w:spacing w:after="0" w:line="240" w:lineRule="auto"/>
              <w:jc w:val="both"/>
              <w:rPr>
                <w:rFonts w:cs="Arial"/>
              </w:rPr>
            </w:pPr>
            <w:r w:rsidRPr="00960C43">
              <w:rPr>
                <w:rFonts w:cs="Arial"/>
              </w:rPr>
              <w:t xml:space="preserve">W odniesieniu do projektów szkół i uczelni artystycznych możliwe będzie wsparcie w zakresie związanym z prowadzoną działalnością kulturalną </w:t>
            </w:r>
            <w:r>
              <w:rPr>
                <w:rFonts w:cs="Arial"/>
              </w:rPr>
              <w:br/>
            </w:r>
            <w:r w:rsidRPr="00960C43">
              <w:rPr>
                <w:rFonts w:cs="Arial"/>
              </w:rPr>
              <w:t>i artystyczną, przy czym wsparcie to nie obejmuje działalności stricte dydaktycznej.</w:t>
            </w:r>
          </w:p>
          <w:p w:rsidR="00960C43" w:rsidRDefault="00960C43" w:rsidP="00960C43">
            <w:pPr>
              <w:spacing w:after="0" w:line="240" w:lineRule="auto"/>
              <w:jc w:val="both"/>
              <w:rPr>
                <w:rFonts w:cs="Arial"/>
              </w:rPr>
            </w:pPr>
          </w:p>
          <w:p w:rsidR="00960C43" w:rsidRDefault="00960C43" w:rsidP="00960C43">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960C43" w:rsidRDefault="00960C43" w:rsidP="00960C43">
            <w:pPr>
              <w:autoSpaceDE w:val="0"/>
              <w:autoSpaceDN w:val="0"/>
              <w:adjustRightInd w:val="0"/>
              <w:spacing w:line="240" w:lineRule="auto"/>
              <w:rPr>
                <w:b/>
                <w:bCs/>
              </w:rPr>
            </w:pPr>
          </w:p>
          <w:p w:rsidR="00960C43" w:rsidRPr="00960C43" w:rsidRDefault="00960C43" w:rsidP="00960C43">
            <w:pPr>
              <w:autoSpaceDE w:val="0"/>
              <w:autoSpaceDN w:val="0"/>
              <w:adjustRightInd w:val="0"/>
              <w:spacing w:line="240" w:lineRule="auto"/>
              <w:jc w:val="both"/>
              <w:rPr>
                <w:rFonts w:cs="Arial"/>
                <w:b/>
                <w:u w:val="single"/>
              </w:rPr>
            </w:pPr>
            <w:r w:rsidRPr="00960C43">
              <w:rPr>
                <w:b/>
                <w:bCs/>
                <w:u w:val="single"/>
              </w:rPr>
              <w:t>Wnioskodawca po wskazaniu ww. typ</w:t>
            </w:r>
            <w:r w:rsidRPr="00960C43">
              <w:rPr>
                <w:b/>
                <w:bCs/>
                <w:color w:val="1F497D"/>
                <w:u w:val="single"/>
              </w:rPr>
              <w:t>ów</w:t>
            </w:r>
            <w:r w:rsidRPr="00960C43">
              <w:rPr>
                <w:b/>
                <w:bCs/>
                <w:u w:val="single"/>
              </w:rPr>
              <w:t xml:space="preserve"> projektów zobligowany jest wybrać odpowiedni Obszar Strategicznej Interwencji, który go dotyczy.</w:t>
            </w:r>
          </w:p>
          <w:p w:rsidR="00960C43" w:rsidRPr="00960C43" w:rsidRDefault="00960C43" w:rsidP="00960C43">
            <w:pPr>
              <w:spacing w:after="0"/>
              <w:jc w:val="both"/>
              <w:rPr>
                <w:rFonts w:cs="Arial"/>
              </w:rPr>
            </w:pPr>
          </w:p>
          <w:p w:rsidR="00960C43" w:rsidRPr="00960C43" w:rsidRDefault="00960C43" w:rsidP="00960C43">
            <w:pPr>
              <w:autoSpaceDE w:val="0"/>
              <w:autoSpaceDN w:val="0"/>
              <w:adjustRightInd w:val="0"/>
              <w:rPr>
                <w:rFonts w:cs="Arial"/>
                <w:b/>
              </w:rPr>
            </w:pPr>
            <w:r w:rsidRPr="00960C43">
              <w:rPr>
                <w:rFonts w:cs="Arial"/>
                <w:b/>
              </w:rPr>
              <w:t>Nie będą finansowane: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projekty dotyczące organizacji imprez o charakterze kulturalnym, takich jak wystawy, festiwale;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budowa od podstaw nowej infrastruktury kulturalnej.</w:t>
            </w:r>
          </w:p>
          <w:p w:rsidR="00960C43" w:rsidRPr="00960C43" w:rsidRDefault="00960C43" w:rsidP="00960C43">
            <w:pPr>
              <w:autoSpaceDE w:val="0"/>
              <w:autoSpaceDN w:val="0"/>
              <w:adjustRightInd w:val="0"/>
              <w:spacing w:after="0"/>
              <w:jc w:val="both"/>
              <w:rPr>
                <w:rFonts w:cs="Arial"/>
              </w:rPr>
            </w:pPr>
          </w:p>
          <w:p w:rsidR="00960C43" w:rsidRPr="00960C43" w:rsidRDefault="00960C43" w:rsidP="00960C43">
            <w:pPr>
              <w:autoSpaceDE w:val="0"/>
              <w:autoSpaceDN w:val="0"/>
              <w:adjustRightInd w:val="0"/>
              <w:spacing w:after="0"/>
              <w:jc w:val="both"/>
              <w:rPr>
                <w:rFonts w:cs="Arial"/>
                <w:b/>
              </w:rPr>
            </w:pPr>
            <w:r w:rsidRPr="00960C43">
              <w:rPr>
                <w:rFonts w:cs="Arial"/>
                <w:b/>
              </w:rPr>
              <w:t>Podział interwencji pomiędzy RPO WD a PO </w:t>
            </w:r>
            <w:proofErr w:type="spellStart"/>
            <w:r w:rsidRPr="00960C43">
              <w:rPr>
                <w:rFonts w:cs="Arial"/>
                <w:b/>
              </w:rPr>
              <w:t>IiŚ</w:t>
            </w:r>
            <w:proofErr w:type="spellEnd"/>
            <w:r w:rsidRPr="00960C43">
              <w:rPr>
                <w:rFonts w:cs="Arial"/>
                <w:b/>
              </w:rPr>
              <w:t>:</w:t>
            </w:r>
          </w:p>
          <w:p w:rsidR="00960C43" w:rsidRPr="00960C43" w:rsidRDefault="00960C43" w:rsidP="00960C43">
            <w:pPr>
              <w:autoSpaceDE w:val="0"/>
              <w:autoSpaceDN w:val="0"/>
              <w:adjustRightInd w:val="0"/>
              <w:spacing w:after="0"/>
              <w:jc w:val="both"/>
              <w:rPr>
                <w:rFonts w:cs="Arial"/>
              </w:rPr>
            </w:pPr>
            <w:r w:rsidRPr="00960C43">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60C43">
              <w:rPr>
                <w:rFonts w:cs="Arial"/>
              </w:rPr>
              <w:t>MKiDN</w:t>
            </w:r>
            <w:proofErr w:type="spellEnd"/>
            <w:r w:rsidRPr="00960C43">
              <w:rPr>
                <w:rFonts w:cs="Arial"/>
              </w:rPr>
              <w:t xml:space="preserve"> (chyba że zapisy poszczególnych Kontraktów Terytorialnych stanowią inaczej) </w:t>
            </w:r>
            <w:r w:rsidRPr="00960C43">
              <w:rPr>
                <w:rFonts w:cs="Arial"/>
                <w:b/>
              </w:rPr>
              <w:t>mogą ubiegać się o dofinansowanie wyłącznie w ramach PO </w:t>
            </w:r>
            <w:proofErr w:type="spellStart"/>
            <w:r w:rsidRPr="00960C43">
              <w:rPr>
                <w:rFonts w:cs="Arial"/>
                <w:b/>
              </w:rPr>
              <w:t>IiŚ</w:t>
            </w:r>
            <w:proofErr w:type="spellEnd"/>
            <w:r w:rsidRPr="00960C43">
              <w:rPr>
                <w:rFonts w:cs="Arial"/>
                <w:b/>
              </w:rPr>
              <w:t>.</w:t>
            </w:r>
            <w:r w:rsidRPr="00960C43">
              <w:rPr>
                <w:rFonts w:cs="Arial"/>
              </w:rPr>
              <w:t xml:space="preserve"> </w:t>
            </w:r>
          </w:p>
          <w:p w:rsidR="00960C43" w:rsidRPr="00960C43" w:rsidRDefault="00960C43" w:rsidP="00960C43">
            <w:pPr>
              <w:spacing w:after="0"/>
              <w:jc w:val="both"/>
              <w:rPr>
                <w:rFonts w:cs="Arial"/>
              </w:rPr>
            </w:pPr>
            <w:r w:rsidRPr="00960C43">
              <w:rPr>
                <w:rFonts w:cs="Arial"/>
              </w:rPr>
              <w:lastRenderedPageBreak/>
              <w:t xml:space="preserve">Projekty te będą mieścić się w kwotach 0,5-5 mln euro (10 mln euro dla obiektów UNESCO) kosztów całkowitych projektu i obejmować pełny zakres wsparcia kwalifikowalnego w ramach VIII osi priorytetowej PO </w:t>
            </w:r>
            <w:proofErr w:type="spellStart"/>
            <w:r w:rsidRPr="00960C43">
              <w:rPr>
                <w:rFonts w:cs="Arial"/>
              </w:rPr>
              <w:t>IiŚ</w:t>
            </w:r>
            <w:proofErr w:type="spellEnd"/>
            <w:r w:rsidRPr="00960C43">
              <w:rPr>
                <w:rFonts w:cs="Arial"/>
              </w:rPr>
              <w:t>.</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960C43" w:rsidRPr="00960C43" w:rsidRDefault="00960C43" w:rsidP="00960C43">
            <w:pPr>
              <w:spacing w:after="0"/>
              <w:jc w:val="both"/>
              <w:rPr>
                <w:rFonts w:cs="Arial"/>
              </w:rPr>
            </w:pPr>
            <w:r w:rsidRPr="00960C43">
              <w:rPr>
                <w:rFonts w:cs="Arial"/>
              </w:rPr>
              <w:t>2) projekty mieszczące się w zakresie obszarów tematycznych: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zabytków drewnianych (zarówno nieruchomych, jak i ruchomych);</w:t>
            </w:r>
          </w:p>
          <w:p w:rsidR="00960C43" w:rsidRPr="00960C43" w:rsidRDefault="00960C43" w:rsidP="00960C43">
            <w:pPr>
              <w:numPr>
                <w:ilvl w:val="0"/>
                <w:numId w:val="7"/>
              </w:numPr>
              <w:spacing w:after="0" w:line="240" w:lineRule="auto"/>
              <w:rPr>
                <w:rFonts w:cs="Arial"/>
              </w:rPr>
            </w:pPr>
            <w:r w:rsidRPr="00960C43">
              <w:rPr>
                <w:rFonts w:cs="Arial"/>
              </w:rPr>
              <w:t>projekty dotyczące rozwoju czytelnictwa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rozwoju sztuki współczesnej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adaptacji na cele kulturalne oraz zabezpieczenia przed kradzieżą i zniszczeniem ruchomych i nieruchomych zabytków techniki;</w:t>
            </w:r>
          </w:p>
          <w:p w:rsidR="00960C43" w:rsidRPr="00960C43" w:rsidRDefault="00960C43" w:rsidP="00960C43">
            <w:pPr>
              <w:spacing w:after="0"/>
              <w:jc w:val="both"/>
              <w:rPr>
                <w:rFonts w:cs="Arial"/>
              </w:rPr>
            </w:pPr>
            <w:r w:rsidRPr="00960C43">
              <w:rPr>
                <w:rFonts w:cs="Arial"/>
              </w:rPr>
              <w:t>3) projekty wynikające z Kontraktów Terytorialnych.</w:t>
            </w:r>
          </w:p>
          <w:p w:rsidR="00960C43" w:rsidRPr="00960C43" w:rsidRDefault="00960C43" w:rsidP="00960C43">
            <w:pPr>
              <w:spacing w:after="0"/>
              <w:jc w:val="both"/>
              <w:rPr>
                <w:rFonts w:cs="Arial"/>
              </w:rPr>
            </w:pPr>
          </w:p>
          <w:p w:rsidR="00960C43" w:rsidRDefault="00960C43" w:rsidP="00960C43">
            <w:pPr>
              <w:spacing w:after="0"/>
              <w:jc w:val="both"/>
              <w:rPr>
                <w:rFonts w:cs="Arial"/>
              </w:rPr>
            </w:pPr>
            <w:r w:rsidRPr="00960C43">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960C43">
              <w:rPr>
                <w:rFonts w:cs="Arial"/>
              </w:rPr>
              <w:t>IiŚ</w:t>
            </w:r>
            <w:proofErr w:type="spellEnd"/>
            <w:r w:rsidRPr="00960C43">
              <w:rPr>
                <w:rFonts w:cs="Arial"/>
              </w:rPr>
              <w:t xml:space="preserve">, będą mieścić się w kwotach 2-5 mln euro (10 mln euro dla obiektów UNESCO) kosztów całkowitych (w ramach PO </w:t>
            </w:r>
            <w:proofErr w:type="spellStart"/>
            <w:r w:rsidRPr="00960C43">
              <w:rPr>
                <w:rFonts w:cs="Arial"/>
              </w:rPr>
              <w:t>IiŚ</w:t>
            </w:r>
            <w:proofErr w:type="spellEnd"/>
            <w:r w:rsidRPr="00960C43">
              <w:rPr>
                <w:rFonts w:cs="Arial"/>
              </w:rPr>
              <w:t xml:space="preserve"> w przypadku projektów polegających wyłącznie na zakupie wyposażenia będą one mieścić się w przedziale 0,5-5 mln euro kosztów całkowitych).</w:t>
            </w:r>
          </w:p>
          <w:p w:rsidR="00960C43" w:rsidRDefault="00960C43" w:rsidP="00960C43">
            <w:pPr>
              <w:spacing w:after="0"/>
              <w:jc w:val="both"/>
              <w:rPr>
                <w:rFonts w:cs="Arial"/>
              </w:rPr>
            </w:pPr>
          </w:p>
          <w:p w:rsidR="00960C43" w:rsidRPr="00960C43" w:rsidRDefault="00960C43" w:rsidP="00960C43">
            <w:pPr>
              <w:spacing w:after="0"/>
              <w:jc w:val="both"/>
              <w:rPr>
                <w:rFonts w:cs="Arial"/>
                <w:b/>
              </w:rPr>
            </w:pPr>
            <w:r w:rsidRPr="00960C43">
              <w:rPr>
                <w:rFonts w:cs="Arial"/>
                <w:b/>
              </w:rPr>
              <w:t>W ramach RPO projekty określone w pkt. 1,2,3 będą mieścić się w kwotach do 2 mln euro kosztów całkowitych.</w:t>
            </w:r>
          </w:p>
          <w:p w:rsidR="00960C43" w:rsidRPr="00960C43" w:rsidRDefault="00960C43" w:rsidP="00960C43">
            <w:pPr>
              <w:autoSpaceDE w:val="0"/>
              <w:autoSpaceDN w:val="0"/>
              <w:adjustRightInd w:val="0"/>
              <w:spacing w:after="0"/>
              <w:jc w:val="both"/>
              <w:rPr>
                <w:rFonts w:cs="Arial"/>
                <w:b/>
              </w:rPr>
            </w:pPr>
          </w:p>
          <w:p w:rsidR="00960C43" w:rsidRPr="00960C43" w:rsidRDefault="00960C43" w:rsidP="00960C43">
            <w:pPr>
              <w:jc w:val="both"/>
              <w:rPr>
                <w:rFonts w:cs="Arial"/>
              </w:rPr>
            </w:pPr>
            <w:r w:rsidRPr="00960C43">
              <w:rPr>
                <w:rFonts w:cs="Arial"/>
              </w:rPr>
              <w:t>III.</w:t>
            </w:r>
            <w:r w:rsidRPr="00960C43">
              <w:rPr>
                <w:rFonts w:cs="Arial"/>
                <w:b/>
              </w:rPr>
              <w:t xml:space="preserve"> </w:t>
            </w:r>
            <w:r w:rsidRPr="00960C43">
              <w:rPr>
                <w:rFonts w:cs="Arial"/>
              </w:rPr>
              <w:t>Wyłącznie w ramach RPO o dofinansowanie mogą się ubiegać do kwoty 5 mln euro kosztów całkowitych zgodnie z przewidzianym w RPO zakresem wsparcia:</w:t>
            </w:r>
          </w:p>
          <w:p w:rsidR="00960C43" w:rsidRPr="00960C43" w:rsidRDefault="00960C43" w:rsidP="00960C43">
            <w:pPr>
              <w:spacing w:after="0"/>
              <w:jc w:val="both"/>
              <w:rPr>
                <w:rFonts w:cs="Arial"/>
              </w:rPr>
            </w:pPr>
            <w:r w:rsidRPr="00960C43">
              <w:rPr>
                <w:rFonts w:cs="Arial"/>
              </w:rPr>
              <w:t>- projekty beneficjentów wskazanych w pkt II, ale o innym zakresie niż stanowi pkt II,</w:t>
            </w:r>
          </w:p>
          <w:p w:rsidR="00647C29" w:rsidRDefault="00960C43" w:rsidP="00960C43">
            <w:pPr>
              <w:pStyle w:val="CM1"/>
              <w:spacing w:before="200" w:after="200"/>
              <w:jc w:val="both"/>
              <w:rPr>
                <w:rFonts w:asciiTheme="minorHAnsi" w:hAnsiTheme="minorHAnsi" w:cs="Arial"/>
                <w:sz w:val="22"/>
                <w:szCs w:val="22"/>
              </w:rPr>
            </w:pPr>
            <w:r w:rsidRPr="00960C43">
              <w:rPr>
                <w:rFonts w:asciiTheme="minorHAnsi" w:hAnsiTheme="minorHAnsi" w:cs="Arial"/>
                <w:sz w:val="22"/>
                <w:szCs w:val="22"/>
              </w:rPr>
              <w:t xml:space="preserve">- projekty o dowolnym zakresie tematycznym, ale realizowane przez pozostałych beneficjentów (niewymienionych w pkt I </w:t>
            </w:r>
            <w:proofErr w:type="spellStart"/>
            <w:r w:rsidRPr="00960C43">
              <w:rPr>
                <w:rFonts w:asciiTheme="minorHAnsi" w:hAnsiTheme="minorHAnsi" w:cs="Arial"/>
                <w:sz w:val="22"/>
                <w:szCs w:val="22"/>
              </w:rPr>
              <w:t>i</w:t>
            </w:r>
            <w:proofErr w:type="spellEnd"/>
            <w:r w:rsidRPr="00960C43">
              <w:rPr>
                <w:rFonts w:asciiTheme="minorHAnsi" w:hAnsiTheme="minorHAnsi" w:cs="Arial"/>
                <w:sz w:val="22"/>
                <w:szCs w:val="22"/>
              </w:rPr>
              <w:t xml:space="preserve"> II).</w:t>
            </w:r>
          </w:p>
          <w:p w:rsidR="00960C43" w:rsidRDefault="00960C43" w:rsidP="00960C43">
            <w:pPr>
              <w:pStyle w:val="Default"/>
              <w:jc w:val="both"/>
              <w:rPr>
                <w:rFonts w:asciiTheme="minorHAnsi" w:hAnsiTheme="minorHAnsi"/>
                <w:sz w:val="22"/>
                <w:szCs w:val="22"/>
              </w:rPr>
            </w:pPr>
          </w:p>
          <w:p w:rsidR="00960C43" w:rsidRPr="00960C43" w:rsidRDefault="00960C43" w:rsidP="00960C43">
            <w:pPr>
              <w:pStyle w:val="Default"/>
              <w:jc w:val="both"/>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sz w:val="22"/>
                <w:szCs w:val="22"/>
              </w:rPr>
              <w:t>094 Ochrona, rozwój i promowanie dóbr publicznych w dziedzinie kultury i dziedzictwa.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960C43" w:rsidRDefault="00984533" w:rsidP="00480411">
            <w:pPr>
              <w:autoSpaceDE w:val="0"/>
              <w:autoSpaceDN w:val="0"/>
              <w:adjustRightInd w:val="0"/>
              <w:spacing w:after="0" w:line="240" w:lineRule="auto"/>
              <w:jc w:val="both"/>
              <w:rPr>
                <w:rFonts w:cs="Calibri"/>
                <w:color w:val="000000"/>
              </w:rPr>
            </w:pPr>
            <w:r w:rsidRPr="00CA3AEF">
              <w:rPr>
                <w:rFonts w:cs="Calibri"/>
                <w:color w:val="000000"/>
              </w:rPr>
              <w:t xml:space="preserve">O dofinansowanie w ramach konkursu mogą ubiegać się </w:t>
            </w:r>
            <w:r w:rsidR="00CA6EA5" w:rsidRPr="00CA3AEF">
              <w:rPr>
                <w:rFonts w:cs="Calibri"/>
                <w:color w:val="000000"/>
              </w:rPr>
              <w:t xml:space="preserve">następujące typy </w:t>
            </w:r>
            <w:r w:rsidR="00CA6EA5" w:rsidRPr="00960C43">
              <w:rPr>
                <w:rFonts w:cs="Calibri"/>
                <w:color w:val="000000"/>
              </w:rPr>
              <w:t>beneficjentów</w:t>
            </w:r>
            <w:r w:rsidR="00E734C3">
              <w:rPr>
                <w:rFonts w:cs="Calibri"/>
                <w:color w:val="000000"/>
              </w:rPr>
              <w:t>, którzy realizują projekty na obszarze danego OSI</w:t>
            </w:r>
            <w:r w:rsidR="00CA6EA5" w:rsidRPr="00960C43">
              <w:rPr>
                <w:rFonts w:cs="Calibri"/>
                <w:color w:val="000000"/>
              </w:rPr>
              <w:t>:</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samorządu terytorialnego, ich związki i stowarzyszenia;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 xml:space="preserve">jednostki organizacyjne </w:t>
            </w:r>
            <w:proofErr w:type="spellStart"/>
            <w:r w:rsidRPr="00960C43">
              <w:rPr>
                <w:rFonts w:asciiTheme="minorHAnsi" w:eastAsia="TTE1ABE920t00" w:hAnsiTheme="minorHAnsi" w:cs="Arial"/>
              </w:rPr>
              <w:t>jst</w:t>
            </w:r>
            <w:proofErr w:type="spellEnd"/>
            <w:r w:rsidRPr="00960C43">
              <w:rPr>
                <w:rFonts w:asciiTheme="minorHAnsi" w:eastAsia="TTE1ABE920t00" w:hAnsiTheme="minorHAnsi" w:cs="Arial"/>
              </w:rPr>
              <w:t>;</w:t>
            </w:r>
          </w:p>
          <w:p w:rsidR="00960C43" w:rsidRPr="00960C43" w:rsidRDefault="00960C43" w:rsidP="00960C43">
            <w:pPr>
              <w:pStyle w:val="Akapitzlist"/>
              <w:numPr>
                <w:ilvl w:val="0"/>
                <w:numId w:val="44"/>
              </w:numPr>
              <w:spacing w:before="0" w:line="240" w:lineRule="auto"/>
              <w:contextualSpacing/>
              <w:jc w:val="both"/>
              <w:rPr>
                <w:rFonts w:asciiTheme="minorHAnsi" w:hAnsiTheme="minorHAnsi" w:cs="Arial"/>
              </w:rPr>
            </w:pPr>
            <w:r w:rsidRPr="00960C43">
              <w:rPr>
                <w:rFonts w:asciiTheme="minorHAnsi" w:eastAsia="TTE1ABE920t00" w:hAnsiTheme="minorHAnsi" w:cs="Arial"/>
              </w:rPr>
              <w:t>administracja rządowa;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kościoły i związki wyznaniowe oraz osoby prawne kościołów i związków wyznaniowych;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organizacje pozarządowe;</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LGD;</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rPr>
              <w:t>spółki prawa handlowego, w </w:t>
            </w:r>
            <w:r w:rsidRPr="00960C43">
              <w:rPr>
                <w:rFonts w:asciiTheme="minorHAnsi" w:hAnsiTheme="minorHAnsi"/>
              </w:rPr>
              <w:t>których udział większościowy – ponad 50% akcji, udziałów itp. – posiadają jednostki sektora finansów publicznych;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hAnsiTheme="minorHAnsi" w:cs="Arial"/>
              </w:rPr>
              <w:t>samorządowe instytucje kultury;</w:t>
            </w:r>
          </w:p>
          <w:p w:rsidR="009D3B9B" w:rsidRPr="00CA3AEF" w:rsidRDefault="00960C43" w:rsidP="00960C43">
            <w:pPr>
              <w:pStyle w:val="Default"/>
              <w:numPr>
                <w:ilvl w:val="0"/>
                <w:numId w:val="44"/>
              </w:numPr>
              <w:rPr>
                <w:rFonts w:eastAsia="TTE1ABE920t00" w:cs="Arial"/>
              </w:rPr>
            </w:pPr>
            <w:r w:rsidRPr="00960C43">
              <w:rPr>
                <w:rFonts w:asciiTheme="minorHAnsi" w:hAnsiTheme="minorHAnsi" w:cs="Arial"/>
                <w:sz w:val="22"/>
                <w:szCs w:val="22"/>
              </w:rPr>
              <w:t xml:space="preserve">szkoły, uczelnie – inne niż prowadzone i nadzorowane przez </w:t>
            </w:r>
            <w:proofErr w:type="spellStart"/>
            <w:r w:rsidRPr="00960C43">
              <w:rPr>
                <w:rFonts w:asciiTheme="minorHAnsi" w:hAnsiTheme="minorHAnsi" w:cs="Arial"/>
                <w:sz w:val="22"/>
                <w:szCs w:val="22"/>
              </w:rPr>
              <w:t>MKiDN</w:t>
            </w:r>
            <w:proofErr w:type="spellEnd"/>
            <w:r w:rsidRPr="00960C43">
              <w:rPr>
                <w:rFonts w:asciiTheme="minorHAnsi" w:hAnsiTheme="minorHAnsi" w:cs="Arial"/>
                <w:sz w:val="22"/>
                <w:szCs w:val="22"/>
              </w:rPr>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AA0A4C" w:rsidRPr="00CA3AEF" w:rsidRDefault="00AA0A4C" w:rsidP="00480411">
            <w:pPr>
              <w:pStyle w:val="Default"/>
              <w:rPr>
                <w:rFonts w:asciiTheme="minorHAnsi" w:hAnsiTheme="minorHAnsi"/>
                <w:sz w:val="22"/>
                <w:szCs w:val="22"/>
              </w:rPr>
            </w:pPr>
          </w:p>
          <w:p w:rsidR="00984533" w:rsidRPr="00CA3AEF" w:rsidRDefault="00984533" w:rsidP="00B64FEB">
            <w:pPr>
              <w:autoSpaceDE w:val="0"/>
              <w:autoSpaceDN w:val="0"/>
              <w:adjustRightInd w:val="0"/>
              <w:spacing w:after="0" w:line="240" w:lineRule="auto"/>
              <w:rPr>
                <w:rFonts w:cs="Calibri"/>
                <w:b/>
                <w:bCs/>
                <w:color w:val="000000"/>
              </w:rPr>
            </w:pPr>
          </w:p>
        </w:tc>
        <w:tc>
          <w:tcPr>
            <w:tcW w:w="7494" w:type="dxa"/>
          </w:tcPr>
          <w:p w:rsidR="00CC240E" w:rsidRPr="00CA3AEF" w:rsidRDefault="00CC240E" w:rsidP="00CC240E">
            <w:pPr>
              <w:autoSpaceDE w:val="0"/>
              <w:autoSpaceDN w:val="0"/>
              <w:adjustRightInd w:val="0"/>
              <w:spacing w:after="0" w:line="240" w:lineRule="auto"/>
              <w:jc w:val="both"/>
              <w:rPr>
                <w:rFonts w:cs="Calibri"/>
                <w:color w:val="000000"/>
              </w:rPr>
            </w:pPr>
            <w:r w:rsidRPr="00CA3AEF">
              <w:rPr>
                <w:rFonts w:cs="Calibri"/>
                <w:color w:val="000000"/>
              </w:rPr>
              <w:t>Alokacja w ramach konkursu zostanie podzielona na 5 OSI.</w:t>
            </w:r>
          </w:p>
          <w:p w:rsidR="00CC7F92" w:rsidRPr="00CA3AEF" w:rsidRDefault="00CC7F92" w:rsidP="00CC240E">
            <w:pPr>
              <w:autoSpaceDE w:val="0"/>
              <w:autoSpaceDN w:val="0"/>
              <w:adjustRightInd w:val="0"/>
              <w:spacing w:after="0" w:line="240" w:lineRule="auto"/>
              <w:jc w:val="both"/>
              <w:rPr>
                <w:rFonts w:cs="Calibri"/>
                <w:color w:val="000000"/>
              </w:rPr>
            </w:pPr>
          </w:p>
          <w:p w:rsidR="00960C43" w:rsidRPr="00151119" w:rsidRDefault="00960C43" w:rsidP="00960C43">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Pr="00151119">
              <w:rPr>
                <w:rFonts w:cs="Calibri"/>
                <w:b/>
                <w:color w:val="000000"/>
              </w:rPr>
              <w:t>3 067 184 Euro</w:t>
            </w:r>
            <w:r>
              <w:rPr>
                <w:rFonts w:cs="Calibri"/>
                <w:b/>
                <w:color w:val="000000"/>
              </w:rPr>
              <w:t>, tj. 13 047 187 PLN</w:t>
            </w:r>
            <w:r w:rsidRPr="00151119">
              <w:rPr>
                <w:rFonts w:cs="Calibri"/>
                <w:b/>
                <w:color w:val="000000"/>
              </w:rPr>
              <w:t>;</w:t>
            </w:r>
          </w:p>
          <w:p w:rsidR="00960C43" w:rsidRPr="00151119" w:rsidRDefault="00960C43" w:rsidP="00960C43">
            <w:pPr>
              <w:autoSpaceDE w:val="0"/>
              <w:autoSpaceDN w:val="0"/>
              <w:adjustRightInd w:val="0"/>
              <w:spacing w:after="0" w:line="240" w:lineRule="auto"/>
              <w:jc w:val="both"/>
              <w:rPr>
                <w:rFonts w:cs="Calibri"/>
                <w:b/>
                <w:color w:val="000000"/>
              </w:rPr>
            </w:pPr>
            <w:r w:rsidRPr="00151119">
              <w:t>Ogółem alokacja przeznaczona na Legnicko-Głogowski Obszar Interwencji (</w:t>
            </w:r>
            <w:r w:rsidRPr="00151119">
              <w:rPr>
                <w:rFonts w:cs="Calibri"/>
                <w:color w:val="000000"/>
              </w:rPr>
              <w:t>LGOI)</w:t>
            </w:r>
            <w:r w:rsidRPr="00151119">
              <w:rPr>
                <w:color w:val="000000"/>
              </w:rPr>
              <w:t xml:space="preserve"> wynosi</w:t>
            </w:r>
            <w:r w:rsidRPr="00151119">
              <w:rPr>
                <w:rFonts w:cs="Calibri"/>
                <w:color w:val="000000"/>
              </w:rPr>
              <w:t xml:space="preserve"> - </w:t>
            </w:r>
            <w:r w:rsidRPr="00151119">
              <w:rPr>
                <w:rFonts w:cs="Calibri"/>
                <w:b/>
                <w:color w:val="000000"/>
              </w:rPr>
              <w:t>2 904 614 Euro</w:t>
            </w:r>
            <w:r>
              <w:rPr>
                <w:rFonts w:cs="Calibri"/>
                <w:b/>
                <w:color w:val="000000"/>
              </w:rPr>
              <w:t>, tj. 12 </w:t>
            </w:r>
            <w:r w:rsidR="00A87486">
              <w:rPr>
                <w:rFonts w:cs="Calibri"/>
                <w:b/>
                <w:color w:val="000000"/>
              </w:rPr>
              <w:t>355 647</w:t>
            </w:r>
            <w:r>
              <w:rPr>
                <w:rFonts w:cs="Calibri"/>
                <w:b/>
                <w:color w:val="000000"/>
              </w:rPr>
              <w:t xml:space="preserve"> PLN</w:t>
            </w:r>
            <w:r w:rsidRPr="00151119">
              <w:rPr>
                <w:rFonts w:cs="Calibri"/>
                <w:b/>
                <w:color w:val="000000"/>
              </w:rPr>
              <w:t>;</w:t>
            </w:r>
          </w:p>
          <w:p w:rsidR="00960C43" w:rsidRPr="00151119" w:rsidRDefault="00960C43" w:rsidP="00960C43">
            <w:pPr>
              <w:autoSpaceDE w:val="0"/>
              <w:autoSpaceDN w:val="0"/>
              <w:adjustRightInd w:val="0"/>
              <w:spacing w:after="0" w:line="240" w:lineRule="auto"/>
              <w:jc w:val="both"/>
              <w:rPr>
                <w:rFonts w:cs="Calibri"/>
                <w:color w:val="000000"/>
              </w:rPr>
            </w:pPr>
            <w:r w:rsidRPr="00151119">
              <w:t>Ogółem alokacja przeznaczona na Obszar Interwencji Doliny Baryczy (</w:t>
            </w:r>
            <w:r w:rsidRPr="00151119">
              <w:rPr>
                <w:rFonts w:cs="Calibri"/>
                <w:color w:val="000000"/>
              </w:rPr>
              <w:t>OIDB)</w:t>
            </w:r>
            <w:r w:rsidRPr="00151119">
              <w:rPr>
                <w:color w:val="000000"/>
              </w:rPr>
              <w:t xml:space="preserve"> wynosi</w:t>
            </w:r>
            <w:r w:rsidRPr="00151119">
              <w:rPr>
                <w:rFonts w:cs="Calibri"/>
                <w:color w:val="000000"/>
              </w:rPr>
              <w:t xml:space="preserve"> - </w:t>
            </w:r>
            <w:r w:rsidRPr="00151119">
              <w:rPr>
                <w:rFonts w:cs="Calibri"/>
                <w:b/>
                <w:color w:val="000000"/>
              </w:rPr>
              <w:t>3 113 493 Euro</w:t>
            </w:r>
            <w:r>
              <w:rPr>
                <w:rFonts w:cs="Calibri"/>
                <w:b/>
                <w:color w:val="000000"/>
              </w:rPr>
              <w:t>, tj. 13 2</w:t>
            </w:r>
            <w:r w:rsidR="00A87486">
              <w:rPr>
                <w:rFonts w:cs="Calibri"/>
                <w:b/>
                <w:color w:val="000000"/>
              </w:rPr>
              <w:t>4</w:t>
            </w:r>
            <w:r>
              <w:rPr>
                <w:rFonts w:cs="Calibri"/>
                <w:b/>
                <w:color w:val="000000"/>
              </w:rPr>
              <w:t>4 </w:t>
            </w:r>
            <w:r w:rsidR="00A87486">
              <w:rPr>
                <w:rFonts w:cs="Calibri"/>
                <w:b/>
                <w:color w:val="000000"/>
              </w:rPr>
              <w:t>177</w:t>
            </w:r>
            <w:r>
              <w:rPr>
                <w:rFonts w:cs="Calibri"/>
                <w:b/>
                <w:color w:val="000000"/>
              </w:rPr>
              <w:t xml:space="preserve"> PLN</w:t>
            </w:r>
            <w:r w:rsidRPr="00151119">
              <w:rPr>
                <w:rFonts w:cs="Calibri"/>
                <w:color w:val="000000"/>
              </w:rPr>
              <w:t>;</w:t>
            </w:r>
          </w:p>
          <w:p w:rsidR="00960C43" w:rsidRPr="00151119" w:rsidRDefault="00960C43" w:rsidP="00960C43">
            <w:pPr>
              <w:autoSpaceDE w:val="0"/>
              <w:autoSpaceDN w:val="0"/>
              <w:adjustRightInd w:val="0"/>
              <w:spacing w:after="0" w:line="240" w:lineRule="auto"/>
              <w:jc w:val="both"/>
              <w:rPr>
                <w:rFonts w:cs="Calibri"/>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 </w:t>
            </w:r>
            <w:r w:rsidRPr="00151119">
              <w:rPr>
                <w:rFonts w:cs="Calibri"/>
                <w:b/>
                <w:color w:val="000000"/>
              </w:rPr>
              <w:t>3 159 261 Euro</w:t>
            </w:r>
            <w:r>
              <w:rPr>
                <w:rFonts w:cs="Calibri"/>
                <w:b/>
                <w:color w:val="000000"/>
              </w:rPr>
              <w:t>, tj. 13 4</w:t>
            </w:r>
            <w:r w:rsidR="00A87486">
              <w:rPr>
                <w:rFonts w:cs="Calibri"/>
                <w:b/>
                <w:color w:val="000000"/>
              </w:rPr>
              <w:t>3</w:t>
            </w:r>
            <w:r>
              <w:rPr>
                <w:rFonts w:cs="Calibri"/>
                <w:b/>
                <w:color w:val="000000"/>
              </w:rPr>
              <w:t>8 </w:t>
            </w:r>
            <w:r w:rsidR="00A87486">
              <w:rPr>
                <w:rFonts w:cs="Calibri"/>
                <w:b/>
                <w:color w:val="000000"/>
              </w:rPr>
              <w:t>86</w:t>
            </w:r>
            <w:r>
              <w:rPr>
                <w:rFonts w:cs="Calibri"/>
                <w:b/>
                <w:color w:val="000000"/>
              </w:rPr>
              <w:t>4 PLN</w:t>
            </w:r>
            <w:r w:rsidRPr="00151119">
              <w:rPr>
                <w:rFonts w:cs="Calibri"/>
                <w:color w:val="000000"/>
              </w:rPr>
              <w:t>;</w:t>
            </w:r>
          </w:p>
          <w:p w:rsidR="00960C43" w:rsidRDefault="00960C43" w:rsidP="00960C43">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 </w:t>
            </w:r>
            <w:r w:rsidRPr="00151119">
              <w:rPr>
                <w:rFonts w:cs="Calibri"/>
                <w:b/>
                <w:color w:val="000000"/>
              </w:rPr>
              <w:t>3 058 647 Euro</w:t>
            </w:r>
            <w:r>
              <w:rPr>
                <w:rFonts w:cs="Calibri"/>
                <w:b/>
                <w:color w:val="000000"/>
              </w:rPr>
              <w:t>, tj. 13 0</w:t>
            </w:r>
            <w:r w:rsidR="00A87486">
              <w:rPr>
                <w:rFonts w:cs="Calibri"/>
                <w:b/>
                <w:color w:val="000000"/>
              </w:rPr>
              <w:t>1</w:t>
            </w:r>
            <w:r>
              <w:rPr>
                <w:rFonts w:cs="Calibri"/>
                <w:b/>
                <w:color w:val="000000"/>
              </w:rPr>
              <w:t>0 8</w:t>
            </w:r>
            <w:r w:rsidR="00A87486">
              <w:rPr>
                <w:rFonts w:cs="Calibri"/>
                <w:b/>
                <w:color w:val="000000"/>
              </w:rPr>
              <w:t>7</w:t>
            </w:r>
            <w:r>
              <w:rPr>
                <w:rFonts w:cs="Calibri"/>
                <w:b/>
                <w:color w:val="000000"/>
              </w:rPr>
              <w:t>3 PLN</w:t>
            </w:r>
            <w:r w:rsidRPr="00151119">
              <w:rPr>
                <w:rFonts w:cs="Calibri"/>
                <w:color w:val="000000"/>
              </w:rPr>
              <w:t>.</w:t>
            </w:r>
          </w:p>
          <w:p w:rsidR="00960C43" w:rsidRDefault="00960C43" w:rsidP="00CA6EA5">
            <w:pPr>
              <w:autoSpaceDE w:val="0"/>
              <w:autoSpaceDN w:val="0"/>
              <w:adjustRightInd w:val="0"/>
              <w:spacing w:after="0" w:line="240" w:lineRule="auto"/>
              <w:jc w:val="both"/>
              <w:rPr>
                <w:rFonts w:ascii="Calibri" w:eastAsia="Droid Sans Fallback" w:hAnsi="Calibri" w:cs="Calibri"/>
                <w:color w:val="00000A"/>
              </w:rPr>
            </w:pPr>
          </w:p>
          <w:p w:rsidR="00984533" w:rsidRPr="00CA3AEF" w:rsidRDefault="00D125BA" w:rsidP="00CA6EA5">
            <w:pPr>
              <w:autoSpaceDE w:val="0"/>
              <w:autoSpaceDN w:val="0"/>
              <w:adjustRightInd w:val="0"/>
              <w:spacing w:after="0" w:line="240" w:lineRule="auto"/>
              <w:jc w:val="both"/>
              <w:rPr>
                <w:rFonts w:cs="Calibri"/>
                <w:color w:val="000000"/>
              </w:rPr>
            </w:pPr>
            <w:r w:rsidRPr="00CA3AEF">
              <w:rPr>
                <w:rFonts w:ascii="Calibri" w:eastAsia="Droid Sans Fallback" w:hAnsi="Calibri" w:cs="Calibri"/>
                <w:color w:val="00000A"/>
              </w:rPr>
              <w:t>A</w:t>
            </w:r>
            <w:r w:rsidR="00CA6EA5" w:rsidRPr="00CA3AEF">
              <w:rPr>
                <w:rFonts w:ascii="Calibri" w:eastAsia="Droid Sans Fallback" w:hAnsi="Calibri" w:cs="Calibri"/>
                <w:color w:val="00000A"/>
              </w:rPr>
              <w:t xml:space="preserve">lokacja przeznaczona na konkurs wynosi </w:t>
            </w:r>
            <w:r w:rsidR="00A87486" w:rsidRPr="00A87486">
              <w:rPr>
                <w:rFonts w:ascii="Calibri" w:eastAsia="Droid Sans Fallback" w:hAnsi="Calibri" w:cs="Calibri"/>
                <w:b/>
                <w:color w:val="00000A"/>
              </w:rPr>
              <w:t>1</w:t>
            </w:r>
            <w:r w:rsidR="00CB50D7" w:rsidRPr="00CA3AEF">
              <w:rPr>
                <w:rFonts w:ascii="Calibri" w:eastAsia="Droid Sans Fallback" w:hAnsi="Calibri" w:cs="Calibri"/>
                <w:b/>
                <w:color w:val="00000A"/>
              </w:rPr>
              <w:t>5</w:t>
            </w:r>
            <w:r w:rsidR="00A87486">
              <w:rPr>
                <w:rFonts w:ascii="Calibri" w:eastAsia="Droid Sans Fallback" w:hAnsi="Calibri" w:cs="Calibri"/>
                <w:b/>
                <w:color w:val="00000A"/>
              </w:rPr>
              <w:t> 303 200</w:t>
            </w:r>
            <w:r w:rsidR="00CB50D7" w:rsidRPr="00CA3AEF">
              <w:rPr>
                <w:rFonts w:ascii="Calibri" w:eastAsia="Droid Sans Fallback" w:hAnsi="Calibri" w:cs="Calibri"/>
                <w:b/>
                <w:color w:val="00000A"/>
              </w:rPr>
              <w:t xml:space="preserve"> </w:t>
            </w:r>
            <w:r w:rsidR="00CA6EA5" w:rsidRPr="00CA3AEF">
              <w:rPr>
                <w:rFonts w:ascii="Calibri" w:eastAsia="Droid Sans Fallback" w:hAnsi="Calibri" w:cs="Calibri"/>
                <w:b/>
                <w:color w:val="00000A"/>
              </w:rPr>
              <w:t xml:space="preserve">EUR, tj. </w:t>
            </w:r>
            <w:r w:rsidR="00A87486">
              <w:rPr>
                <w:rFonts w:ascii="Calibri" w:eastAsia="Droid Sans Fallback" w:hAnsi="Calibri" w:cs="Calibri"/>
                <w:b/>
                <w:color w:val="00000A"/>
              </w:rPr>
              <w:t>65 096 752</w:t>
            </w:r>
            <w:r w:rsidR="00516363" w:rsidRPr="00CA3AEF">
              <w:rPr>
                <w:rFonts w:ascii="Calibri" w:eastAsia="Droid Sans Fallback" w:hAnsi="Calibri" w:cs="Calibri"/>
                <w:b/>
                <w:color w:val="00000A"/>
              </w:rPr>
              <w:t xml:space="preserve"> </w:t>
            </w:r>
            <w:r w:rsidR="00643AB6" w:rsidRPr="00CA3AEF">
              <w:rPr>
                <w:rFonts w:ascii="Calibri" w:eastAsia="Droid Sans Fallback" w:hAnsi="Calibri" w:cs="Calibri"/>
                <w:b/>
                <w:color w:val="00000A"/>
              </w:rPr>
              <w:t>PLN</w:t>
            </w:r>
            <w:r w:rsidR="00CB50D7" w:rsidRPr="00CA3AEF">
              <w:rPr>
                <w:rFonts w:ascii="Calibri" w:eastAsia="Droid Sans Fallback" w:hAnsi="Calibri" w:cs="Calibri"/>
                <w:b/>
                <w:color w:val="00000A"/>
              </w:rPr>
              <w:t>.</w:t>
            </w:r>
          </w:p>
          <w:p w:rsidR="00CA6EA5" w:rsidRPr="00CA3AEF" w:rsidRDefault="00CA6EA5" w:rsidP="00480411">
            <w:pPr>
              <w:autoSpaceDE w:val="0"/>
              <w:autoSpaceDN w:val="0"/>
              <w:adjustRightInd w:val="0"/>
              <w:spacing w:after="0" w:line="240" w:lineRule="auto"/>
              <w:jc w:val="both"/>
              <w:rPr>
                <w:rFonts w:cs="Calibri"/>
                <w:color w:val="000000"/>
              </w:rPr>
            </w:pPr>
          </w:p>
          <w:p w:rsidR="00984533" w:rsidRPr="00CA3AEF" w:rsidRDefault="00984533" w:rsidP="00480411">
            <w:pPr>
              <w:autoSpaceDE w:val="0"/>
              <w:autoSpaceDN w:val="0"/>
              <w:adjustRightInd w:val="0"/>
              <w:spacing w:after="0" w:line="240" w:lineRule="auto"/>
              <w:jc w:val="both"/>
              <w:rPr>
                <w:rFonts w:cs="MS Sans Serif"/>
              </w:rPr>
            </w:pPr>
            <w:r w:rsidRPr="00CA3AEF">
              <w:rPr>
                <w:rFonts w:cs="MS Sans Serif"/>
              </w:rPr>
              <w:t xml:space="preserve">Alokacja przeliczona po kursie Europejskiego Banku Centralnego (EBC) obowiązującym w </w:t>
            </w:r>
            <w:r w:rsidR="00643AB6" w:rsidRPr="00CA3AEF">
              <w:rPr>
                <w:rFonts w:cs="MS Sans Serif"/>
              </w:rPr>
              <w:t>kwietniu</w:t>
            </w:r>
            <w:r w:rsidR="007A3277" w:rsidRPr="00CA3AEF">
              <w:rPr>
                <w:rFonts w:cs="MS Sans Serif"/>
              </w:rPr>
              <w:t xml:space="preserve"> 2016 </w:t>
            </w:r>
            <w:r w:rsidRPr="00CA3AEF">
              <w:rPr>
                <w:rFonts w:cs="MS Sans Serif"/>
              </w:rPr>
              <w:t xml:space="preserve"> r., 1 euro = </w:t>
            </w:r>
            <w:r w:rsidR="00643AB6" w:rsidRPr="00CA3AEF">
              <w:rPr>
                <w:rFonts w:cs="MS Sans Serif"/>
              </w:rPr>
              <w:t>4,2538</w:t>
            </w:r>
            <w:r w:rsidR="00CA6245" w:rsidRPr="00CA3AEF">
              <w:rPr>
                <w:rFonts w:cs="MS Sans Serif"/>
              </w:rPr>
              <w:t xml:space="preserve"> </w:t>
            </w:r>
            <w:r w:rsidR="00643AB6" w:rsidRPr="00CA3AEF">
              <w:rPr>
                <w:rFonts w:cs="MS Sans Serif"/>
              </w:rPr>
              <w:t>PLN</w:t>
            </w:r>
            <w:r w:rsidRPr="00CA3AEF">
              <w:rPr>
                <w:rFonts w:cs="MS Sans Serif"/>
              </w:rPr>
              <w:t xml:space="preserve">. </w:t>
            </w:r>
          </w:p>
          <w:p w:rsidR="00984533" w:rsidRPr="00CA3AEF" w:rsidRDefault="00984533" w:rsidP="00480411">
            <w:pPr>
              <w:autoSpaceDE w:val="0"/>
              <w:autoSpaceDN w:val="0"/>
              <w:adjustRightInd w:val="0"/>
              <w:spacing w:after="0" w:line="240" w:lineRule="auto"/>
              <w:jc w:val="both"/>
              <w:rPr>
                <w:rFonts w:cs="MS Sans Serif"/>
              </w:rPr>
            </w:pPr>
          </w:p>
          <w:p w:rsidR="00984533" w:rsidRPr="00CA3AEF" w:rsidRDefault="00984533" w:rsidP="00480411">
            <w:pPr>
              <w:spacing w:after="0" w:line="240" w:lineRule="auto"/>
              <w:jc w:val="both"/>
            </w:pPr>
            <w:r w:rsidRPr="00CA3AEF">
              <w:t xml:space="preserve">Ze względu na kurs euro limit dostępnych środków może ulec zmianie. Z tego powodu dokładna kwota dofinansowania zostanie określona na etapie </w:t>
            </w:r>
            <w:r w:rsidR="005E776A" w:rsidRPr="00CA3AEF">
              <w:t xml:space="preserve">zatwierdzania Listy ocenionych projektów </w:t>
            </w:r>
            <w:r w:rsidR="00CB5165" w:rsidRPr="00CA3AEF">
              <w:t>.</w:t>
            </w:r>
          </w:p>
          <w:p w:rsidR="00984533" w:rsidRPr="00CA3AEF" w:rsidRDefault="00984533" w:rsidP="00480411">
            <w:pPr>
              <w:autoSpaceDE w:val="0"/>
              <w:autoSpaceDN w:val="0"/>
              <w:adjustRightInd w:val="0"/>
              <w:spacing w:after="0" w:line="240" w:lineRule="auto"/>
              <w:jc w:val="both"/>
              <w:rPr>
                <w:rFonts w:cs="Calibri"/>
                <w:color w:val="000000"/>
              </w:rPr>
            </w:pPr>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t>7.</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A87486" w:rsidRPr="00B27059" w:rsidRDefault="00A87486" w:rsidP="00B845DE">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A87486" w:rsidRPr="00B27059" w:rsidRDefault="00A87486" w:rsidP="00B845DE">
            <w:pPr>
              <w:spacing w:before="120" w:after="120" w:line="240" w:lineRule="auto"/>
              <w:jc w:val="both"/>
              <w:rPr>
                <w:rFonts w:cs="Arial"/>
              </w:rPr>
            </w:pPr>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A87486" w:rsidRDefault="00A87486" w:rsidP="00B845DE">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A87486" w:rsidRDefault="00A87486" w:rsidP="00B845DE">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A87486" w:rsidRDefault="00A87486" w:rsidP="00B845DE">
            <w:pPr>
              <w:autoSpaceDE w:val="0"/>
              <w:autoSpaceDN w:val="0"/>
              <w:adjustRightInd w:val="0"/>
              <w:spacing w:after="0" w:line="240" w:lineRule="auto"/>
              <w:jc w:val="both"/>
              <w:rPr>
                <w:rFonts w:cs="Arial"/>
              </w:rPr>
            </w:pPr>
          </w:p>
          <w:p w:rsidR="00A87486" w:rsidRPr="00AB5956" w:rsidRDefault="00A87486" w:rsidP="00B845DE">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6013E7" w:rsidRPr="00CA3AEF" w:rsidTr="00600EB8">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6013E7" w:rsidRPr="00CA3AEF" w:rsidRDefault="006013E7" w:rsidP="00480411">
            <w:pPr>
              <w:pStyle w:val="Default"/>
              <w:rPr>
                <w:rFonts w:asciiTheme="minorHAnsi" w:hAnsiTheme="minorHAnsi"/>
                <w:color w:val="auto"/>
                <w:sz w:val="22"/>
                <w:szCs w:val="22"/>
              </w:rPr>
            </w:pPr>
            <w:r w:rsidRPr="00CA3AEF">
              <w:rPr>
                <w:rFonts w:asciiTheme="minorHAnsi" w:hAnsiTheme="minorHAnsi"/>
                <w:b/>
                <w:bCs/>
                <w:color w:val="auto"/>
                <w:sz w:val="22"/>
                <w:szCs w:val="22"/>
              </w:rPr>
              <w:t xml:space="preserve">Pomoc publiczna </w:t>
            </w:r>
            <w:r w:rsidRPr="00CA3AEF">
              <w:rPr>
                <w:rFonts w:asciiTheme="minorHAnsi" w:hAnsiTheme="minorHAnsi"/>
                <w:b/>
                <w:bCs/>
                <w:color w:val="auto"/>
                <w:sz w:val="22"/>
                <w:szCs w:val="22"/>
              </w:rPr>
              <w:br/>
              <w:t xml:space="preserve">i pomoc de </w:t>
            </w:r>
            <w:proofErr w:type="spellStart"/>
            <w:r w:rsidRPr="00CA3AEF">
              <w:rPr>
                <w:rFonts w:asciiTheme="minorHAnsi" w:hAnsiTheme="minorHAnsi"/>
                <w:b/>
                <w:bCs/>
                <w:color w:val="auto"/>
                <w:sz w:val="22"/>
                <w:szCs w:val="22"/>
              </w:rPr>
              <w:t>minimis</w:t>
            </w:r>
            <w:proofErr w:type="spellEnd"/>
            <w:r w:rsidRPr="00CA3AEF">
              <w:rPr>
                <w:rFonts w:asciiTheme="minorHAnsi" w:hAnsiTheme="minorHAnsi"/>
                <w:b/>
                <w:bCs/>
                <w:color w:val="auto"/>
                <w:sz w:val="22"/>
                <w:szCs w:val="22"/>
              </w:rPr>
              <w:t xml:space="preserve"> (rodzaj i przeznaczenie pomocy, unijna lub </w:t>
            </w:r>
            <w:r w:rsidRPr="00CA3AEF">
              <w:rPr>
                <w:rFonts w:asciiTheme="minorHAnsi" w:hAnsiTheme="minorHAnsi"/>
                <w:b/>
                <w:bCs/>
                <w:color w:val="auto"/>
                <w:sz w:val="22"/>
                <w:szCs w:val="22"/>
              </w:rPr>
              <w:lastRenderedPageBreak/>
              <w:t xml:space="preserve">krajowa podstawa prawna): </w:t>
            </w:r>
          </w:p>
          <w:p w:rsidR="006013E7" w:rsidRPr="00CA3AEF" w:rsidRDefault="006013E7" w:rsidP="00480411">
            <w:pPr>
              <w:autoSpaceDE w:val="0"/>
              <w:autoSpaceDN w:val="0"/>
              <w:adjustRightInd w:val="0"/>
              <w:spacing w:after="0" w:line="240" w:lineRule="auto"/>
              <w:rPr>
                <w:rFonts w:cs="Calibri"/>
                <w:b/>
                <w:bCs/>
                <w:color w:val="000000"/>
              </w:rPr>
            </w:pPr>
          </w:p>
        </w:tc>
        <w:tc>
          <w:tcPr>
            <w:tcW w:w="7494" w:type="dxa"/>
            <w:shd w:val="clear" w:color="auto" w:fill="auto"/>
          </w:tcPr>
          <w:p w:rsidR="006013E7" w:rsidRPr="00600EB8" w:rsidRDefault="006013E7" w:rsidP="00CA2621">
            <w:pPr>
              <w:spacing w:before="120" w:after="120" w:line="240" w:lineRule="auto"/>
              <w:jc w:val="both"/>
              <w:rPr>
                <w:rFonts w:cs="Arial"/>
              </w:rPr>
            </w:pPr>
            <w:r w:rsidRPr="00600EB8">
              <w:rPr>
                <w:rFonts w:cs="Arial"/>
              </w:rPr>
              <w:lastRenderedPageBreak/>
              <w:t>Przed wypełnieniem wniosku należy przeanalizować projekt pod kątem wystąpienia pomocy publicznej</w:t>
            </w:r>
            <w:r w:rsidRPr="00600EB8">
              <w:rPr>
                <w:rFonts w:eastAsia="Times New Roman" w:cs="Arial"/>
                <w:bCs/>
                <w:lang w:eastAsia="pl-PL"/>
              </w:rPr>
              <w:t xml:space="preserve">. </w:t>
            </w:r>
          </w:p>
          <w:p w:rsidR="006013E7" w:rsidRPr="00C22C74" w:rsidRDefault="006013E7" w:rsidP="00CA262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 xml:space="preserve">omocą publiczną jest wszelka pomoc, która kumulatywnie spełnia następujące </w:t>
            </w:r>
            <w:r w:rsidRPr="00C22C74">
              <w:rPr>
                <w:rFonts w:eastAsia="Times New Roman" w:cs="Times New Roman"/>
                <w:lang w:eastAsia="pl-PL"/>
              </w:rPr>
              <w:lastRenderedPageBreak/>
              <w:t>przesłanki:</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6013E7" w:rsidRDefault="006013E7" w:rsidP="00CA262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6013E7" w:rsidRPr="00600EB8" w:rsidRDefault="006013E7" w:rsidP="00CA262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6013E7" w:rsidRDefault="006013E7" w:rsidP="00CA262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CA2621" w:rsidRDefault="00CA2621" w:rsidP="00CA2621">
            <w:pPr>
              <w:spacing w:before="120" w:after="120" w:line="240" w:lineRule="auto"/>
              <w:jc w:val="both"/>
            </w:pPr>
            <w:r>
              <w:t xml:space="preserve">Wydatki dot. promocji projektu oraz wydatki osobowe </w:t>
            </w:r>
            <w:bookmarkStart w:id="5" w:name="_GoBack"/>
            <w:bookmarkEnd w:id="5"/>
            <w:r>
              <w:t xml:space="preserve">– tylko na podstawie przepisów dot. pomocy de </w:t>
            </w:r>
            <w:proofErr w:type="spellStart"/>
            <w:r>
              <w:t>minimis</w:t>
            </w:r>
            <w:proofErr w:type="spellEnd"/>
            <w:r>
              <w:t>.</w:t>
            </w:r>
          </w:p>
          <w:p w:rsidR="006013E7" w:rsidRPr="00600EB8" w:rsidRDefault="006013E7" w:rsidP="00CA2621">
            <w:pPr>
              <w:spacing w:before="120" w:after="120" w:line="240" w:lineRule="auto"/>
              <w:jc w:val="both"/>
            </w:pPr>
            <w:r>
              <w:t xml:space="preserve">Wydatki dot. dokumentacji przygotowawczej mogą być ponoszone zgodnie z ww. 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r>
              <w:t xml:space="preserve"> (kwalifikowalne zgodnie z art. 53 GBER)</w:t>
            </w:r>
            <w:r w:rsidRPr="00600EB8">
              <w:t xml:space="preserve">. </w:t>
            </w:r>
          </w:p>
          <w:p w:rsidR="006013E7" w:rsidRPr="005D6BBB" w:rsidRDefault="006013E7" w:rsidP="00CA2621">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 wówczas – na podstawie art. 6 ust. 5 lit. h – projekt jest zwolniony z wymogu złożenia wniosku przed rozpoczęciem prac. </w:t>
            </w:r>
          </w:p>
          <w:p w:rsidR="006013E7" w:rsidRPr="005D6BBB" w:rsidRDefault="006013E7" w:rsidP="00CA2621">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6013E7" w:rsidRPr="00600EB8" w:rsidRDefault="006013E7" w:rsidP="00CA2621">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w:t>
            </w:r>
            <w:r w:rsidRPr="00CA3AEF">
              <w:rPr>
                <w:rFonts w:cs="Arial"/>
              </w:rPr>
              <w:lastRenderedPageBreak/>
              <w:t xml:space="preserve">przez: </w:t>
            </w:r>
          </w:p>
          <w:p w:rsidR="00984533" w:rsidRPr="00CA3AEF"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480411">
            <w:pPr>
              <w:pStyle w:val="Akapitzlist"/>
              <w:numPr>
                <w:ilvl w:val="0"/>
                <w:numId w:val="15"/>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11.</w:t>
            </w:r>
          </w:p>
        </w:tc>
        <w:tc>
          <w:tcPr>
            <w:tcW w:w="2268" w:type="dxa"/>
          </w:tcPr>
          <w:p w:rsidR="006013E7" w:rsidRPr="00CA3AEF" w:rsidRDefault="006013E7"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6013E7" w:rsidRPr="00B27059" w:rsidRDefault="006013E7" w:rsidP="00CA2621">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6013E7" w:rsidRPr="00B27059" w:rsidRDefault="006013E7" w:rsidP="00CA2621">
            <w:pPr>
              <w:autoSpaceDE w:val="0"/>
              <w:autoSpaceDN w:val="0"/>
              <w:adjustRightInd w:val="0"/>
              <w:spacing w:after="0" w:line="240" w:lineRule="auto"/>
              <w:rPr>
                <w:rFonts w:cs="Calibri"/>
                <w:color w:val="000000"/>
              </w:rPr>
            </w:pP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6013E7" w:rsidRPr="00CA3AEF" w:rsidRDefault="006013E7" w:rsidP="0047715D">
            <w:pPr>
              <w:pStyle w:val="Default"/>
              <w:rPr>
                <w:rFonts w:asciiTheme="minorHAnsi" w:hAnsiTheme="minorHAnsi"/>
                <w:b/>
                <w:bCs/>
                <w:sz w:val="22"/>
                <w:szCs w:val="22"/>
              </w:rPr>
            </w:pPr>
            <w:r w:rsidRPr="00CA3AEF">
              <w:rPr>
                <w:rFonts w:asciiTheme="minorHAnsi" w:hAnsiTheme="minorHAnsi"/>
                <w:b/>
                <w:bCs/>
                <w:sz w:val="22"/>
                <w:szCs w:val="22"/>
              </w:rPr>
              <w:t xml:space="preserve">Maksymalny dopuszczalny poziom dofinansowania projektu lub maksymalna dopuszczalna kwota do dofinansowania projektu: </w:t>
            </w:r>
          </w:p>
          <w:p w:rsidR="006013E7" w:rsidRPr="00CA3AEF" w:rsidRDefault="006013E7" w:rsidP="0047715D">
            <w:pPr>
              <w:pStyle w:val="Default"/>
              <w:rPr>
                <w:rFonts w:asciiTheme="minorHAnsi" w:hAnsiTheme="minorHAnsi"/>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Dofinansowanie UE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6013E7" w:rsidRPr="00263BF7" w:rsidRDefault="006013E7" w:rsidP="00CA2621">
            <w:pPr>
              <w:pStyle w:val="Default"/>
              <w:ind w:left="317" w:hanging="284"/>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ind w:left="317" w:hanging="284"/>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 xml:space="preserve">kwota pomocy nie może przekroczyć różnicy pomiędzy kosztami kwalifikowalnymi a zyskiem operacyjnym z inwestycji – jednakże maksymalnie może wynosić 85% kosztów kwalifikowanych. Zysk operacyjny odlicza się od kosztów kwalifikowalnych ex </w:t>
            </w:r>
            <w:proofErr w:type="spellStart"/>
            <w:r w:rsidRPr="00263BF7">
              <w:rPr>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6013E7" w:rsidRPr="00263BF7" w:rsidRDefault="006013E7" w:rsidP="00CA2621">
            <w:pPr>
              <w:pStyle w:val="Default"/>
              <w:ind w:left="600"/>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 xml:space="preserve">w przypadku kwoty pomocy nieprzekraczającej równowartości 1 mln EUR – alternatywnie, w zależności od wybranej metody obliczania wartości pomocy wskazanej poniżej: </w:t>
            </w:r>
          </w:p>
          <w:p w:rsidR="006013E7" w:rsidRPr="00263BF7" w:rsidRDefault="006013E7" w:rsidP="00CA2621">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 xml:space="preserve">ex </w:t>
            </w:r>
            <w:proofErr w:type="spellStart"/>
            <w:r w:rsidRPr="00263BF7">
              <w:rPr>
                <w:i/>
                <w:iCs/>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1026"/>
              <w:jc w:val="both"/>
              <w:rPr>
                <w:color w:val="auto"/>
                <w:sz w:val="22"/>
                <w:szCs w:val="22"/>
              </w:rPr>
            </w:pPr>
            <w:r w:rsidRPr="00263BF7">
              <w:rPr>
                <w:color w:val="auto"/>
                <w:sz w:val="22"/>
                <w:szCs w:val="22"/>
              </w:rPr>
              <w:t>- kwota pomocy stanowi maksymalnie 80 %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Default"/>
              <w:numPr>
                <w:ilvl w:val="0"/>
                <w:numId w:val="20"/>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80 % kosztów kwalifikowalnych.</w:t>
            </w:r>
          </w:p>
          <w:p w:rsidR="006013E7" w:rsidRPr="00263BF7" w:rsidRDefault="006013E7" w:rsidP="00CA2621">
            <w:pPr>
              <w:ind w:left="317"/>
              <w:contextualSpacing/>
              <w:jc w:val="both"/>
            </w:pPr>
          </w:p>
          <w:p w:rsidR="006013E7" w:rsidRPr="00263BF7" w:rsidRDefault="006013E7" w:rsidP="00CA2621">
            <w:pPr>
              <w:contextualSpacing/>
              <w:jc w:val="both"/>
              <w:rPr>
                <w:rFonts w:cs="Calibri"/>
              </w:rPr>
            </w:pPr>
            <w:r w:rsidRPr="00263BF7">
              <w:t xml:space="preserve">Wszystkie ww. regulacje dotyczące pomocy publicznej dostępne są na stronie </w:t>
            </w:r>
            <w:hyperlink r:id="rId13" w:history="1">
              <w:r w:rsidRPr="00263BF7">
                <w:rPr>
                  <w:rStyle w:val="Hipercze"/>
                  <w:color w:val="auto"/>
                </w:rPr>
                <w:t>www.funduszeeuropejskie.gov.pl</w:t>
              </w:r>
            </w:hyperlink>
            <w:r w:rsidRPr="00263BF7">
              <w:t xml:space="preserve">. </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6013E7" w:rsidRPr="00CA3AEF" w:rsidRDefault="006013E7" w:rsidP="00480411">
            <w:pPr>
              <w:pStyle w:val="Default"/>
              <w:rPr>
                <w:rFonts w:asciiTheme="minorHAnsi" w:hAnsiTheme="minorHAnsi"/>
                <w:sz w:val="22"/>
                <w:szCs w:val="22"/>
              </w:rPr>
            </w:pPr>
            <w:r w:rsidRPr="00CA3AEF">
              <w:rPr>
                <w:rFonts w:asciiTheme="minorHAnsi" w:hAnsiTheme="minorHAnsi"/>
                <w:b/>
                <w:bCs/>
                <w:sz w:val="22"/>
                <w:szCs w:val="22"/>
              </w:rPr>
              <w:t xml:space="preserve">Minimalny wkład własny beneficjenta jako % wydatków kwalifikowalnych: </w:t>
            </w:r>
          </w:p>
          <w:p w:rsidR="006013E7" w:rsidRPr="00CA3AEF" w:rsidRDefault="006013E7" w:rsidP="00480411">
            <w:pPr>
              <w:pStyle w:val="Default"/>
              <w:rPr>
                <w:rFonts w:asciiTheme="minorHAnsi" w:hAnsiTheme="minorHAnsi"/>
                <w:b/>
                <w:bCs/>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Wkład własny beneficjenta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projektów nieobjętych pomocą publiczną – wynosi co najmniej 15%; </w:t>
            </w:r>
          </w:p>
          <w:p w:rsidR="006013E7" w:rsidRPr="00263BF7" w:rsidRDefault="006013E7" w:rsidP="00CA2621">
            <w:pPr>
              <w:pStyle w:val="Default"/>
              <w:ind w:left="317"/>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jc w:val="both"/>
              <w:rPr>
                <w:color w:val="auto"/>
                <w:sz w:val="22"/>
                <w:szCs w:val="22"/>
              </w:rPr>
            </w:pPr>
          </w:p>
          <w:p w:rsidR="006013E7" w:rsidRPr="00263BF7" w:rsidRDefault="006013E7" w:rsidP="006013E7">
            <w:pPr>
              <w:pStyle w:val="Default"/>
              <w:numPr>
                <w:ilvl w:val="0"/>
                <w:numId w:val="48"/>
              </w:numPr>
              <w:jc w:val="both"/>
              <w:rPr>
                <w:color w:val="auto"/>
                <w:sz w:val="22"/>
                <w:szCs w:val="22"/>
              </w:rPr>
            </w:pPr>
            <w:r w:rsidRPr="00263BF7">
              <w:rPr>
                <w:color w:val="auto"/>
                <w:sz w:val="22"/>
                <w:szCs w:val="22"/>
              </w:rPr>
              <w:t xml:space="preserve">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2 lit. a) niniejszego regulaminu.</w:t>
            </w:r>
          </w:p>
          <w:p w:rsidR="006013E7" w:rsidRPr="00263BF7" w:rsidRDefault="006013E7" w:rsidP="00CA2621">
            <w:pPr>
              <w:pStyle w:val="Default"/>
              <w:ind w:left="720"/>
              <w:jc w:val="both"/>
              <w:rPr>
                <w:color w:val="auto"/>
                <w:sz w:val="22"/>
                <w:szCs w:val="22"/>
              </w:rPr>
            </w:pPr>
          </w:p>
          <w:p w:rsidR="006013E7" w:rsidRPr="00263BF7" w:rsidRDefault="006013E7" w:rsidP="006013E7">
            <w:pPr>
              <w:pStyle w:val="Default"/>
              <w:numPr>
                <w:ilvl w:val="0"/>
                <w:numId w:val="48"/>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6013E7" w:rsidRPr="00263BF7" w:rsidRDefault="006013E7" w:rsidP="00CA2621">
            <w:pPr>
              <w:pStyle w:val="Default"/>
              <w:ind w:left="720"/>
              <w:jc w:val="both"/>
              <w:rPr>
                <w:color w:val="auto"/>
                <w:sz w:val="22"/>
                <w:szCs w:val="22"/>
              </w:rPr>
            </w:pPr>
            <w:r w:rsidRPr="00263BF7">
              <w:rPr>
                <w:color w:val="auto"/>
                <w:sz w:val="22"/>
                <w:szCs w:val="22"/>
              </w:rPr>
              <w:t xml:space="preserve">- 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xml:space="preserve">. 2 lit. b) </w:t>
            </w:r>
            <w:proofErr w:type="spellStart"/>
            <w:r w:rsidRPr="00263BF7">
              <w:rPr>
                <w:color w:val="auto"/>
                <w:sz w:val="22"/>
                <w:szCs w:val="22"/>
              </w:rPr>
              <w:t>tiret</w:t>
            </w:r>
            <w:proofErr w:type="spellEnd"/>
            <w:r w:rsidRPr="00263BF7">
              <w:rPr>
                <w:color w:val="auto"/>
                <w:sz w:val="22"/>
                <w:szCs w:val="22"/>
              </w:rPr>
              <w:t xml:space="preserve"> pierwsze z pkt. 12 niniejszego regulaminu</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720"/>
              <w:jc w:val="both"/>
              <w:rPr>
                <w:color w:val="auto"/>
                <w:sz w:val="22"/>
                <w:szCs w:val="22"/>
              </w:rPr>
            </w:pPr>
            <w:r w:rsidRPr="00263BF7">
              <w:rPr>
                <w:color w:val="auto"/>
                <w:sz w:val="22"/>
                <w:szCs w:val="22"/>
              </w:rPr>
              <w:t>- wynosi co najmniej 20 %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Akapitzlist"/>
              <w:numPr>
                <w:ilvl w:val="0"/>
                <w:numId w:val="21"/>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20 % kosztów kwalifikowalnych.</w:t>
            </w:r>
          </w:p>
          <w:p w:rsidR="006013E7" w:rsidRPr="00263BF7" w:rsidRDefault="006013E7" w:rsidP="00CA2621">
            <w:pPr>
              <w:autoSpaceDE w:val="0"/>
              <w:autoSpaceDN w:val="0"/>
              <w:adjustRightInd w:val="0"/>
              <w:spacing w:line="240" w:lineRule="auto"/>
              <w:jc w:val="both"/>
            </w:pPr>
          </w:p>
          <w:p w:rsidR="006013E7" w:rsidRPr="00263BF7" w:rsidRDefault="006013E7" w:rsidP="00CA2621">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A41980" w:rsidRPr="00CA3AEF" w:rsidTr="006D7C1A">
        <w:tc>
          <w:tcPr>
            <w:tcW w:w="534" w:type="dxa"/>
          </w:tcPr>
          <w:p w:rsidR="00A41980" w:rsidRPr="00CA3AEF" w:rsidRDefault="00A41980" w:rsidP="00480411">
            <w:pPr>
              <w:autoSpaceDE w:val="0"/>
              <w:autoSpaceDN w:val="0"/>
              <w:adjustRightInd w:val="0"/>
              <w:spacing w:after="0" w:line="240" w:lineRule="auto"/>
              <w:rPr>
                <w:rFonts w:cs="Calibri"/>
                <w:b/>
                <w:bCs/>
                <w:color w:val="000000"/>
              </w:rPr>
            </w:pPr>
            <w:r w:rsidRPr="00CA3AEF">
              <w:rPr>
                <w:rFonts w:cs="Calibri"/>
                <w:b/>
                <w:bCs/>
                <w:color w:val="000000"/>
              </w:rPr>
              <w:t>14.</w:t>
            </w:r>
          </w:p>
        </w:tc>
        <w:tc>
          <w:tcPr>
            <w:tcW w:w="2268" w:type="dxa"/>
          </w:tcPr>
          <w:p w:rsidR="00A41980" w:rsidRPr="00CA3AEF" w:rsidRDefault="00A41980"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41980" w:rsidRPr="00CA3AEF" w:rsidRDefault="00A41980" w:rsidP="00480411">
            <w:pPr>
              <w:pStyle w:val="Default"/>
              <w:rPr>
                <w:rFonts w:asciiTheme="minorHAnsi" w:hAnsiTheme="minorHAnsi"/>
                <w:b/>
                <w:bCs/>
                <w:sz w:val="22"/>
                <w:szCs w:val="22"/>
              </w:rPr>
            </w:pPr>
          </w:p>
        </w:tc>
        <w:tc>
          <w:tcPr>
            <w:tcW w:w="7494" w:type="dxa"/>
          </w:tcPr>
          <w:p w:rsidR="00A41980" w:rsidRPr="00CA3AEF" w:rsidRDefault="00A41980" w:rsidP="00E75A4F">
            <w:pPr>
              <w:spacing w:before="120" w:line="240" w:lineRule="auto"/>
              <w:ind w:left="33" w:hanging="33"/>
              <w:jc w:val="both"/>
              <w:rPr>
                <w:rFonts w:cs="Calibri"/>
              </w:rPr>
            </w:pPr>
            <w:r w:rsidRPr="00CA3AEF">
              <w:rPr>
                <w:rFonts w:cs="Calibri"/>
              </w:rPr>
              <w:t>Konkurs jest po</w:t>
            </w:r>
            <w:r w:rsidR="004151FA" w:rsidRPr="00CA3AEF">
              <w:rPr>
                <w:rFonts w:cs="Calibri"/>
              </w:rPr>
              <w:t>stę</w:t>
            </w:r>
            <w:r w:rsidRPr="00CA3AE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Naboru wniosków o dofinansowanie czyli składania wniosków </w:t>
            </w:r>
            <w:r w:rsidRPr="00CA3AEF">
              <w:rPr>
                <w:rFonts w:ascii="Calibri" w:hAnsi="Calibri" w:cs="Calibri"/>
                <w:color w:val="000000"/>
              </w:rPr>
              <w:br/>
              <w:t>o dofinasowanie – termin składania wniosków nie może być krótszy niż 7 dni licząc od dnia rozpoczęcia naboru wniosków o dofinansowanie projektów;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Etapu weryfikacji technicznej, w trakcie której sprawdzeniu podlega:</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wypełnienia formularza wniosku (</w:t>
            </w:r>
            <w:r w:rsidR="0087288E" w:rsidRPr="00CA3AEF">
              <w:rPr>
                <w:rFonts w:asciiTheme="minorHAnsi" w:hAnsiTheme="minorHAnsi" w:cs="Calibri"/>
                <w:color w:val="000000"/>
              </w:rPr>
              <w:t xml:space="preserve">czy formularz zawiera wszystkie wymagane strony oraz </w:t>
            </w:r>
            <w:r w:rsidRPr="00CA3AEF">
              <w:rPr>
                <w:rFonts w:asciiTheme="minorHAnsi" w:hAnsiTheme="minorHAnsi" w:cs="Calibri"/>
                <w:color w:val="000000"/>
              </w:rPr>
              <w:t>czy wymagane pola zostały wypełnione),</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załączników (czy wszystkie załączniki zostały załączone),</w:t>
            </w:r>
          </w:p>
          <w:p w:rsidR="0047715D" w:rsidRPr="00CA3AEF"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rPr>
              <w:t>czytelność załączonych skanów,</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lastRenderedPageBreak/>
              <w:t>kompletność podpisów i pieczęci</w:t>
            </w:r>
            <w:r w:rsidR="001248C7" w:rsidRPr="00CA3AEF">
              <w:rPr>
                <w:rFonts w:asciiTheme="minorHAnsi" w:hAnsiTheme="minorHAnsi" w:cs="Calibri"/>
                <w:color w:val="000000"/>
              </w:rPr>
              <w:t>,</w:t>
            </w:r>
          </w:p>
          <w:p w:rsidR="00153A52" w:rsidRPr="00CA3AEF"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zgodność sumy kontrolnej w wersji papierowej i elektronicznej</w:t>
            </w:r>
            <w:r w:rsidR="009A31F4" w:rsidRPr="00CA3AEF">
              <w:rPr>
                <w:rFonts w:asciiTheme="minorHAnsi" w:hAnsiTheme="minorHAnsi" w:cs="Calibri"/>
                <w:color w:val="000000"/>
              </w:rPr>
              <w:t>.</w:t>
            </w:r>
          </w:p>
          <w:p w:rsidR="00CB791B" w:rsidRPr="00CA3AE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A3AEF" w:rsidRDefault="00BB6BFC"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w:t>
            </w:r>
            <w:r w:rsidR="002965D5" w:rsidRPr="00CA3AEF">
              <w:rPr>
                <w:rFonts w:ascii="Calibri" w:hAnsi="Calibri" w:cs="Calibri"/>
                <w:color w:val="000000"/>
              </w:rPr>
              <w:t>W</w:t>
            </w:r>
            <w:r w:rsidR="00A41980" w:rsidRPr="00CA3AEF">
              <w:rPr>
                <w:rFonts w:ascii="Calibri" w:hAnsi="Calibri" w:cs="Calibri"/>
                <w:color w:val="000000"/>
              </w:rPr>
              <w:t>eryfikacja techniczna ni</w:t>
            </w:r>
            <w:r w:rsidR="002965D5" w:rsidRPr="00CA3AE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A3AE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A3AEF" w:rsidRDefault="009A7256"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Weryfikacja techniczna </w:t>
            </w:r>
            <w:r w:rsidR="00A41980" w:rsidRPr="00CA3AEF">
              <w:rPr>
                <w:rFonts w:ascii="Calibri" w:hAnsi="Calibri" w:cs="Calibri"/>
                <w:color w:val="000000"/>
              </w:rPr>
              <w:t>trwa 7</w:t>
            </w:r>
            <w:r w:rsidR="002965D5" w:rsidRPr="00CA3AEF">
              <w:rPr>
                <w:rFonts w:ascii="Calibri" w:hAnsi="Calibri" w:cs="Calibri"/>
                <w:color w:val="000000"/>
              </w:rPr>
              <w:t xml:space="preserve"> dni od dnia zakończenia naboru.</w:t>
            </w:r>
            <w:r w:rsidR="00BB6BFC" w:rsidRPr="00CA3AEF">
              <w:rPr>
                <w:rFonts w:ascii="Calibri" w:hAnsi="Calibri" w:cs="Calibri"/>
                <w:color w:val="000000"/>
              </w:rPr>
              <w:t>);</w:t>
            </w:r>
          </w:p>
          <w:p w:rsidR="00A41980" w:rsidRPr="00CA3AE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A3AEF">
              <w:rPr>
                <w:rFonts w:ascii="Calibri" w:hAnsi="Calibri" w:cs="Calibri"/>
                <w:color w:val="000000"/>
              </w:rPr>
              <w:t xml:space="preserve">I-go Etapu oceny – ocena formalna (obligatoryjna) - dokonywana przez 2 pracowników IOK; </w:t>
            </w:r>
          </w:p>
          <w:p w:rsidR="00A41980" w:rsidRPr="00CA3AE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 etap oceny formalnej (ocena kryteriów formalnych </w:t>
            </w:r>
            <w:r w:rsidR="009A7256" w:rsidRPr="00CA3AEF">
              <w:rPr>
                <w:rFonts w:ascii="Calibri" w:hAnsi="Calibri" w:cs="Calibri"/>
                <w:color w:val="000000"/>
              </w:rPr>
              <w:t xml:space="preserve">ogólnych </w:t>
            </w:r>
            <w:r w:rsidR="0047715D" w:rsidRPr="00CA3AEF">
              <w:rPr>
                <w:rFonts w:ascii="Calibri" w:hAnsi="Calibri" w:cs="Calibri"/>
                <w:color w:val="000000"/>
              </w:rPr>
              <w:br/>
            </w:r>
            <w:r w:rsidR="009A7256" w:rsidRPr="00CA3AEF">
              <w:rPr>
                <w:rFonts w:ascii="Calibri" w:hAnsi="Calibri" w:cs="Calibri"/>
                <w:color w:val="000000"/>
              </w:rPr>
              <w:t xml:space="preserve">i specyficznych </w:t>
            </w:r>
            <w:r w:rsidR="00B5754A" w:rsidRPr="00CA3AEF">
              <w:rPr>
                <w:rFonts w:ascii="Calibri" w:hAnsi="Calibri" w:cs="Calibri"/>
                <w:color w:val="000000"/>
              </w:rPr>
              <w:t>przy których zaznaczono brak możliwości korekty</w:t>
            </w:r>
            <w:r w:rsidR="00B5754A" w:rsidRPr="00CA3AEF" w:rsidDel="00B5754A">
              <w:rPr>
                <w:rFonts w:ascii="Calibri" w:hAnsi="Calibri" w:cs="Calibri"/>
                <w:color w:val="000000"/>
              </w:rPr>
              <w:t xml:space="preserve"> </w:t>
            </w:r>
            <w:r w:rsidRPr="00CA3AEF">
              <w:rPr>
                <w:rFonts w:ascii="Calibri" w:hAnsi="Calibri" w:cs="Calibri"/>
                <w:color w:val="000000"/>
              </w:rPr>
              <w:t>– jeśli dotyczą naboru) – do 10 dni;</w:t>
            </w:r>
          </w:p>
          <w:p w:rsidR="00A41980" w:rsidRPr="00CA3AE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II etap oceny formalnej (ocena kryteriów formalnych ogólnych </w:t>
            </w:r>
            <w:r w:rsidR="0047715D" w:rsidRPr="00CA3AEF">
              <w:rPr>
                <w:rFonts w:ascii="Calibri" w:hAnsi="Calibri" w:cs="Calibri"/>
                <w:color w:val="000000"/>
              </w:rPr>
              <w:br/>
            </w:r>
            <w:r w:rsidRPr="00CA3AEF">
              <w:rPr>
                <w:rFonts w:ascii="Calibri" w:hAnsi="Calibri" w:cs="Calibri"/>
                <w:color w:val="000000"/>
              </w:rPr>
              <w:t xml:space="preserve">i specyficznych </w:t>
            </w:r>
            <w:r w:rsidR="00B5754A" w:rsidRPr="00CA3AEF">
              <w:rPr>
                <w:rFonts w:ascii="Calibri" w:hAnsi="Calibri" w:cs="Calibri"/>
                <w:color w:val="000000"/>
              </w:rPr>
              <w:t xml:space="preserve">przy których zaznaczono możliwość korekty </w:t>
            </w:r>
            <w:r w:rsidRPr="00CA3AEF">
              <w:rPr>
                <w:rFonts w:ascii="Calibri" w:hAnsi="Calibri" w:cs="Calibri"/>
                <w:color w:val="000000"/>
              </w:rPr>
              <w:t>– jeśli dotyczą naboru) - do 10 dni;</w:t>
            </w:r>
          </w:p>
          <w:p w:rsidR="00A41980" w:rsidRPr="00CA3AE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 II-go Etapu oceny – ocena merytoryczna (obligatoryjna</w:t>
            </w:r>
            <w:r w:rsidR="00B5754A" w:rsidRPr="00CA3AEF">
              <w:rPr>
                <w:rFonts w:ascii="Calibri" w:hAnsi="Calibri" w:cs="Calibri"/>
                <w:color w:val="000000"/>
              </w:rPr>
              <w:t xml:space="preserve"> i fakultatywna</w:t>
            </w:r>
            <w:r w:rsidRPr="00CA3AEF">
              <w:rPr>
                <w:rFonts w:ascii="Calibri" w:hAnsi="Calibri" w:cs="Calibri"/>
                <w:color w:val="000000"/>
              </w:rPr>
              <w:t xml:space="preserve">):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 sekcja: ocena </w:t>
            </w:r>
            <w:proofErr w:type="spellStart"/>
            <w:r w:rsidRPr="00CA3AEF">
              <w:rPr>
                <w:rFonts w:ascii="Calibri" w:hAnsi="Calibri" w:cs="Calibri"/>
                <w:color w:val="000000"/>
              </w:rPr>
              <w:t>ekonomiczno</w:t>
            </w:r>
            <w:proofErr w:type="spellEnd"/>
            <w:r w:rsidRPr="00CA3AEF">
              <w:rPr>
                <w:rFonts w:ascii="Calibri" w:hAnsi="Calibri" w:cs="Calibri"/>
                <w:color w:val="000000"/>
              </w:rPr>
              <w:t xml:space="preserve"> – finansowa</w:t>
            </w:r>
            <w:r w:rsidR="003B4611" w:rsidRPr="00CA3AEF">
              <w:rPr>
                <w:rFonts w:ascii="Calibri" w:hAnsi="Calibri" w:cs="Calibri"/>
                <w:color w:val="000000"/>
              </w:rPr>
              <w:t>, ogólna</w:t>
            </w:r>
            <w:r w:rsidRPr="00CA3AEF">
              <w:rPr>
                <w:rFonts w:ascii="Calibri" w:hAnsi="Calibri" w:cs="Calibri"/>
                <w:color w:val="000000"/>
              </w:rPr>
              <w:t xml:space="preserve"> oraz dziedzinowa (w tym OOŚ) dokonywana przez 2 ekspertów z dziedziny „Analiza finansowo-ekonomiczna” oraz 2 ekspertów z dziedziny „</w:t>
            </w:r>
            <w:r w:rsidR="00A87486">
              <w:rPr>
                <w:rFonts w:ascii="Calibri" w:hAnsi="Calibri" w:cs="Calibri"/>
                <w:color w:val="000000"/>
              </w:rPr>
              <w:t>Dziedzictwo kulturowe</w:t>
            </w:r>
            <w:r w:rsidRPr="00CA3AEF">
              <w:rPr>
                <w:rFonts w:ascii="Calibri" w:hAnsi="Calibri" w:cs="Calibri"/>
                <w:color w:val="000000"/>
              </w:rPr>
              <w:t xml:space="preserve">” do 40 dni od momentu zakończenia oceny formalnej;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II sekcja: ocena </w:t>
            </w:r>
            <w:r w:rsidR="00032C8C" w:rsidRPr="00CA3AEF">
              <w:t xml:space="preserve"> </w:t>
            </w:r>
            <w:r w:rsidR="00032C8C" w:rsidRPr="00CA3AEF">
              <w:rPr>
                <w:rFonts w:ascii="Calibri" w:hAnsi="Calibri" w:cs="Calibri"/>
                <w:color w:val="000000"/>
              </w:rPr>
              <w:t xml:space="preserve">wpływu projektów na realizację Strategii Rozwoju Województwa Dolnośląskiego 2020 </w:t>
            </w:r>
            <w:r w:rsidRPr="00CA3AEF">
              <w:rPr>
                <w:rFonts w:ascii="Calibri" w:hAnsi="Calibri" w:cs="Calibri"/>
                <w:color w:val="000000"/>
              </w:rPr>
              <w:t xml:space="preserve">”– panel, porównanie projektów - do 20 dni od momentu zakończenia sekcji I; </w:t>
            </w:r>
          </w:p>
          <w:p w:rsidR="00A41980" w:rsidRPr="00CA3AE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A3AE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A3AEF">
              <w:rPr>
                <w:rFonts w:ascii="Calibri" w:hAnsi="Calibri" w:cs="Calibri"/>
                <w:color w:val="000000"/>
              </w:rPr>
              <w:br/>
              <w:t xml:space="preserve">z wyróżnieniem projektów wybranych do dofinansowania zamieszczana jest na stronie internetowej </w:t>
            </w:r>
            <w:hyperlink r:id="rId15" w:history="1">
              <w:r w:rsidRPr="00CA3AEF">
                <w:rPr>
                  <w:rStyle w:val="Hipercze"/>
                  <w:rFonts w:ascii="Calibri" w:hAnsi="Calibri" w:cs="Calibri"/>
                </w:rPr>
                <w:t>www.rpo.dolnyslask.pl</w:t>
              </w:r>
            </w:hyperlink>
            <w:r w:rsidRPr="00CA3AEF">
              <w:rPr>
                <w:rFonts w:ascii="Calibri" w:hAnsi="Calibri" w:cs="Calibri"/>
                <w:color w:val="000000"/>
              </w:rPr>
              <w:t xml:space="preserve"> oraz </w:t>
            </w:r>
            <w:hyperlink r:id="rId16" w:history="1">
              <w:r w:rsidRPr="00CA3AEF">
                <w:rPr>
                  <w:rStyle w:val="Hipercze"/>
                  <w:rFonts w:ascii="Calibri" w:hAnsi="Calibri" w:cs="Calibri"/>
                </w:rPr>
                <w:t>www.funduszeeuropejskie.gov.pl</w:t>
              </w:r>
            </w:hyperlink>
            <w:r w:rsidRPr="00CA3AEF">
              <w:rPr>
                <w:rFonts w:ascii="Calibri" w:hAnsi="Calibri" w:cs="Calibri"/>
                <w:color w:val="000000"/>
              </w:rPr>
              <w:t xml:space="preserve">. </w:t>
            </w:r>
          </w:p>
        </w:tc>
      </w:tr>
      <w:tr w:rsidR="00CA2621" w:rsidRPr="00CA3AEF" w:rsidTr="006D7C1A">
        <w:tc>
          <w:tcPr>
            <w:tcW w:w="534" w:type="dxa"/>
          </w:tcPr>
          <w:p w:rsidR="00CA2621" w:rsidRPr="00CA3AEF" w:rsidRDefault="00CA262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CA2621" w:rsidRPr="00CA3AEF" w:rsidRDefault="00CA2621"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r>
            <w:r w:rsidRPr="00CA3AEF">
              <w:rPr>
                <w:rFonts w:asciiTheme="minorHAnsi" w:hAnsiTheme="minorHAnsi"/>
                <w:b/>
                <w:bCs/>
                <w:sz w:val="22"/>
                <w:szCs w:val="22"/>
              </w:rPr>
              <w:lastRenderedPageBreak/>
              <w:t xml:space="preserve">i forma składania wniosków o dofinansowanie projektu: </w:t>
            </w:r>
          </w:p>
          <w:p w:rsidR="00CA2621" w:rsidRPr="00CA3AEF" w:rsidRDefault="00CA2621" w:rsidP="00480411">
            <w:pPr>
              <w:pStyle w:val="Default"/>
              <w:rPr>
                <w:rFonts w:asciiTheme="minorHAnsi" w:hAnsiTheme="minorHAnsi"/>
                <w:b/>
                <w:bCs/>
                <w:sz w:val="22"/>
                <w:szCs w:val="22"/>
              </w:rPr>
            </w:pPr>
          </w:p>
        </w:tc>
        <w:tc>
          <w:tcPr>
            <w:tcW w:w="7494" w:type="dxa"/>
          </w:tcPr>
          <w:p w:rsidR="00CA2621" w:rsidRDefault="00CA2621" w:rsidP="00CA2621">
            <w:pPr>
              <w:autoSpaceDE w:val="0"/>
              <w:autoSpaceDN w:val="0"/>
              <w:spacing w:before="120" w:after="120"/>
              <w:jc w:val="both"/>
              <w:rPr>
                <w:u w:val="single"/>
              </w:rPr>
            </w:pPr>
            <w:r>
              <w:lastRenderedPageBreak/>
              <w:t xml:space="preserve">Wnioskodawca wypełnia wniosek o dofinansowanie za pośrednictwem aplikacji – </w:t>
            </w:r>
            <w:r>
              <w:lastRenderedPageBreak/>
              <w:t xml:space="preserve">generator wniosków o dofinansowanie EFRR - dostępny na stronie snow-umwd.dolnyslask.pl i przesyła do IOK w ramach niniejszego konkursu w terminie </w:t>
            </w:r>
            <w:r>
              <w:rPr>
                <w:b/>
                <w:bCs/>
                <w:u w:val="single"/>
              </w:rPr>
              <w:t>od godz. 8.00 dnia 31 maja 2016 r. do godz. 15.00 dnia  10 czerwca 2016 r.</w:t>
            </w:r>
            <w:r>
              <w:rPr>
                <w:u w:val="single"/>
              </w:rPr>
              <w:t xml:space="preserve"> </w:t>
            </w:r>
          </w:p>
          <w:p w:rsidR="00CA2621" w:rsidRDefault="00CA2621" w:rsidP="00CA2621">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CA2621" w:rsidRDefault="00CA2621" w:rsidP="00CA2621">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do godz. 15.00 dnia 10 czerwca 2016 r</w:t>
            </w:r>
            <w:r>
              <w:t xml:space="preserv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 „Nie otwierać przed wpływem do Wydziału Wdrażania EFRR”.</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CA2621" w:rsidRPr="00382015" w:rsidRDefault="00CA2621" w:rsidP="00CA2621">
            <w:pPr>
              <w:pStyle w:val="xl33"/>
              <w:spacing w:after="0"/>
              <w:jc w:val="both"/>
              <w:rPr>
                <w:rFonts w:asciiTheme="minorHAnsi" w:hAnsiTheme="minorHAnsi" w:cs="Arial"/>
                <w:szCs w:val="20"/>
              </w:rPr>
            </w:pPr>
          </w:p>
          <w:p w:rsidR="00CA2621" w:rsidRPr="00975528" w:rsidRDefault="00CA2621" w:rsidP="00CA2621">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Katalog możliwych do uzupełnienia braków formalnych oraz oczywistych omyłek: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after="0" w:line="240" w:lineRule="auto"/>
              <w:jc w:val="both"/>
              <w:rPr>
                <w:rFonts w:ascii="Arial" w:hAnsi="Arial" w:cs="Arial"/>
              </w:rPr>
            </w:pPr>
            <w:r w:rsidRPr="00CA3AEF">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CA3AEF">
              <w:rPr>
                <w:rFonts w:cs="Arial"/>
              </w:rPr>
              <w:t xml:space="preserve">, pod rygorem pozostawienia wniosku bez rozpatrzenia </w:t>
            </w:r>
            <w:r w:rsidRPr="00CA3AEF">
              <w:rPr>
                <w:rFonts w:cs="Arial"/>
              </w:rPr>
              <w:br/>
              <w:t>i w konsekwencji niedopuszczenia projektu do oceny lub dalszej oceny</w:t>
            </w:r>
            <w:r w:rsidRPr="00CA3AEF">
              <w:rPr>
                <w:rFonts w:cs="Times New Roman"/>
                <w:color w:val="000000"/>
              </w:rPr>
              <w:t xml:space="preserve">. </w:t>
            </w:r>
          </w:p>
          <w:p w:rsidR="00984533" w:rsidRPr="00CA3AEF" w:rsidRDefault="00984533" w:rsidP="00480411">
            <w:pPr>
              <w:autoSpaceDE w:val="0"/>
              <w:autoSpaceDN w:val="0"/>
              <w:adjustRightInd w:val="0"/>
              <w:spacing w:after="0" w:line="240" w:lineRule="auto"/>
              <w:jc w:val="both"/>
              <w:rPr>
                <w:rFonts w:cs="Times New Roman"/>
                <w:bCs/>
                <w:color w:val="000000"/>
              </w:rPr>
            </w:pPr>
            <w:r w:rsidRPr="00CA3AEF">
              <w:rPr>
                <w:rFonts w:cs="Times New Roman"/>
                <w:bCs/>
                <w:color w:val="000000"/>
              </w:rPr>
              <w:t xml:space="preserve">Uzupełnienie wniosku o dofinansowanie projektu lub poprawienie w nim oczywistej omyłki w wyznaczonym terminie nie może prowadzić do jego istotnej modyfikacji. </w:t>
            </w:r>
          </w:p>
          <w:p w:rsidR="00B35B23" w:rsidRPr="00CA3AEF" w:rsidRDefault="00B35B23" w:rsidP="00480411">
            <w:pPr>
              <w:autoSpaceDE w:val="0"/>
              <w:autoSpaceDN w:val="0"/>
              <w:adjustRightInd w:val="0"/>
              <w:spacing w:after="0" w:line="240" w:lineRule="auto"/>
              <w:jc w:val="both"/>
              <w:rPr>
                <w:rFonts w:cs="Times New Roman"/>
                <w:bCs/>
                <w:color w:val="000000"/>
              </w:rPr>
            </w:pPr>
          </w:p>
          <w:p w:rsidR="00CB791B" w:rsidRPr="00CA3AEF" w:rsidRDefault="00984533">
            <w:pPr>
              <w:autoSpaceDE w:val="0"/>
              <w:autoSpaceDN w:val="0"/>
              <w:adjustRightInd w:val="0"/>
              <w:spacing w:after="0" w:line="240" w:lineRule="auto"/>
              <w:jc w:val="both"/>
            </w:pPr>
            <w:r w:rsidRPr="00CA3AEF">
              <w:rPr>
                <w:rFonts w:cs="Times New Roman"/>
              </w:rPr>
              <w:t xml:space="preserve">Dopuszczalne jest jednokrotne dokonanie uzupełnień lub poprawy wniosku </w:t>
            </w:r>
            <w:r w:rsidRPr="00CA3AEF">
              <w:rPr>
                <w:rFonts w:cs="Times New Roman"/>
              </w:rPr>
              <w:br/>
              <w:t>w zakresie wskazanym przez IOK</w:t>
            </w:r>
            <w:r w:rsidR="00A84137" w:rsidRPr="00CA3AEF">
              <w:rPr>
                <w:rFonts w:cs="Times New Roman"/>
              </w:rPr>
              <w:t xml:space="preserve"> np.:</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Fonts w:cs="Times New Roman"/>
              </w:rPr>
              <w:t xml:space="preserve">- </w:t>
            </w:r>
            <w:r w:rsidRPr="00CA3AEF">
              <w:rPr>
                <w:rStyle w:val="normal0020tablechar"/>
                <w:rFonts w:ascii="Calibri" w:hAnsi="Calibri"/>
              </w:rPr>
              <w:t>uzupełnienie formularza wniosku jeśli nie wszystkie wymagane pola zostały wypełnione,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uzupełnienie załączników jeśli nie wszystkie wymagane załączniki zostały załączone,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poprawa jakości załączonych skanów, w sytuacji gdy nie są czytelne,</w:t>
            </w:r>
          </w:p>
          <w:p w:rsidR="00B35B23"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w:t>
            </w:r>
            <w:r w:rsidRPr="00CA3AEF">
              <w:rPr>
                <w:rStyle w:val="normal0020tablechar"/>
              </w:rPr>
              <w:t> </w:t>
            </w:r>
            <w:r w:rsidRPr="00CA3AEF">
              <w:rPr>
                <w:rStyle w:val="normal0020tablechar"/>
                <w:rFonts w:ascii="Calibri" w:hAnsi="Calibri"/>
              </w:rPr>
              <w:t>uzupełnienie brakujących podpisów i pieczęci</w:t>
            </w:r>
            <w:r w:rsidR="00B35B23" w:rsidRPr="00CA3AEF">
              <w:rPr>
                <w:rStyle w:val="normal0020tablechar"/>
                <w:rFonts w:ascii="Calibri" w:hAnsi="Calibri"/>
              </w:rPr>
              <w:t>,</w:t>
            </w:r>
          </w:p>
          <w:p w:rsidR="00B35B23" w:rsidRPr="00CA3AEF" w:rsidRDefault="00B35B23" w:rsidP="00B35B23">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niezgodność sumy kontrolnej w wersji papierowej i elektronicznej;</w:t>
            </w:r>
          </w:p>
          <w:p w:rsidR="00CB791B" w:rsidRPr="00CA3AEF" w:rsidRDefault="00B35B23" w:rsidP="00B35B23">
            <w:pPr>
              <w:autoSpaceDE w:val="0"/>
              <w:autoSpaceDN w:val="0"/>
              <w:adjustRightInd w:val="0"/>
              <w:spacing w:after="0" w:line="240" w:lineRule="auto"/>
              <w:jc w:val="both"/>
              <w:rPr>
                <w:rFonts w:ascii="Calibri" w:hAnsi="Calibri"/>
              </w:rPr>
            </w:pPr>
            <w:r w:rsidRPr="00CA3AEF">
              <w:rPr>
                <w:rStyle w:val="normal0020tablechar"/>
                <w:rFonts w:ascii="Calibri" w:hAnsi="Calibri"/>
              </w:rPr>
              <w:t>- brak strony/stron w papierowej wersji wniosku</w:t>
            </w:r>
            <w:r w:rsidR="00A84137" w:rsidRPr="00CA3AEF">
              <w:rPr>
                <w:rStyle w:val="normal0020tablechar"/>
                <w:rFonts w:ascii="Calibri" w:hAnsi="Calibri"/>
              </w:rPr>
              <w:t>.</w:t>
            </w:r>
          </w:p>
          <w:p w:rsidR="00984533" w:rsidRPr="00CA3AEF" w:rsidRDefault="00984533" w:rsidP="00480411">
            <w:pPr>
              <w:autoSpaceDE w:val="0"/>
              <w:autoSpaceDN w:val="0"/>
              <w:adjustRightInd w:val="0"/>
              <w:spacing w:after="0" w:line="240" w:lineRule="auto"/>
              <w:jc w:val="both"/>
              <w:rPr>
                <w:rFonts w:cs="Times New Roman"/>
              </w:rPr>
            </w:pPr>
            <w:r w:rsidRPr="00CA3AEF">
              <w:rPr>
                <w:rFonts w:cs="Times New Roman"/>
              </w:rPr>
              <w:t xml:space="preserve">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lastRenderedPageBreak/>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CA3AEF" w:rsidRDefault="00984533" w:rsidP="00480411">
            <w:pPr>
              <w:tabs>
                <w:tab w:val="left" w:pos="0"/>
                <w:tab w:val="left" w:pos="709"/>
              </w:tabs>
              <w:spacing w:after="0" w:line="240" w:lineRule="auto"/>
              <w:jc w:val="both"/>
              <w:rPr>
                <w:rFonts w:ascii="Calibri" w:hAnsi="Calibri"/>
              </w:rPr>
            </w:pPr>
            <w:r w:rsidRPr="00CA3AEF">
              <w:t xml:space="preserve">Ostateczna ocena czy uzupełnienie wniosku o dofinansowanie lub poprawienie </w:t>
            </w:r>
            <w:r w:rsidRPr="00CA3AEF">
              <w:br/>
              <w:t xml:space="preserve">w nim oczywistej omyłki doprowadziło do istotnej modyfikacji wniosku </w:t>
            </w:r>
            <w:r w:rsidRPr="00CA3AEF">
              <w:br/>
              <w:t>o dofinansowanie, o której mowa w art. 43 ust. 2 ustawy</w:t>
            </w:r>
            <w:r w:rsidR="00A41980" w:rsidRPr="00CA3AEF">
              <w:t xml:space="preserve"> wdrożeniowej</w:t>
            </w:r>
            <w:r w:rsidRPr="00CA3AEF">
              <w:t>, jest dokonywana przez IOK.</w:t>
            </w:r>
            <w:r w:rsidRPr="00CA3AEF">
              <w:rPr>
                <w:rFonts w:ascii="Calibri" w:hAnsi="Calibri"/>
              </w:rPr>
              <w:t xml:space="preserve"> </w:t>
            </w:r>
          </w:p>
          <w:p w:rsidR="00984533" w:rsidRPr="00CA3AEF" w:rsidRDefault="00984533" w:rsidP="00480411">
            <w:pPr>
              <w:tabs>
                <w:tab w:val="left" w:pos="0"/>
                <w:tab w:val="left" w:pos="709"/>
              </w:tabs>
              <w:spacing w:after="0" w:line="240" w:lineRule="auto"/>
              <w:jc w:val="both"/>
            </w:pPr>
            <w:r w:rsidRPr="00CA3AEF">
              <w:rPr>
                <w:rFonts w:ascii="Calibri" w:hAnsi="Calibri"/>
              </w:rPr>
              <w:t>Wezwanie do poprawienia oczywistej omyłki lub uzupełnienia braku formalnego, o ile zostaną one stwierdzone, może następować również na każdym kolejnym etapie oceny.</w:t>
            </w:r>
            <w:r w:rsidRPr="00CA3AEF">
              <w:t xml:space="preserve"> </w:t>
            </w:r>
          </w:p>
          <w:p w:rsidR="00984533" w:rsidRPr="00CA3AEF" w:rsidRDefault="00984533" w:rsidP="00480411">
            <w:pPr>
              <w:spacing w:after="0" w:line="240" w:lineRule="auto"/>
              <w:jc w:val="both"/>
              <w:rPr>
                <w:rFonts w:cs="Arial"/>
              </w:rPr>
            </w:pPr>
            <w:r w:rsidRPr="00CA3AEF">
              <w:rPr>
                <w:rFonts w:cs="Arial"/>
              </w:rPr>
              <w:t xml:space="preserve">Wymogi formalne w odniesieniu do wniosku o dofinansowanie nie są kryteriami, w związku z tym wnioskodawcy, w przypadku pozostawienia jego wniosku </w:t>
            </w:r>
            <w:r w:rsidRPr="00CA3AEF">
              <w:rPr>
                <w:rFonts w:cs="Arial"/>
              </w:rPr>
              <w:br/>
              <w:t>o dofinansowanie bez rozpatrzenia, nie przysługuje protest w rozumieniu rozdziału 15 ustawy</w:t>
            </w:r>
            <w:r w:rsidR="00A41980" w:rsidRPr="00CA3AEF">
              <w:rPr>
                <w:rFonts w:cs="Arial"/>
              </w:rPr>
              <w:t xml:space="preserve"> wdrożeniowej</w:t>
            </w:r>
            <w:r w:rsidRPr="00CA3AEF">
              <w:rPr>
                <w:rFonts w:cs="Arial"/>
              </w:rPr>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Po uzupełnieniu/poprawie wniosku o dofinansowanie weryfikacja techniczna jest kontynuowana. </w:t>
            </w:r>
          </w:p>
          <w:p w:rsidR="00984533" w:rsidRPr="00CA3AEF" w:rsidRDefault="00984533" w:rsidP="00480411">
            <w:pPr>
              <w:autoSpaceDE w:val="0"/>
              <w:autoSpaceDN w:val="0"/>
              <w:adjustRightInd w:val="0"/>
              <w:spacing w:after="47" w:line="240" w:lineRule="auto"/>
              <w:jc w:val="both"/>
            </w:pPr>
            <w:r w:rsidRPr="00CA3AEF">
              <w:t xml:space="preserve">Niepoprawienie w terminie lub niepoprawienie wszystkich braków i omyłek lub wprowadzenie zmian, niewynikających z pisma i powodujących istotną modyfikację wniosku spowoduje pozostawienie wniosku bez rozpatrzenia </w:t>
            </w:r>
            <w:r w:rsidRPr="00CA3AEF">
              <w:br/>
              <w:t xml:space="preserve">i </w:t>
            </w:r>
            <w:r w:rsidRPr="00CA3AEF">
              <w:rPr>
                <w:rFonts w:cs="Arial"/>
              </w:rPr>
              <w:t>niedopuszczenie projektu do oceny lub dalszej oceny</w:t>
            </w:r>
            <w:r w:rsidRPr="00CA3AEF">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Wniosek o dofinansowanie może zostać wycofany na każdym etapie weryfikacji/oceny na pisemną prośbę wnioskodawcy. </w:t>
            </w:r>
          </w:p>
          <w:p w:rsidR="00984533" w:rsidRPr="00CA3AEF" w:rsidRDefault="00984533" w:rsidP="00480411">
            <w:pPr>
              <w:pStyle w:val="Default"/>
              <w:jc w:val="both"/>
              <w:rPr>
                <w:rFonts w:asciiTheme="minorHAnsi" w:hAnsiTheme="minorHAnsi" w:cs="Times New Roman"/>
                <w:sz w:val="22"/>
                <w:szCs w:val="22"/>
              </w:rPr>
            </w:pPr>
            <w:r w:rsidRPr="00CA3AEF">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CA3AEF">
              <w:rPr>
                <w:bCs/>
                <w:iCs/>
                <w:sz w:val="22"/>
                <w:szCs w:val="22"/>
              </w:rPr>
              <w:t>(skierowanych do KOP, wycofanych, pozostawionych bez rozpatrzenia)</w:t>
            </w:r>
            <w:r w:rsidRPr="00CA3AEF">
              <w:rPr>
                <w:rFonts w:asciiTheme="minorHAnsi" w:hAnsiTheme="minorHAnsi" w:cs="Times New Roman"/>
                <w:sz w:val="22"/>
                <w:szCs w:val="22"/>
              </w:rPr>
              <w:t xml:space="preserve">. </w:t>
            </w:r>
          </w:p>
          <w:p w:rsidR="00984533" w:rsidRPr="00CA3AEF" w:rsidRDefault="00984533" w:rsidP="00480411">
            <w:pPr>
              <w:spacing w:before="120" w:after="120" w:line="240" w:lineRule="auto"/>
              <w:jc w:val="both"/>
            </w:pPr>
            <w:r w:rsidRPr="00CA3AEF">
              <w:t>Informacje do Wnioskodawcy dotyczące poprawy/uzupełnienia wniosku/ informacje o</w:t>
            </w:r>
            <w:r w:rsidRPr="00CA3AEF">
              <w:rPr>
                <w:rFonts w:ascii="Calibri" w:hAnsi="Calibri"/>
                <w:bCs/>
                <w:iCs/>
              </w:rPr>
              <w:t xml:space="preserve"> zakończeniu weryfikacji technicznej wniosku i jej wyniku wraz </w:t>
            </w:r>
            <w:r w:rsidRPr="00CA3AEF">
              <w:rPr>
                <w:rFonts w:ascii="Calibri" w:hAnsi="Calibri"/>
                <w:bCs/>
                <w:iCs/>
              </w:rPr>
              <w:br/>
              <w:t>z uzasadnieniem,</w:t>
            </w:r>
            <w:r w:rsidRPr="00CA3AEF">
              <w:t xml:space="preserve"> doręczane są zgodnie z przepisami Kodeksu postępowania administracyjnego (KPA) o doręczaniu.</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05189C" w:rsidP="00480411">
            <w:pPr>
              <w:spacing w:before="120" w:after="120" w:line="240" w:lineRule="auto"/>
              <w:jc w:val="both"/>
              <w:rPr>
                <w:rFonts w:cs="Arial"/>
                <w:color w:val="000000"/>
              </w:rPr>
            </w:pPr>
            <w:r w:rsidRPr="0005189C">
              <w:rPr>
                <w:iCs/>
              </w:rPr>
              <w:t xml:space="preserve">Wykaz informacji, których należy udzielić ubiegając się o dofinansowanie projektu </w:t>
            </w:r>
            <w:r w:rsidR="00984533" w:rsidRPr="0005189C">
              <w:rPr>
                <w:rFonts w:cs="Arial"/>
              </w:rPr>
              <w:t xml:space="preserve">załącznik nr </w:t>
            </w:r>
            <w:r w:rsidR="00A84137" w:rsidRPr="0005189C">
              <w:rPr>
                <w:rFonts w:cs="Arial"/>
              </w:rPr>
              <w:t>5</w:t>
            </w:r>
            <w:r w:rsidR="00984533" w:rsidRPr="0005189C">
              <w:rPr>
                <w:rFonts w:cs="Arial"/>
              </w:rPr>
              <w:t xml:space="preserve"> </w:t>
            </w:r>
            <w:r w:rsidR="00984533" w:rsidRPr="0005189C">
              <w:t xml:space="preserve">do </w:t>
            </w:r>
            <w:r w:rsidR="00A84137" w:rsidRPr="0005189C">
              <w:t xml:space="preserve">uchwały </w:t>
            </w:r>
            <w:r w:rsidR="00A84137" w:rsidRPr="00CA3AEF">
              <w:t xml:space="preserve">przyjmującej </w:t>
            </w:r>
            <w:r w:rsidR="00984533" w:rsidRPr="00CA3AEF">
              <w:t>niniejsz</w:t>
            </w:r>
            <w:r w:rsidR="00A84137" w:rsidRPr="00CA3AEF">
              <w:t>y</w:t>
            </w:r>
            <w:r w:rsidR="00984533" w:rsidRPr="00CA3AEF">
              <w:t xml:space="preserve"> Regulamin i jest zamieszczony na stronie </w:t>
            </w:r>
            <w:hyperlink r:id="rId17" w:history="1">
              <w:r w:rsidR="00984533" w:rsidRPr="00CA3AEF">
                <w:rPr>
                  <w:rStyle w:val="Hipercze"/>
                </w:rPr>
                <w:t>www.rpo.dolnyslask.pl</w:t>
              </w:r>
            </w:hyperlink>
            <w:r w:rsidR="00984533" w:rsidRPr="00CA3AEF">
              <w:rPr>
                <w:rFonts w:cs="Arial"/>
                <w:color w:val="000000"/>
              </w:rPr>
              <w:t xml:space="preserve">. </w:t>
            </w:r>
          </w:p>
          <w:p w:rsidR="0040059D" w:rsidRPr="00CA3AEF" w:rsidRDefault="0040059D" w:rsidP="0040059D">
            <w:pPr>
              <w:autoSpaceDE w:val="0"/>
              <w:autoSpaceDN w:val="0"/>
              <w:adjustRightInd w:val="0"/>
              <w:spacing w:after="0" w:line="240" w:lineRule="auto"/>
              <w:jc w:val="both"/>
              <w:rPr>
                <w:rFonts w:cs="MS Sans Serif"/>
              </w:rPr>
            </w:pPr>
            <w:r w:rsidRPr="00CA3AEF">
              <w:rPr>
                <w:rFonts w:cs="MS Sans Serif"/>
              </w:rPr>
              <w:t xml:space="preserve">Na powyższej stronie zamieszczone są również wzory załączników do wniosku </w:t>
            </w:r>
            <w:r w:rsidRPr="00CA3AEF">
              <w:rPr>
                <w:rFonts w:cs="MS Sans Serif"/>
              </w:rPr>
              <w:br/>
              <w:t>o dofinansowanie.</w:t>
            </w:r>
          </w:p>
          <w:p w:rsidR="00984533" w:rsidRPr="00CA3AEF" w:rsidRDefault="00984533" w:rsidP="00480411">
            <w:pPr>
              <w:spacing w:before="120" w:after="120" w:line="240" w:lineRule="auto"/>
              <w:jc w:val="both"/>
            </w:pPr>
            <w:r w:rsidRPr="00CA3AEF">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umowy </w:t>
            </w:r>
            <w:r w:rsidRPr="00CA3AEF">
              <w:rPr>
                <w:rFonts w:asciiTheme="minorHAnsi" w:hAnsiTheme="minorHAnsi"/>
                <w:b/>
                <w:bCs/>
                <w:sz w:val="22"/>
                <w:szCs w:val="22"/>
              </w:rPr>
              <w:br/>
              <w:t xml:space="preserve">o dofinansowanie projektu: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o dofinansowanie projektu, która będzie zawierana </w:t>
            </w:r>
            <w:r w:rsidRPr="00CA3AEF">
              <w:rPr>
                <w:rFonts w:asciiTheme="minorHAnsi" w:hAnsiTheme="minorHAnsi"/>
                <w:sz w:val="22"/>
                <w:szCs w:val="22"/>
              </w:rPr>
              <w:br/>
              <w:t xml:space="preserve">z wnioskodawcami projektów wybranych do dofinansowania stanowi załącznik nr </w:t>
            </w:r>
            <w:r w:rsidR="00A84137" w:rsidRPr="00CA3AEF">
              <w:rPr>
                <w:rFonts w:asciiTheme="minorHAnsi" w:hAnsiTheme="minorHAnsi"/>
                <w:sz w:val="22"/>
                <w:szCs w:val="22"/>
              </w:rPr>
              <w:t>6/7</w:t>
            </w:r>
            <w:r w:rsidRPr="00CA3AEF">
              <w:rPr>
                <w:rFonts w:asciiTheme="minorHAnsi" w:hAnsiTheme="minorHAnsi"/>
                <w:sz w:val="22"/>
                <w:szCs w:val="22"/>
              </w:rPr>
              <w:t xml:space="preserve"> do </w:t>
            </w:r>
            <w:r w:rsidR="00A84137" w:rsidRPr="00CA3AEF">
              <w:rPr>
                <w:rFonts w:asciiTheme="minorHAnsi" w:hAnsiTheme="minorHAnsi"/>
                <w:sz w:val="22"/>
                <w:szCs w:val="22"/>
              </w:rPr>
              <w:t xml:space="preserve">uchwały przyjmującej </w:t>
            </w:r>
            <w:r w:rsidRPr="00CA3AEF">
              <w:rPr>
                <w:rFonts w:asciiTheme="minorHAnsi" w:hAnsiTheme="minorHAnsi"/>
                <w:sz w:val="22"/>
                <w:szCs w:val="22"/>
              </w:rPr>
              <w:t>niniejsz</w:t>
            </w:r>
            <w:r w:rsidR="00A84137" w:rsidRPr="00CA3AEF">
              <w:rPr>
                <w:rFonts w:asciiTheme="minorHAnsi" w:hAnsiTheme="minorHAnsi"/>
                <w:sz w:val="22"/>
                <w:szCs w:val="22"/>
              </w:rPr>
              <w:t>y</w:t>
            </w:r>
            <w:r w:rsidRPr="00CA3AEF">
              <w:rPr>
                <w:rFonts w:asciiTheme="minorHAnsi" w:hAnsiTheme="minorHAnsi"/>
                <w:sz w:val="22"/>
                <w:szCs w:val="22"/>
              </w:rPr>
              <w:t xml:space="preserve"> Regulaminu i jest zamieszczony na stronie </w:t>
            </w:r>
            <w:hyperlink r:id="rId18"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A84137" w:rsidRPr="00CA3AEF" w:rsidRDefault="00A84137" w:rsidP="00480411">
            <w:pPr>
              <w:pStyle w:val="Default"/>
              <w:jc w:val="both"/>
              <w:rPr>
                <w:rFonts w:asciiTheme="minorHAnsi" w:hAnsiTheme="minorHAns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zawiera wszystkie postanowienia wymagane przepisami prawa,</w:t>
            </w:r>
            <w:r w:rsidR="00A84137" w:rsidRPr="00CA3AEF">
              <w:rPr>
                <w:rFonts w:asciiTheme="minorHAnsi" w:hAnsiTheme="minorHAnsi"/>
                <w:sz w:val="22"/>
                <w:szCs w:val="22"/>
              </w:rPr>
              <w:t xml:space="preserve"> </w:t>
            </w:r>
            <w:r w:rsidRPr="00CA3AEF">
              <w:rPr>
                <w:rFonts w:asciiTheme="minorHAnsi" w:hAnsiTheme="minorHAnsi"/>
                <w:sz w:val="22"/>
                <w:szCs w:val="22"/>
              </w:rPr>
              <w:t xml:space="preserve">w tym wynikające z przepisów ustawy o finansach publicznych, określające elementy umowy o dofinansowanie. </w:t>
            </w:r>
          </w:p>
          <w:p w:rsidR="00984533" w:rsidRPr="00CA3AEF" w:rsidRDefault="00984533" w:rsidP="00FD6131">
            <w:pPr>
              <w:pStyle w:val="Default"/>
              <w:jc w:val="both"/>
            </w:pPr>
            <w:r w:rsidRPr="00CA3AEF">
              <w:rPr>
                <w:rFonts w:asciiTheme="minorHAnsi" w:hAnsiTheme="minorHAnsi"/>
                <w:sz w:val="22"/>
                <w:szCs w:val="22"/>
              </w:rPr>
              <w:t>Wzór umowy</w:t>
            </w:r>
            <w:r w:rsidR="000D3A04" w:rsidRPr="00CA3AEF">
              <w:rPr>
                <w:rFonts w:asciiTheme="minorHAnsi" w:hAnsiTheme="minorHAnsi"/>
                <w:sz w:val="22"/>
                <w:szCs w:val="22"/>
              </w:rPr>
              <w:t>/decyzji</w:t>
            </w:r>
            <w:r w:rsidRPr="00CA3AEF">
              <w:rPr>
                <w:rFonts w:asciiTheme="minorHAnsi" w:hAnsiTheme="minorHAnsi"/>
                <w:sz w:val="22"/>
                <w:szCs w:val="22"/>
              </w:rPr>
              <w:t xml:space="preserve"> uwzględnia prawa i obowiązki beneficjenta oraz właściwej </w:t>
            </w:r>
            <w:r w:rsidRPr="00CA3AEF">
              <w:rPr>
                <w:rFonts w:asciiTheme="minorHAnsi" w:hAnsiTheme="minorHAnsi"/>
                <w:sz w:val="22"/>
                <w:szCs w:val="22"/>
              </w:rPr>
              <w:lastRenderedPageBreak/>
              <w:t>instytucji udzielającej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bCs/>
                <w:sz w:val="22"/>
                <w:szCs w:val="22"/>
              </w:rPr>
              <w:t>Wyciąg z Kryteriów wyboru projektów</w:t>
            </w:r>
            <w:r w:rsidRPr="00CA3AEF">
              <w:rPr>
                <w:rFonts w:asciiTheme="minorHAnsi" w:hAnsiTheme="minorHAnsi"/>
                <w:sz w:val="22"/>
                <w:szCs w:val="22"/>
              </w:rPr>
              <w:t xml:space="preserve"> zatwierdzonych przez KM RPO WD 2014-2020 obowiązujących w niniejszym naborze stanowi załącznik nr </w:t>
            </w:r>
            <w:r w:rsidR="00AA219A" w:rsidRPr="00CA3AEF">
              <w:rPr>
                <w:rFonts w:asciiTheme="minorHAnsi" w:hAnsiTheme="minorHAnsi"/>
                <w:sz w:val="22"/>
                <w:szCs w:val="22"/>
              </w:rPr>
              <w:t xml:space="preserve">1 </w:t>
            </w:r>
            <w:r w:rsidRPr="00CA3AEF">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CA3AEF">
              <w:rPr>
                <w:bCs/>
                <w:i/>
                <w:iCs/>
                <w:sz w:val="22"/>
                <w:szCs w:val="22"/>
              </w:rPr>
              <w:t>„Kryteria wyboru projektów w ramach RPO WD 2014-2020”</w:t>
            </w:r>
            <w:r w:rsidRPr="00CA3AEF">
              <w:rPr>
                <w:bCs/>
                <w:iCs/>
                <w:sz w:val="22"/>
                <w:szCs w:val="22"/>
              </w:rPr>
              <w:t xml:space="preserve">, </w:t>
            </w:r>
            <w:r w:rsidRPr="00CA3AEF">
              <w:rPr>
                <w:iCs/>
                <w:sz w:val="22"/>
                <w:szCs w:val="22"/>
              </w:rPr>
              <w:t>zatwierdzone uchwałą nr</w:t>
            </w:r>
            <w:r w:rsidR="00DB5D60" w:rsidRPr="00CA3AEF">
              <w:rPr>
                <w:iCs/>
                <w:sz w:val="22"/>
                <w:szCs w:val="22"/>
              </w:rPr>
              <w:t xml:space="preserve"> </w:t>
            </w:r>
            <w:r w:rsidR="00673C73" w:rsidRPr="00CA3AEF">
              <w:rPr>
                <w:iCs/>
                <w:sz w:val="22"/>
                <w:szCs w:val="22"/>
              </w:rPr>
              <w:t>31</w:t>
            </w:r>
            <w:r w:rsidR="005779A2" w:rsidRPr="00CA3AEF">
              <w:rPr>
                <w:iCs/>
                <w:sz w:val="22"/>
                <w:szCs w:val="22"/>
              </w:rPr>
              <w:t>/16</w:t>
            </w:r>
            <w:r w:rsidRPr="00CA3AEF">
              <w:rPr>
                <w:iCs/>
                <w:sz w:val="22"/>
                <w:szCs w:val="22"/>
              </w:rPr>
              <w:t xml:space="preserve"> z dnia </w:t>
            </w:r>
            <w:r w:rsidR="00A216E3" w:rsidRPr="00CA3AEF">
              <w:rPr>
                <w:iCs/>
                <w:sz w:val="22"/>
                <w:szCs w:val="22"/>
              </w:rPr>
              <w:t>0</w:t>
            </w:r>
            <w:r w:rsidR="00673C73" w:rsidRPr="00CA3AEF">
              <w:rPr>
                <w:iCs/>
                <w:sz w:val="22"/>
                <w:szCs w:val="22"/>
              </w:rPr>
              <w:t>7</w:t>
            </w:r>
            <w:r w:rsidR="00D5162B" w:rsidRPr="00CA3AEF">
              <w:rPr>
                <w:iCs/>
                <w:sz w:val="22"/>
                <w:szCs w:val="22"/>
              </w:rPr>
              <w:t xml:space="preserve"> </w:t>
            </w:r>
            <w:r w:rsidR="00673C73" w:rsidRPr="00CA3AEF">
              <w:rPr>
                <w:iCs/>
                <w:sz w:val="22"/>
                <w:szCs w:val="22"/>
              </w:rPr>
              <w:t>kwietnia</w:t>
            </w:r>
            <w:r w:rsidR="00D5162B" w:rsidRPr="00CA3AEF">
              <w:rPr>
                <w:iCs/>
                <w:sz w:val="22"/>
                <w:szCs w:val="22"/>
              </w:rPr>
              <w:t xml:space="preserve"> </w:t>
            </w:r>
            <w:r w:rsidR="005779A2" w:rsidRPr="00CA3AEF">
              <w:rPr>
                <w:iCs/>
                <w:sz w:val="22"/>
                <w:szCs w:val="22"/>
              </w:rPr>
              <w:t>2016</w:t>
            </w:r>
            <w:r w:rsidR="009455A4" w:rsidRPr="00CA3AEF">
              <w:rPr>
                <w:iCs/>
                <w:sz w:val="22"/>
                <w:szCs w:val="22"/>
              </w:rPr>
              <w:t xml:space="preserve"> r. </w:t>
            </w:r>
            <w:r w:rsidRPr="00CA3AEF">
              <w:rPr>
                <w:iCs/>
                <w:sz w:val="22"/>
                <w:szCs w:val="22"/>
              </w:rPr>
              <w:t xml:space="preserve">przez Komitet Monitorujący Regionalnego Programu Operacyjnego Województwa Dolnośląskiego </w:t>
            </w:r>
            <w:r w:rsidRPr="00CA3AEF">
              <w:rPr>
                <w:rFonts w:asciiTheme="minorHAnsi" w:hAnsiTheme="minorHAnsi"/>
                <w:sz w:val="22"/>
                <w:szCs w:val="22"/>
              </w:rPr>
              <w:t xml:space="preserve"> są zamieszczone na stronie </w:t>
            </w:r>
            <w:hyperlink r:id="rId19"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235FAB" w:rsidRDefault="00235FAB" w:rsidP="00235FAB">
            <w:pPr>
              <w:pStyle w:val="Default"/>
              <w:jc w:val="both"/>
              <w:rPr>
                <w:rFonts w:asciiTheme="minorHAnsi" w:hAnsiTheme="minorHAnsi"/>
                <w:b/>
                <w:sz w:val="22"/>
                <w:szCs w:val="22"/>
                <w:highlight w:val="yellow"/>
              </w:rPr>
            </w:pPr>
          </w:p>
          <w:p w:rsidR="00235FAB" w:rsidRDefault="00235FAB" w:rsidP="00235FAB">
            <w:pPr>
              <w:pStyle w:val="Default"/>
              <w:jc w:val="both"/>
              <w:rPr>
                <w:rFonts w:cs="Arial"/>
                <w:b/>
                <w:bCs/>
              </w:rPr>
            </w:pPr>
            <w:r w:rsidRPr="006013E7">
              <w:rPr>
                <w:rFonts w:asciiTheme="minorHAnsi" w:hAnsiTheme="minorHAnsi"/>
                <w:b/>
                <w:sz w:val="22"/>
                <w:szCs w:val="22"/>
                <w:u w:val="single"/>
              </w:rPr>
              <w:t xml:space="preserve">Dot. kryterium „Zgodność z rejestrem zabytków” </w:t>
            </w:r>
            <w:r w:rsidRPr="006013E7">
              <w:rPr>
                <w:rFonts w:asciiTheme="minorHAnsi" w:hAnsiTheme="minorHAnsi"/>
                <w:sz w:val="22"/>
                <w:szCs w:val="22"/>
              </w:rPr>
              <w:t xml:space="preserve">– </w:t>
            </w:r>
            <w:r w:rsidR="006013E7" w:rsidRPr="00B445B8">
              <w:rPr>
                <w:rFonts w:eastAsia="Times New Roman" w:cs="Arial"/>
                <w:bCs/>
                <w:sz w:val="22"/>
                <w:szCs w:val="22"/>
              </w:rPr>
              <w:t>kryt</w:t>
            </w:r>
            <w:r w:rsidR="006013E7">
              <w:rPr>
                <w:rFonts w:eastAsia="Times New Roman" w:cs="Arial"/>
                <w:bCs/>
                <w:sz w:val="22"/>
                <w:szCs w:val="22"/>
              </w:rPr>
              <w:t>erium weryfikowane na podstawie</w:t>
            </w:r>
            <w:r w:rsidR="006013E7" w:rsidRPr="00B445B8">
              <w:rPr>
                <w:rFonts w:eastAsia="Times New Roman" w:cs="Arial"/>
                <w:bCs/>
                <w:sz w:val="22"/>
                <w:szCs w:val="22"/>
              </w:rPr>
              <w:t xml:space="preserve"> </w:t>
            </w:r>
            <w:r w:rsidRPr="006013E7">
              <w:rPr>
                <w:rFonts w:asciiTheme="minorHAnsi" w:hAnsiTheme="minorHAnsi"/>
                <w:sz w:val="22"/>
                <w:szCs w:val="22"/>
              </w:rPr>
              <w:t>wypis</w:t>
            </w:r>
            <w:r w:rsidR="006013E7">
              <w:rPr>
                <w:rFonts w:asciiTheme="minorHAnsi" w:hAnsiTheme="minorHAnsi"/>
                <w:sz w:val="22"/>
                <w:szCs w:val="22"/>
              </w:rPr>
              <w:t>u</w:t>
            </w:r>
            <w:r w:rsidRPr="006013E7">
              <w:rPr>
                <w:rFonts w:asciiTheme="minorHAnsi" w:hAnsiTheme="minorHAnsi"/>
                <w:sz w:val="22"/>
                <w:szCs w:val="22"/>
              </w:rPr>
              <w:t xml:space="preserve"> z rejestru z zaznaczeniem, którego obiektu z rejestru projekt dotyczy.</w:t>
            </w:r>
          </w:p>
          <w:p w:rsidR="00E734C3" w:rsidRDefault="00E734C3" w:rsidP="00673C73">
            <w:pPr>
              <w:pStyle w:val="Default"/>
              <w:jc w:val="both"/>
              <w:rPr>
                <w:rFonts w:asciiTheme="minorHAnsi" w:hAnsiTheme="minorHAnsi"/>
                <w:sz w:val="22"/>
                <w:szCs w:val="22"/>
              </w:rPr>
            </w:pPr>
          </w:p>
          <w:p w:rsidR="00E734C3" w:rsidRPr="00B445B8" w:rsidRDefault="00E734C3" w:rsidP="00E734C3">
            <w:pPr>
              <w:pStyle w:val="Default"/>
              <w:jc w:val="both"/>
              <w:rPr>
                <w:rFonts w:asciiTheme="minorHAnsi" w:hAnsiTheme="minorHAnsi"/>
                <w:sz w:val="22"/>
                <w:szCs w:val="22"/>
              </w:rPr>
            </w:pPr>
            <w:r w:rsidRPr="00B445B8">
              <w:rPr>
                <w:rFonts w:eastAsia="Times New Roman" w:cs="Arial"/>
                <w:b/>
                <w:bCs/>
                <w:color w:val="auto"/>
                <w:sz w:val="22"/>
                <w:szCs w:val="22"/>
                <w:u w:val="single"/>
              </w:rPr>
              <w:t>Dot. kryterium „Lokalizacja obiektu</w:t>
            </w:r>
            <w:r w:rsidRPr="00710091">
              <w:rPr>
                <w:rFonts w:eastAsia="Times New Roman" w:cs="Arial"/>
                <w:b/>
                <w:bCs/>
                <w:color w:val="auto"/>
                <w:sz w:val="22"/>
                <w:szCs w:val="22"/>
              </w:rPr>
              <w:t xml:space="preserve"> -</w:t>
            </w:r>
            <w:r w:rsidRPr="00B445B8">
              <w:rPr>
                <w:rFonts w:eastAsia="Times New Roman" w:cs="Arial"/>
                <w:bCs/>
                <w:color w:val="auto"/>
                <w:sz w:val="22"/>
                <w:szCs w:val="22"/>
              </w:rPr>
              <w:t xml:space="preserve"> </w:t>
            </w:r>
            <w:r w:rsidRPr="00B445B8">
              <w:rPr>
                <w:rFonts w:eastAsia="Times New Roman" w:cs="Arial"/>
                <w:bCs/>
                <w:sz w:val="22"/>
                <w:szCs w:val="22"/>
              </w:rPr>
              <w:t xml:space="preserve">kryterium weryfikowane na podstawie: </w:t>
            </w:r>
            <w:r w:rsidRPr="00B445B8">
              <w:rPr>
                <w:rFonts w:asciiTheme="minorHAnsi" w:hAnsiTheme="minorHAnsi" w:cs="Arial"/>
                <w:bCs/>
                <w:sz w:val="22"/>
                <w:szCs w:val="22"/>
              </w:rPr>
              <w:t xml:space="preserve">Uchwały nr 3893/III/10 Zarządu Województwa Dolnośląskiego z dnia 19 stycznia 2010 r. w sprawie przyjęcia listy szlaków turystycznych o znaczeniu regionalnym dla Województwa Dolnośląskiego z </w:t>
            </w:r>
            <w:proofErr w:type="spellStart"/>
            <w:r w:rsidRPr="00B445B8">
              <w:rPr>
                <w:rFonts w:asciiTheme="minorHAnsi" w:hAnsiTheme="minorHAnsi" w:cs="Arial"/>
                <w:bCs/>
                <w:sz w:val="22"/>
                <w:szCs w:val="22"/>
              </w:rPr>
              <w:t>późn</w:t>
            </w:r>
            <w:proofErr w:type="spellEnd"/>
            <w:r w:rsidRPr="00B445B8">
              <w:rPr>
                <w:rFonts w:asciiTheme="minorHAnsi" w:hAnsiTheme="minorHAnsi" w:cs="Arial"/>
                <w:bCs/>
                <w:sz w:val="22"/>
                <w:szCs w:val="22"/>
              </w:rPr>
              <w:t xml:space="preserve">. zm. </w:t>
            </w:r>
          </w:p>
          <w:p w:rsidR="00E734C3" w:rsidRDefault="00E734C3" w:rsidP="00E734C3">
            <w:pPr>
              <w:pStyle w:val="Default"/>
              <w:jc w:val="both"/>
              <w:rPr>
                <w:rFonts w:eastAsia="Times New Roman" w:cs="Arial"/>
                <w:b/>
                <w:bCs/>
                <w:color w:val="auto"/>
                <w:sz w:val="22"/>
                <w:szCs w:val="22"/>
                <w:u w:val="single"/>
              </w:rPr>
            </w:pPr>
          </w:p>
          <w:p w:rsidR="00E734C3" w:rsidRPr="00710091" w:rsidRDefault="00E734C3" w:rsidP="00E734C3">
            <w:pPr>
              <w:pStyle w:val="Default"/>
              <w:jc w:val="both"/>
              <w:rPr>
                <w:rFonts w:eastAsia="Times New Roman" w:cs="Arial"/>
                <w:bCs/>
                <w:sz w:val="22"/>
                <w:szCs w:val="22"/>
              </w:rPr>
            </w:pPr>
            <w:r w:rsidRPr="00710091">
              <w:rPr>
                <w:rFonts w:eastAsia="Times New Roman" w:cs="Arial"/>
                <w:b/>
                <w:bCs/>
                <w:color w:val="auto"/>
                <w:sz w:val="22"/>
                <w:szCs w:val="22"/>
                <w:u w:val="single"/>
              </w:rPr>
              <w:t>Dot. kryterium</w:t>
            </w:r>
            <w:r w:rsidRPr="00710091">
              <w:rPr>
                <w:rFonts w:eastAsia="Times New Roman" w:cs="Arial"/>
                <w:b/>
                <w:bCs/>
                <w:color w:val="auto"/>
                <w:sz w:val="22"/>
                <w:szCs w:val="22"/>
              </w:rPr>
              <w:t xml:space="preserve"> „</w:t>
            </w:r>
            <w:r w:rsidRPr="00710091">
              <w:rPr>
                <w:rFonts w:eastAsia="Times New Roman" w:cs="Arial"/>
                <w:b/>
                <w:bCs/>
                <w:sz w:val="22"/>
                <w:szCs w:val="22"/>
              </w:rPr>
              <w:t xml:space="preserve">Zgodność z </w:t>
            </w:r>
            <w:r w:rsidRPr="00710091">
              <w:rPr>
                <w:rFonts w:cs="Arial"/>
                <w:b/>
                <w:sz w:val="22"/>
                <w:szCs w:val="22"/>
              </w:rPr>
              <w:t>Planem zagospodarowania przestrzennego województwa dolnośląskiego” -</w:t>
            </w:r>
            <w:r w:rsidRPr="00710091">
              <w:rPr>
                <w:rFonts w:eastAsia="Times New Roman" w:cs="Arial"/>
                <w:bCs/>
                <w:sz w:val="22"/>
                <w:szCs w:val="22"/>
              </w:rPr>
              <w:t xml:space="preserve"> kryterium weryfikowane na podstawie: </w:t>
            </w:r>
            <w:r w:rsidRPr="00710091">
              <w:rPr>
                <w:rFonts w:asciiTheme="minorHAnsi" w:hAnsiTheme="minorHAnsi"/>
                <w:sz w:val="22"/>
                <w:szCs w:val="22"/>
              </w:rPr>
              <w:t xml:space="preserve">Wyciągu z Planu Zagospodarowania Przestrzennego </w:t>
            </w:r>
            <w:r w:rsidRPr="00710091">
              <w:rPr>
                <w:rFonts w:asciiTheme="minorHAnsi" w:hAnsiTheme="minorHAnsi" w:cs="Arial"/>
                <w:sz w:val="22"/>
                <w:szCs w:val="22"/>
              </w:rPr>
              <w:t>Województwa Dolnośląskiego</w:t>
            </w:r>
            <w:r w:rsidRPr="00710091">
              <w:rPr>
                <w:rFonts w:asciiTheme="minorHAnsi" w:hAnsiTheme="minorHAnsi" w:cs="Arial"/>
                <w:b/>
                <w:sz w:val="22"/>
                <w:szCs w:val="22"/>
              </w:rPr>
              <w:t xml:space="preserve">. </w:t>
            </w:r>
            <w:r w:rsidRPr="00710091">
              <w:rPr>
                <w:rStyle w:val="Pogrubienie"/>
                <w:rFonts w:asciiTheme="minorHAnsi" w:hAnsiTheme="minorHAnsi" w:cs="Arial"/>
                <w:b w:val="0"/>
                <w:sz w:val="22"/>
                <w:szCs w:val="22"/>
              </w:rPr>
              <w:t>Perspektywa 2020</w:t>
            </w:r>
            <w:r w:rsidRPr="00710091">
              <w:rPr>
                <w:rFonts w:asciiTheme="minorHAnsi" w:hAnsiTheme="minorHAnsi" w:cs="Arial"/>
                <w:sz w:val="22"/>
                <w:szCs w:val="22"/>
              </w:rPr>
              <w:t> (Uchwała Nr XLVIII/1622/2014 Sejmiku Województwa Dolnośląskiego z dnia </w:t>
            </w:r>
            <w:r w:rsidRPr="00710091">
              <w:rPr>
                <w:rStyle w:val="Pogrubienie"/>
                <w:rFonts w:asciiTheme="minorHAnsi" w:hAnsiTheme="minorHAnsi" w:cs="Arial"/>
                <w:b w:val="0"/>
                <w:sz w:val="22"/>
                <w:szCs w:val="22"/>
              </w:rPr>
              <w:t>27 marca 2014 r.</w:t>
            </w:r>
            <w:r w:rsidRPr="00710091">
              <w:rPr>
                <w:rFonts w:asciiTheme="minorHAnsi" w:hAnsiTheme="minorHAnsi" w:cs="Arial"/>
                <w:sz w:val="22"/>
                <w:szCs w:val="22"/>
              </w:rPr>
              <w:t>)  – obiekty zabytkowe</w:t>
            </w:r>
            <w:r>
              <w:rPr>
                <w:rFonts w:asciiTheme="minorHAnsi" w:hAnsiTheme="minorHAnsi" w:cs="Arial"/>
                <w:sz w:val="22"/>
                <w:szCs w:val="22"/>
              </w:rPr>
              <w:t xml:space="preserve">, umieszczonego na stronie </w:t>
            </w:r>
            <w:hyperlink r:id="rId20" w:history="1">
              <w:r w:rsidRPr="0035103A">
                <w:rPr>
                  <w:rStyle w:val="Hipercze"/>
                  <w:rFonts w:asciiTheme="minorHAnsi" w:hAnsiTheme="minorHAnsi" w:cs="Arial"/>
                  <w:sz w:val="22"/>
                  <w:szCs w:val="22"/>
                </w:rPr>
                <w:t>www.rpo.dolnyslask.pl</w:t>
              </w:r>
            </w:hyperlink>
            <w:r>
              <w:rPr>
                <w:rFonts w:asciiTheme="minorHAnsi" w:hAnsiTheme="minorHAnsi" w:cs="Arial"/>
                <w:sz w:val="22"/>
                <w:szCs w:val="22"/>
              </w:rPr>
              <w:t xml:space="preserve"> wraz z dokumentacją konkursową</w:t>
            </w:r>
            <w:r w:rsidRPr="00710091">
              <w:rPr>
                <w:rFonts w:asciiTheme="minorHAnsi" w:hAnsiTheme="minorHAnsi" w:cs="Arial"/>
                <w:sz w:val="22"/>
                <w:szCs w:val="22"/>
              </w:rPr>
              <w:t>.</w:t>
            </w:r>
          </w:p>
          <w:p w:rsidR="00E734C3" w:rsidRPr="00CA3AEF" w:rsidRDefault="00E734C3" w:rsidP="00673C73">
            <w:pPr>
              <w:pStyle w:val="Default"/>
              <w:jc w:val="both"/>
              <w:rPr>
                <w:rFonts w:asciiTheme="minorHAnsi" w:hAnsiTheme="minorHAnsi"/>
                <w:sz w:val="22"/>
                <w:szCs w:val="22"/>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984533" w:rsidRPr="00CA3AEF" w:rsidRDefault="00984533" w:rsidP="00480411">
            <w:pPr>
              <w:spacing w:before="240" w:line="240" w:lineRule="auto"/>
              <w:jc w:val="both"/>
            </w:pPr>
            <w:r w:rsidRPr="00CA3AEF">
              <w:t xml:space="preserve">Studium wykonalności nie stanowi osobnego załącznika do wniosku </w:t>
            </w:r>
            <w:r w:rsidRPr="00CA3AEF">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A3AEF">
              <w:rPr>
                <w:i/>
              </w:rPr>
              <w:t>Studium wykonalności</w:t>
            </w:r>
            <w:r w:rsidRPr="00CA3AEF">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CA3AEF" w:rsidRDefault="00984533" w:rsidP="00480411">
            <w:pPr>
              <w:spacing w:before="240" w:line="240" w:lineRule="auto"/>
              <w:jc w:val="both"/>
            </w:pPr>
            <w:r w:rsidRPr="00CA3AEF">
              <w:t xml:space="preserve">Na stronie internetowej </w:t>
            </w:r>
            <w:hyperlink r:id="rId21" w:history="1">
              <w:r w:rsidRPr="00CA3AEF">
                <w:rPr>
                  <w:rStyle w:val="Hipercze"/>
                </w:rPr>
                <w:t>www.rpo.dolnyslask.pl</w:t>
              </w:r>
            </w:hyperlink>
            <w:r w:rsidRPr="00CA3AEF">
              <w:t xml:space="preserve"> w zakładce: </w:t>
            </w:r>
            <w:r w:rsidRPr="00CA3AEF">
              <w:rPr>
                <w:i/>
              </w:rPr>
              <w:t xml:space="preserve">RPO 2014 2020 &gt; Dowiedz się więcej o programie &gt; Pobierz poradniki i publikacje </w:t>
            </w:r>
            <w:r w:rsidRPr="00CA3AEF">
              <w:t xml:space="preserve">zamieszczono opracowanie pn. „Analiza finansowa na potrzeby aplikacji o środki Europejskiego Funduszu Rozwoju Regionalnego w ramach RPO WD 2014 – 2020 - przykłady” zawierające przykładowe tabele (puste) oraz fikcyjną analizę finansową dla </w:t>
            </w:r>
            <w:r w:rsidRPr="00CA3AEF">
              <w:br/>
              <w:t xml:space="preserve">4 różnych rodzajów projektów. W zakładce: </w:t>
            </w:r>
            <w:r w:rsidRPr="00CA3AEF">
              <w:rPr>
                <w:i/>
              </w:rPr>
              <w:t>RPO 2014 2020</w:t>
            </w:r>
            <w:r w:rsidRPr="00CA3AEF">
              <w:t xml:space="preserve"> &gt; </w:t>
            </w:r>
            <w:r w:rsidRPr="00CA3AEF">
              <w:rPr>
                <w:i/>
              </w:rPr>
              <w:t xml:space="preserve">Skorzystaj </w:t>
            </w:r>
            <w:r w:rsidRPr="00CA3AEF">
              <w:rPr>
                <w:i/>
              </w:rPr>
              <w:br/>
              <w:t xml:space="preserve">z programu &gt; Jak zacząć korzystać z programu &gt; Wypełnienie wniosku </w:t>
            </w:r>
            <w:r w:rsidRPr="00CA3AEF">
              <w:t xml:space="preserve">zamieszczono ramową strukturę studium wykonalności na potrzeby aplikacji </w:t>
            </w:r>
            <w:r w:rsidRPr="00CA3AEF">
              <w:br/>
              <w:t xml:space="preserve">o środki Europejskiego Funduszu Rozwoju Regionalnego w ramach RPO WD 2014 </w:t>
            </w:r>
            <w:r w:rsidRPr="00CA3AEF">
              <w:lastRenderedPageBreak/>
              <w:t>– 2020 (listy pól, które wnioskodawcy będą wypełniać w generatorze wniosków w części dotyczącej studium wykonalności).</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CA2621" w:rsidP="00480411">
            <w:pPr>
              <w:spacing w:before="240" w:line="240" w:lineRule="auto"/>
              <w:jc w:val="both"/>
              <w:rPr>
                <w:rFonts w:cs="Calibri"/>
              </w:rPr>
            </w:pPr>
            <w:hyperlink r:id="rId22"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Wnioskodawca jest zobowiązany do wyboru i określenia wartości docelowej we wniosku o dofinansowanie adekwatnych wskaźników produktu/</w:t>
            </w:r>
            <w:r w:rsidR="00020C5D" w:rsidRPr="00CA3AEF">
              <w:t>rezultatu.</w:t>
            </w:r>
            <w:r w:rsidRPr="00CA3AEF">
              <w:t xml:space="preserve"> Zestawienie wskaźników stanowi załącznik nr </w:t>
            </w:r>
            <w:r w:rsidR="00AA219A" w:rsidRPr="00CA3AEF">
              <w:t xml:space="preserve">2 </w:t>
            </w:r>
            <w:r w:rsidRPr="00CA3AEF">
              <w:t>Lista wskaźników na poziomie projektu dla pod</w:t>
            </w:r>
            <w:r w:rsidR="009E0C22" w:rsidRPr="00CA3AEF">
              <w:t xml:space="preserve">działania </w:t>
            </w:r>
            <w:r w:rsidR="006A2DD1" w:rsidRPr="00CA3AEF">
              <w:t>4.</w:t>
            </w:r>
            <w:r w:rsidR="00533B9A">
              <w:t>3</w:t>
            </w:r>
            <w:r w:rsidR="00A61522" w:rsidRPr="00CA3AEF">
              <w:t xml:space="preserve">.1 </w:t>
            </w:r>
            <w:r w:rsidR="00533B9A">
              <w:rPr>
                <w:rFonts w:cs="Arial"/>
                <w:bCs/>
              </w:rPr>
              <w:t>Dziedzictwo kulturowe</w:t>
            </w:r>
            <w:r w:rsidR="00CA3AEF">
              <w:rPr>
                <w:rFonts w:cs="Arial"/>
                <w:bCs/>
              </w:rPr>
              <w:t xml:space="preserve"> – konkursy horyzontalne – nabór na OSI</w:t>
            </w:r>
            <w:r w:rsidR="00AC0C48" w:rsidRPr="00CA3AEF">
              <w:rPr>
                <w:rFonts w:cs="Arial"/>
              </w:rPr>
              <w:t xml:space="preserve">, </w:t>
            </w:r>
            <w:r w:rsidRPr="00CA3AEF">
              <w:t xml:space="preserve">do niniejszego Regulaminu.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22.</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after="0" w:line="240" w:lineRule="auto"/>
              <w:jc w:val="both"/>
              <w:rPr>
                <w:rFonts w:ascii="Calibri" w:hAnsi="Calibri"/>
              </w:rPr>
            </w:pPr>
            <w:r w:rsidRPr="00CA3AEF">
              <w:rPr>
                <w:rFonts w:ascii="Calibri" w:hAnsi="Calibri"/>
              </w:rPr>
              <w:t xml:space="preserve">IZ RPO WD, po zakończeniu każdego etapu konkursu (poza oceną wpływu projektów na realizację Strategii Rozwoju Województwa Dolnośląskiego 2020) </w:t>
            </w:r>
            <w:r w:rsidRPr="00CA3AEF">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CA3AEF" w:rsidRDefault="00984533" w:rsidP="00480411">
            <w:pPr>
              <w:spacing w:after="0" w:line="240" w:lineRule="auto"/>
              <w:jc w:val="both"/>
              <w:rPr>
                <w:rFonts w:ascii="Calibri" w:hAnsi="Calibri"/>
              </w:rPr>
            </w:pPr>
            <w:r w:rsidRPr="00CA3AEF">
              <w:rPr>
                <w:rFonts w:ascii="Calibri" w:hAnsi="Calibri"/>
              </w:rPr>
              <w:t>Po poszczególnych etapach oceny formalnej i</w:t>
            </w:r>
            <w:r w:rsidRPr="00CA3AEF" w:rsidDel="00D37D97">
              <w:t xml:space="preserve"> </w:t>
            </w:r>
            <w:r w:rsidRPr="00CA3AEF">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CA3AEF">
              <w:t xml:space="preserve"> </w:t>
            </w:r>
            <w:r w:rsidRPr="00CA3AEF">
              <w:rPr>
                <w:rFonts w:ascii="Calibri" w:hAnsi="Calibri"/>
              </w:rPr>
              <w:t>ustawy wdrożeniowej.</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D63A11" w:rsidRPr="00CA3AEF" w:rsidRDefault="009C7DD5" w:rsidP="00D63A11">
            <w:pPr>
              <w:spacing w:after="0" w:line="240" w:lineRule="auto"/>
              <w:jc w:val="both"/>
              <w:rPr>
                <w:rFonts w:ascii="Calibri" w:hAnsi="Calibri"/>
              </w:rPr>
            </w:pPr>
            <w:r w:rsidRPr="00CA3AEF">
              <w:rPr>
                <w:rFonts w:ascii="Calibri" w:hAnsi="Calibri"/>
              </w:rPr>
              <w:t xml:space="preserve">Zgodnie z art. 53 ust. 2 ustawy wdrożeniowej protest </w:t>
            </w:r>
            <w:r w:rsidR="00984533" w:rsidRPr="00CA3AEF">
              <w:rPr>
                <w:rFonts w:ascii="Calibri" w:hAnsi="Calibri"/>
              </w:rPr>
              <w:t xml:space="preserve">przysługuje Wnioskodawcy od negatywnej oceny  projektu </w:t>
            </w:r>
            <w:r w:rsidR="00D63A11" w:rsidRPr="00CA3AEF">
              <w:rPr>
                <w:rFonts w:ascii="Calibri" w:hAnsi="Calibri"/>
              </w:rPr>
              <w:t>w zakresie spełnienia przez projekt kryteriów wyboru projektów, w ramach której:</w:t>
            </w:r>
          </w:p>
          <w:p w:rsidR="00D63A11" w:rsidRPr="00CA3AEF" w:rsidRDefault="00D63A11" w:rsidP="00D63A11">
            <w:pPr>
              <w:spacing w:after="0" w:line="240" w:lineRule="auto"/>
              <w:jc w:val="both"/>
              <w:rPr>
                <w:rFonts w:ascii="Calibri" w:hAnsi="Calibri"/>
              </w:rPr>
            </w:pPr>
            <w:r w:rsidRPr="00CA3AEF">
              <w:rPr>
                <w:rFonts w:ascii="Calibri" w:hAnsi="Calibri"/>
              </w:rPr>
              <w:t>1.</w:t>
            </w:r>
            <w:r w:rsidRPr="00CA3AEF">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CA3AEF" w:rsidRDefault="00D63A11" w:rsidP="00D63A11">
            <w:pPr>
              <w:spacing w:after="0" w:line="240" w:lineRule="auto"/>
              <w:jc w:val="both"/>
              <w:rPr>
                <w:rFonts w:ascii="Calibri" w:hAnsi="Calibri"/>
              </w:rPr>
            </w:pPr>
            <w:r w:rsidRPr="00CA3AEF">
              <w:rPr>
                <w:rFonts w:ascii="Calibri" w:hAnsi="Calibri"/>
              </w:rPr>
              <w:t>lub</w:t>
            </w:r>
          </w:p>
          <w:p w:rsidR="00D63A11" w:rsidRPr="00CA3AEF" w:rsidRDefault="00D63A11" w:rsidP="00D63A11">
            <w:pPr>
              <w:spacing w:after="0" w:line="240" w:lineRule="auto"/>
              <w:jc w:val="both"/>
              <w:rPr>
                <w:rFonts w:ascii="Calibri" w:hAnsi="Calibri"/>
              </w:rPr>
            </w:pPr>
            <w:r w:rsidRPr="00CA3AEF">
              <w:rPr>
                <w:rFonts w:ascii="Calibri" w:hAnsi="Calibri"/>
              </w:rPr>
              <w:lastRenderedPageBreak/>
              <w:t>2.</w:t>
            </w:r>
            <w:r w:rsidRPr="00CA3AEF">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CA3AEF" w:rsidRDefault="00984533" w:rsidP="00D63A11">
            <w:pPr>
              <w:spacing w:after="0" w:line="240" w:lineRule="auto"/>
              <w:jc w:val="both"/>
              <w:rPr>
                <w:rFonts w:ascii="Calibri" w:hAnsi="Calibri"/>
              </w:rPr>
            </w:pPr>
            <w:r w:rsidRPr="00CA3AEF">
              <w:rPr>
                <w:rFonts w:ascii="Calibri" w:hAnsi="Calibri"/>
              </w:rPr>
              <w:t xml:space="preserve">Termin </w:t>
            </w:r>
            <w:r w:rsidR="00B52DF1" w:rsidRPr="00CA3AEF">
              <w:rPr>
                <w:rFonts w:ascii="Calibri" w:hAnsi="Calibri"/>
              </w:rPr>
              <w:t xml:space="preserve">14 dni </w:t>
            </w:r>
            <w:r w:rsidRPr="00CA3AEF">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CA3AEF" w:rsidRDefault="00984533" w:rsidP="00480411">
            <w:pPr>
              <w:widowControl w:val="0"/>
              <w:autoSpaceDE w:val="0"/>
              <w:autoSpaceDN w:val="0"/>
              <w:adjustRightInd w:val="0"/>
              <w:spacing w:after="0" w:line="240" w:lineRule="auto"/>
              <w:jc w:val="both"/>
              <w:rPr>
                <w:rFonts w:ascii="Calibri" w:hAnsi="Calibri"/>
              </w:rPr>
            </w:pP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Protest jest wnoszony przez Wnioskodawcę w formie pisemnej, bezpośrednio do IZ RPO WD. Zgodnie z art. 54 ust. 2 ustawy wdrożeniowej, </w:t>
            </w:r>
            <w:r w:rsidRPr="00CA3AEF">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CA3AEF">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tabs>
                <w:tab w:val="num" w:pos="0"/>
              </w:tabs>
              <w:spacing w:after="0" w:line="240" w:lineRule="auto"/>
              <w:jc w:val="both"/>
              <w:rPr>
                <w:rFonts w:ascii="Calibri" w:hAnsi="Calibri" w:cs="Arial"/>
              </w:rPr>
            </w:pPr>
            <w:r w:rsidRPr="00CA3AEF">
              <w:rPr>
                <w:rFonts w:ascii="Calibri" w:hAnsi="Calibri" w:cs="Arial"/>
              </w:rPr>
              <w:t xml:space="preserve">IZ RPO WD rozpatruje protest – weryfikując prawidłowość oceny projektu </w:t>
            </w:r>
            <w:r w:rsidRPr="00CA3AEF">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spacing w:after="0" w:line="240" w:lineRule="auto"/>
              <w:jc w:val="both"/>
              <w:rPr>
                <w:rFonts w:ascii="Calibri" w:hAnsi="Calibri"/>
              </w:rPr>
            </w:pPr>
            <w:r w:rsidRPr="00CA3AEF">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CA3AEF" w:rsidRDefault="00984533" w:rsidP="00480411">
            <w:pPr>
              <w:spacing w:after="0" w:line="240" w:lineRule="auto"/>
              <w:jc w:val="both"/>
              <w:rPr>
                <w:rFonts w:ascii="Calibri" w:hAnsi="Calibri"/>
              </w:rPr>
            </w:pPr>
            <w:r w:rsidRPr="00CA3AEF">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CA3AEF" w:rsidRDefault="00984533" w:rsidP="00480411">
            <w:pPr>
              <w:tabs>
                <w:tab w:val="num" w:pos="0"/>
              </w:tabs>
              <w:spacing w:after="0" w:line="240" w:lineRule="auto"/>
              <w:jc w:val="both"/>
              <w:rPr>
                <w:rFonts w:ascii="Calibri" w:hAnsi="Calibri" w:cs="Arial"/>
                <w:iCs/>
              </w:rPr>
            </w:pPr>
            <w:r w:rsidRPr="00CA3AEF">
              <w:rPr>
                <w:rFonts w:ascii="Calibri" w:hAnsi="Calibri" w:cs="Arial"/>
                <w:iCs/>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Nie podlega rozpatrzeniu przez IZ RPO WD protest, jeżeli mimo prawidłowego pouczenia ww. środek odwoławczy został wniesiony przez Wnioskodawcę do IZ RPO WD:</w:t>
            </w:r>
          </w:p>
          <w:p w:rsidR="00984533" w:rsidRPr="00CA3AEF" w:rsidRDefault="00984533" w:rsidP="00480411">
            <w:pPr>
              <w:spacing w:after="0" w:line="240" w:lineRule="auto"/>
              <w:jc w:val="both"/>
              <w:rPr>
                <w:rFonts w:ascii="Calibri" w:hAnsi="Calibri"/>
              </w:rPr>
            </w:pPr>
            <w:r w:rsidRPr="00CA3AEF">
              <w:rPr>
                <w:rFonts w:ascii="Calibri" w:hAnsi="Calibri"/>
              </w:rPr>
              <w:t xml:space="preserve">- po terminie, </w:t>
            </w:r>
          </w:p>
          <w:p w:rsidR="00984533" w:rsidRPr="00CA3AEF" w:rsidRDefault="00984533" w:rsidP="00480411">
            <w:pPr>
              <w:spacing w:after="0" w:line="240" w:lineRule="auto"/>
              <w:jc w:val="both"/>
              <w:rPr>
                <w:rFonts w:ascii="Calibri" w:hAnsi="Calibri"/>
              </w:rPr>
            </w:pPr>
            <w:r w:rsidRPr="00CA3AEF">
              <w:rPr>
                <w:rFonts w:ascii="Calibri" w:hAnsi="Calibri"/>
              </w:rPr>
              <w:t xml:space="preserve">- przez podmiot wykluczony z możliwości otrzymania dofinansowania, </w:t>
            </w:r>
          </w:p>
          <w:p w:rsidR="00984533" w:rsidRPr="00CA3AEF" w:rsidRDefault="00984533" w:rsidP="00480411">
            <w:pPr>
              <w:spacing w:after="0" w:line="240" w:lineRule="auto"/>
              <w:jc w:val="both"/>
              <w:rPr>
                <w:rFonts w:ascii="Calibri" w:hAnsi="Calibri"/>
              </w:rPr>
            </w:pPr>
            <w:r w:rsidRPr="00CA3AEF">
              <w:rPr>
                <w:rFonts w:ascii="Calibri" w:hAnsi="Calibri"/>
              </w:rPr>
              <w:lastRenderedPageBreak/>
              <w:t>- bez wskazania kryteriów wyboru projektów, z których oceną Wnioskodawca się nie zgadza (wraz z uzasadnieniem).</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CA3AEF" w:rsidRDefault="00984533" w:rsidP="00480411">
            <w:pPr>
              <w:spacing w:after="0" w:line="240" w:lineRule="auto"/>
              <w:jc w:val="both"/>
              <w:rPr>
                <w:rFonts w:ascii="Calibri" w:hAnsi="Calibri"/>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rPr>
              <w:t xml:space="preserve">W przypadku, gdy wniesiony protest nie zawiera: oznaczenia instytucji właściwej do rozpatrzenia protestu, oznaczenia Wnioskodawcy, numeru wniosku </w:t>
            </w:r>
            <w:r w:rsidRPr="00CA3AEF">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CA3AEF">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CA3AEF">
              <w:rPr>
                <w:rFonts w:ascii="Calibri" w:eastAsia="Calibri" w:hAnsi="Calibri" w:cs="Arial"/>
              </w:rPr>
              <w:br/>
              <w:t xml:space="preserve">W przypadku, gdy w odpowiedzi na wezwanie: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zawiera w dalszym ciągu uchybienia formalne i/lub zawiera oczywiste omyłki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i/lub,</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został wniesiony z uchybieniem 7-dniowego terminu, </w:t>
            </w:r>
            <w:r w:rsidRPr="00CA3AEF">
              <w:rPr>
                <w:rFonts w:ascii="Calibri" w:eastAsia="Calibri" w:hAnsi="Calibri"/>
              </w:rPr>
              <w:t xml:space="preserve">licząc od dnia </w:t>
            </w:r>
            <w:r w:rsidRPr="00CA3AEF">
              <w:rPr>
                <w:rFonts w:ascii="Calibri" w:eastAsia="Calibri" w:hAnsi="Calibri" w:cs="Arial"/>
              </w:rPr>
              <w:t xml:space="preserve">następnego po dniu otrzymania wezwania-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pozostawia środek odwoławczy bez rozpatrzenia.</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suppressAutoHyphens/>
              <w:spacing w:after="0" w:line="240" w:lineRule="auto"/>
              <w:jc w:val="both"/>
              <w:rPr>
                <w:rFonts w:ascii="Calibri" w:hAnsi="Calibri" w:cs="Arial"/>
              </w:rPr>
            </w:pPr>
            <w:r w:rsidRPr="00CA3AEF">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 do wniesienia skargi kasacyjnej do Naczelnego Sądu Administracyjnego od wyroku Wojewódzkiego Sądu Administracyjnego we Wrocławiu posiada Wnioskodawca, jak również IZ RPO WD.</w:t>
            </w:r>
          </w:p>
          <w:p w:rsidR="00984533" w:rsidRPr="00CA3AEF" w:rsidRDefault="00984533" w:rsidP="00480411">
            <w:pPr>
              <w:tabs>
                <w:tab w:val="left" w:pos="993"/>
                <w:tab w:val="left" w:pos="1276"/>
              </w:tabs>
              <w:spacing w:after="0" w:line="240" w:lineRule="auto"/>
              <w:jc w:val="both"/>
              <w:rPr>
                <w:rFonts w:ascii="Calibri" w:hAnsi="Calibri" w:cs="Arial"/>
              </w:rPr>
            </w:pP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CA3AEF" w:rsidRDefault="00984533" w:rsidP="0048041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publicznej wiadomości wyników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Zgodnie z zapisami art. 45 ust. 2 ustawy wdrożeniowej po każdym etapie konkursu (weryfikacja techniczna, ocena formalna oraz ocena merytoryczna) IZ RPO WD 2014-2020 zamieszcza na swojej stronie list</w:t>
            </w:r>
            <w:r w:rsidR="00E92452" w:rsidRPr="00CA3AEF">
              <w:rPr>
                <w:rFonts w:asciiTheme="minorHAnsi" w:hAnsiTheme="minorHAnsi"/>
                <w:sz w:val="22"/>
                <w:szCs w:val="22"/>
              </w:rPr>
              <w:t>y</w:t>
            </w:r>
            <w:r w:rsidRPr="00CA3AEF">
              <w:rPr>
                <w:rFonts w:asciiTheme="minorHAnsi" w:hAnsiTheme="minorHAnsi"/>
                <w:sz w:val="22"/>
                <w:szCs w:val="22"/>
              </w:rPr>
              <w:t xml:space="preserve"> projektów zakwalifikowanych do kolejnego etapu lub list</w:t>
            </w:r>
            <w:r w:rsidR="00E92452" w:rsidRPr="00CA3AEF">
              <w:rPr>
                <w:rFonts w:asciiTheme="minorHAnsi" w:hAnsiTheme="minorHAnsi"/>
                <w:sz w:val="22"/>
                <w:szCs w:val="22"/>
              </w:rPr>
              <w:t>y</w:t>
            </w:r>
            <w:r w:rsidRPr="00CA3AEF">
              <w:rPr>
                <w:rFonts w:asciiTheme="minorHAnsi" w:hAnsiTheme="minorHAnsi"/>
                <w:sz w:val="22"/>
                <w:szCs w:val="22"/>
              </w:rPr>
              <w:t>, o któr</w:t>
            </w:r>
            <w:r w:rsidR="00E92452" w:rsidRPr="00CA3AEF">
              <w:rPr>
                <w:rFonts w:asciiTheme="minorHAnsi" w:hAnsiTheme="minorHAnsi"/>
                <w:sz w:val="22"/>
                <w:szCs w:val="22"/>
              </w:rPr>
              <w:t>ych</w:t>
            </w:r>
            <w:r w:rsidR="00AA5C57" w:rsidRPr="00CA3AEF">
              <w:rPr>
                <w:rFonts w:asciiTheme="minorHAnsi" w:hAnsiTheme="minorHAnsi"/>
                <w:sz w:val="22"/>
                <w:szCs w:val="22"/>
              </w:rPr>
              <w:t xml:space="preserve"> mowa w art. 46</w:t>
            </w:r>
            <w:r w:rsidRPr="00CA3AEF">
              <w:rPr>
                <w:rFonts w:asciiTheme="minorHAnsi" w:hAnsiTheme="minorHAnsi"/>
                <w:sz w:val="22"/>
                <w:szCs w:val="22"/>
              </w:rPr>
              <w:t xml:space="preserve"> ust. 4 ustawy</w:t>
            </w:r>
            <w:r w:rsidR="00A41980" w:rsidRPr="00CA3AEF">
              <w:rPr>
                <w:rFonts w:asciiTheme="minorHAnsi" w:hAnsiTheme="minorHAnsi"/>
                <w:sz w:val="22"/>
                <w:szCs w:val="22"/>
              </w:rPr>
              <w:t xml:space="preserve"> wdrożeniowej</w:t>
            </w:r>
            <w:r w:rsidRPr="00CA3AEF">
              <w:rPr>
                <w:rFonts w:asciiTheme="minorHAnsi" w:hAnsiTheme="minorHAnsi"/>
                <w:sz w:val="22"/>
                <w:szCs w:val="22"/>
              </w:rPr>
              <w:t xml:space="preserve">. Ww. listy zawierają m.in. numer wniosku, tytuł projektu, nazwę wnioskodawcy, kwotę dofinansowania oraz wartość całkowitą projektu. </w:t>
            </w:r>
          </w:p>
          <w:p w:rsidR="00984533" w:rsidRPr="00CA3AEF" w:rsidRDefault="00984533" w:rsidP="00480411">
            <w:pPr>
              <w:autoSpaceDE w:val="0"/>
              <w:autoSpaceDN w:val="0"/>
              <w:adjustRightInd w:val="0"/>
              <w:spacing w:after="0" w:line="240" w:lineRule="auto"/>
              <w:jc w:val="both"/>
            </w:pPr>
            <w:r w:rsidRPr="00CA3AEF">
              <w:t xml:space="preserve">Zgodnie z art. 46 ust. 4 ustawy wdrożeniowej po rozstrzygnięciu konkursu IZ RPO </w:t>
            </w:r>
            <w:r w:rsidRPr="00CA3AEF">
              <w:lastRenderedPageBreak/>
              <w:t xml:space="preserve">WD 2014-2020 zamieszcza na swojej stronie internetowej: </w:t>
            </w:r>
            <w:hyperlink r:id="rId23" w:history="1">
              <w:r w:rsidRPr="00CA3AEF">
                <w:rPr>
                  <w:rStyle w:val="Hipercze"/>
                </w:rPr>
                <w:t>www.rpo.dolnyslask.pl</w:t>
              </w:r>
            </w:hyperlink>
            <w:r w:rsidRPr="00CA3AEF">
              <w:t xml:space="preserve">  oraz na portalu Funduszy Europejskich: </w:t>
            </w:r>
            <w:hyperlink r:id="rId24" w:history="1">
              <w:r w:rsidRPr="00CA3AEF">
                <w:rPr>
                  <w:rStyle w:val="Hipercze"/>
                </w:rPr>
                <w:t>www.funduszeeuropejskie.gov.pl</w:t>
              </w:r>
            </w:hyperlink>
            <w:r w:rsidRPr="00CA3AEF">
              <w:t xml:space="preserve">, listy projektów, które uzyskały wymaganą liczbę punktów, z wyróżnieniem projektów wybranych do dofinansowania jak również powiadamia pisemnie każdego wnioskodawcę o zakończeniu oceny jego projektu. </w:t>
            </w:r>
          </w:p>
          <w:p w:rsidR="00984533" w:rsidRPr="00CA3AEF" w:rsidRDefault="00AA5C57" w:rsidP="00480411">
            <w:pPr>
              <w:pStyle w:val="Default"/>
              <w:jc w:val="both"/>
              <w:rPr>
                <w:rFonts w:asciiTheme="minorHAnsi" w:hAnsiTheme="minorHAnsi"/>
                <w:sz w:val="22"/>
                <w:szCs w:val="22"/>
              </w:rPr>
            </w:pPr>
            <w:r w:rsidRPr="00CA3AEF">
              <w:rPr>
                <w:rFonts w:asciiTheme="minorHAnsi" w:hAnsiTheme="minorHAnsi"/>
                <w:sz w:val="22"/>
                <w:szCs w:val="22"/>
              </w:rPr>
              <w:t>Dodatkowo</w:t>
            </w:r>
            <w:r w:rsidR="00EF4ECD" w:rsidRPr="00CA3AEF">
              <w:rPr>
                <w:rFonts w:asciiTheme="minorHAnsi" w:hAnsiTheme="minorHAnsi"/>
                <w:sz w:val="22"/>
                <w:szCs w:val="22"/>
              </w:rPr>
              <w:t>,</w:t>
            </w:r>
            <w:r w:rsidRPr="00CA3AEF">
              <w:rPr>
                <w:rFonts w:asciiTheme="minorHAnsi" w:hAnsiTheme="minorHAnsi"/>
                <w:sz w:val="22"/>
                <w:szCs w:val="22"/>
              </w:rPr>
              <w:t xml:space="preserve"> zgodnie z art. 44 ust. 5 </w:t>
            </w:r>
            <w:r w:rsidR="00984533" w:rsidRPr="00CA3AEF">
              <w:rPr>
                <w:rFonts w:asciiTheme="minorHAnsi" w:hAnsiTheme="minorHAnsi"/>
                <w:sz w:val="22"/>
                <w:szCs w:val="22"/>
              </w:rPr>
              <w:t xml:space="preserve">po rozstrzygnięciu konkursu IZ RPO WD 2014-2020 zamieszcza na swojej stronie internetowej informację o składzie KOP. </w:t>
            </w:r>
            <w:r w:rsidR="00EF4ECD" w:rsidRPr="00CA3AEF">
              <w:rPr>
                <w:rFonts w:asciiTheme="minorHAnsi" w:hAnsiTheme="minorHAnsi"/>
                <w:sz w:val="22"/>
                <w:szCs w:val="22"/>
              </w:rPr>
              <w:t xml:space="preserve"> </w:t>
            </w:r>
          </w:p>
          <w:p w:rsidR="00984533" w:rsidRPr="00CA3AEF" w:rsidRDefault="00984533" w:rsidP="00480411">
            <w:pPr>
              <w:pStyle w:val="Default"/>
              <w:jc w:val="both"/>
              <w:rPr>
                <w:rFonts w:asciiTheme="minorHAnsi" w:hAnsiTheme="minorHAnsi"/>
                <w:sz w:val="22"/>
                <w:szCs w:val="22"/>
              </w:rPr>
            </w:pPr>
          </w:p>
          <w:p w:rsidR="00984533" w:rsidRPr="00CA3AEF" w:rsidRDefault="00984533" w:rsidP="00480411">
            <w:pPr>
              <w:pStyle w:val="Default"/>
              <w:jc w:val="both"/>
              <w:rPr>
                <w:sz w:val="22"/>
                <w:szCs w:val="22"/>
              </w:rPr>
            </w:pPr>
            <w:r w:rsidRPr="00CA3AEF">
              <w:rPr>
                <w:sz w:val="22"/>
                <w:szCs w:val="22"/>
              </w:rPr>
              <w:t>Ponadto na wniosek zainteresowanego udziela</w:t>
            </w:r>
            <w:r w:rsidR="00AA5C57" w:rsidRPr="00CA3AEF">
              <w:rPr>
                <w:sz w:val="22"/>
                <w:szCs w:val="22"/>
              </w:rPr>
              <w:t>na jest informacja o postę</w:t>
            </w:r>
            <w:r w:rsidRPr="00CA3AEF">
              <w:rPr>
                <w:sz w:val="22"/>
                <w:szCs w:val="22"/>
              </w:rPr>
              <w:t xml:space="preserve">powaniu jakie toczy się w odniesieniu do jego projektu, jednakże zwraca się uwagę, iż na podstawie art. 37 ust. 6 Ustawy wdrożeniowej informacją publiczną, </w:t>
            </w:r>
            <w:r w:rsidRPr="00CA3AEF">
              <w:rPr>
                <w:sz w:val="22"/>
                <w:szCs w:val="22"/>
              </w:rPr>
              <w:br/>
              <w:t xml:space="preserve">w rozumieniu ustawy z dnia 6 września 2001 r. o dostępie do informacji publicznej (Tj. Dz. U. z 2014 r., poz. 782 z </w:t>
            </w:r>
            <w:proofErr w:type="spellStart"/>
            <w:r w:rsidRPr="00CA3AEF">
              <w:rPr>
                <w:sz w:val="22"/>
                <w:szCs w:val="22"/>
              </w:rPr>
              <w:t>późn</w:t>
            </w:r>
            <w:proofErr w:type="spellEnd"/>
            <w:r w:rsidRPr="00CA3AEF">
              <w:rPr>
                <w:sz w:val="22"/>
                <w:szCs w:val="22"/>
              </w:rPr>
              <w:t xml:space="preserve">. zm.), nie są: </w:t>
            </w:r>
          </w:p>
          <w:p w:rsidR="00984533" w:rsidRPr="00CA3AEF" w:rsidRDefault="00984533" w:rsidP="00480411">
            <w:pPr>
              <w:pStyle w:val="Default"/>
              <w:jc w:val="both"/>
              <w:rPr>
                <w:sz w:val="22"/>
                <w:szCs w:val="22"/>
              </w:rPr>
            </w:pPr>
            <w:r w:rsidRPr="00CA3AEF">
              <w:rPr>
                <w:sz w:val="22"/>
                <w:szCs w:val="22"/>
              </w:rPr>
              <w:t>a) dokumenty i informacje przedstawiane przez wnioskodawców, do momentu zawarcia z nimi umowy o dofinansowanie</w:t>
            </w:r>
            <w:r w:rsidR="00E92452" w:rsidRPr="00CA3AEF">
              <w:rPr>
                <w:sz w:val="22"/>
                <w:szCs w:val="22"/>
              </w:rPr>
              <w:t xml:space="preserve"> albo wydania w stosunku do nich decyzji o dofinansowaniu projektu;</w:t>
            </w:r>
            <w:r w:rsidRPr="00CA3AEF">
              <w:rPr>
                <w:sz w:val="22"/>
                <w:szCs w:val="22"/>
              </w:rPr>
              <w:t xml:space="preserve"> </w:t>
            </w:r>
          </w:p>
          <w:p w:rsidR="00984533" w:rsidRPr="00CA3AEF" w:rsidRDefault="00984533" w:rsidP="00480411">
            <w:pPr>
              <w:pStyle w:val="Default"/>
              <w:jc w:val="both"/>
              <w:rPr>
                <w:sz w:val="22"/>
                <w:szCs w:val="22"/>
              </w:rPr>
            </w:pPr>
            <w:r w:rsidRPr="00CA3AEF">
              <w:rPr>
                <w:sz w:val="22"/>
                <w:szCs w:val="22"/>
              </w:rPr>
              <w:t xml:space="preserve">b) dokumenty wytworzone lub przygotowane w związku z oceną dokumentów </w:t>
            </w:r>
            <w:r w:rsidRPr="00CA3AEF">
              <w:rPr>
                <w:sz w:val="22"/>
                <w:szCs w:val="22"/>
              </w:rPr>
              <w:br/>
              <w:t xml:space="preserve">i informacji przedstawianych przez wnioskodawców do czasu rozstrzygnięcia konkursu. </w:t>
            </w:r>
          </w:p>
          <w:p w:rsidR="00984533" w:rsidRPr="00CA3AEF" w:rsidRDefault="00984533" w:rsidP="00E92452">
            <w:pPr>
              <w:autoSpaceDE w:val="0"/>
              <w:autoSpaceDN w:val="0"/>
              <w:adjustRightInd w:val="0"/>
              <w:spacing w:after="0" w:line="240" w:lineRule="auto"/>
              <w:jc w:val="both"/>
              <w:rPr>
                <w:rFonts w:cs="Calibri"/>
                <w:color w:val="000000"/>
              </w:rPr>
            </w:pPr>
            <w:r w:rsidRPr="00CA3AEF">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CA3AEF">
              <w:br/>
              <w:t xml:space="preserve">w sytuacji wystąpienia o udzielenie informacji na temat ww. dokumentów, IOK informuje zainteresowanego, że na podstawie art. 37 pkt. 6 Ustawy nie stanowią one informacji publicznej.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984533" w:rsidRPr="00CA3AEF" w:rsidRDefault="00984533" w:rsidP="00480411">
            <w:pPr>
              <w:pStyle w:val="Default"/>
              <w:rPr>
                <w:rFonts w:asciiTheme="minorHAnsi" w:hAnsiTheme="minorHAnsi"/>
                <w:b/>
                <w:bCs/>
                <w:sz w:val="22"/>
                <w:szCs w:val="22"/>
              </w:rPr>
            </w:pPr>
          </w:p>
        </w:tc>
        <w:tc>
          <w:tcPr>
            <w:tcW w:w="7494" w:type="dxa"/>
          </w:tcPr>
          <w:p w:rsidR="002779AA" w:rsidRPr="00CA3AEF" w:rsidRDefault="002779AA" w:rsidP="00AC0C48">
            <w:pPr>
              <w:jc w:val="center"/>
              <w:rPr>
                <w:b/>
              </w:rPr>
            </w:pPr>
            <w:r w:rsidRPr="00CA3AEF">
              <w:rPr>
                <w:rFonts w:cs="Calibri"/>
              </w:rPr>
              <w:t>IOK udziela wyjaśnień w kwestiach dotyczących konkursu i odpowiedzi na zapytania indywidualne poprzez następujące adresy mailowe:</w:t>
            </w:r>
            <w:r w:rsidRPr="00CA3AEF">
              <w:rPr>
                <w:b/>
                <w:bCs/>
              </w:rPr>
              <w:br/>
            </w:r>
            <w:hyperlink r:id="rId25" w:history="1">
              <w:r w:rsidRPr="00CA3AEF">
                <w:rPr>
                  <w:rStyle w:val="Hipercze"/>
                  <w:b/>
                </w:rPr>
                <w:t>pife@dolnyslask.pl</w:t>
              </w:r>
            </w:hyperlink>
          </w:p>
          <w:p w:rsidR="002779AA" w:rsidRPr="00CA3AEF" w:rsidRDefault="00CA2621" w:rsidP="002779AA">
            <w:pPr>
              <w:spacing w:before="120" w:after="120" w:line="240" w:lineRule="auto"/>
              <w:jc w:val="center"/>
              <w:rPr>
                <w:b/>
              </w:rPr>
            </w:pPr>
            <w:hyperlink r:id="rId26" w:history="1">
              <w:r w:rsidR="002779AA" w:rsidRPr="00CA3AEF">
                <w:rPr>
                  <w:rStyle w:val="Hipercze"/>
                  <w:b/>
                </w:rPr>
                <w:t>pife.jeleniagora@dolnyslask.pl</w:t>
              </w:r>
            </w:hyperlink>
          </w:p>
          <w:p w:rsidR="002779AA" w:rsidRPr="00CA3AEF" w:rsidRDefault="00CA2621" w:rsidP="002779AA">
            <w:pPr>
              <w:spacing w:before="120" w:after="120" w:line="240" w:lineRule="auto"/>
              <w:jc w:val="center"/>
              <w:rPr>
                <w:b/>
              </w:rPr>
            </w:pPr>
            <w:hyperlink r:id="rId27" w:history="1">
              <w:r w:rsidR="002779AA" w:rsidRPr="00CA3AEF">
                <w:rPr>
                  <w:rStyle w:val="Hipercze"/>
                  <w:b/>
                </w:rPr>
                <w:t>pife.legnica@dolnyslask.pl</w:t>
              </w:r>
            </w:hyperlink>
          </w:p>
          <w:p w:rsidR="00984533" w:rsidRPr="00CA3AEF" w:rsidRDefault="00CA2621" w:rsidP="002779AA">
            <w:pPr>
              <w:spacing w:before="120" w:after="120" w:line="240" w:lineRule="auto"/>
              <w:jc w:val="center"/>
              <w:rPr>
                <w:b/>
              </w:rPr>
            </w:pPr>
            <w:hyperlink r:id="rId28" w:history="1">
              <w:r w:rsidR="002779AA" w:rsidRPr="00CA3AEF">
                <w:rPr>
                  <w:rStyle w:val="Hipercze"/>
                  <w:b/>
                </w:rPr>
                <w:t>pife.walbrzych@dolnyslask.pl</w:t>
              </w:r>
            </w:hyperlink>
          </w:p>
          <w:p w:rsidR="00984533" w:rsidRPr="00CA3AEF" w:rsidRDefault="00984533" w:rsidP="00480411">
            <w:pPr>
              <w:autoSpaceDE w:val="0"/>
              <w:autoSpaceDN w:val="0"/>
              <w:adjustRightInd w:val="0"/>
              <w:spacing w:before="120" w:after="120" w:line="240" w:lineRule="auto"/>
              <w:jc w:val="both"/>
              <w:rPr>
                <w:rFonts w:cs="Calibri"/>
              </w:rPr>
            </w:pPr>
            <w:r w:rsidRPr="00CA3AEF">
              <w:rPr>
                <w:rFonts w:cs="Calibri"/>
              </w:rPr>
              <w:t xml:space="preserve">Odpowiedzi </w:t>
            </w:r>
            <w:r w:rsidRPr="00CA3AEF">
              <w:t>na najczęściej zadawane pytania będą</w:t>
            </w:r>
            <w:r w:rsidRPr="00CA3AEF">
              <w:rPr>
                <w:rFonts w:cs="Calibri"/>
              </w:rPr>
              <w:t xml:space="preserve"> zamieszczane na stronie </w:t>
            </w:r>
            <w:hyperlink r:id="rId29" w:history="1">
              <w:r w:rsidRPr="00CA3AEF">
                <w:rPr>
                  <w:rStyle w:val="Hipercze"/>
                  <w:rFonts w:cs="Calibri"/>
                </w:rPr>
                <w:t>www.rpo.dolnyslask.pl</w:t>
              </w:r>
            </w:hyperlink>
            <w:r w:rsidRPr="00CA3AEF">
              <w:rPr>
                <w:rFonts w:cs="Calibri"/>
              </w:rPr>
              <w:t xml:space="preserve"> w ramach informacji dotyczących procedury wyboru projektów oraz niezbędnych do przedłożenia wniosku o dofinansowanie.</w:t>
            </w:r>
            <w:r w:rsidR="00C77521" w:rsidRPr="00CA3AEF">
              <w:t xml:space="preserve"> </w:t>
            </w:r>
            <w:r w:rsidR="00D657A3" w:rsidRPr="00CA3AEF">
              <w:rPr>
                <w:rFonts w:cs="Calibri"/>
              </w:rPr>
              <w:t>Przed zadaniem pytania należy zapoznać</w:t>
            </w:r>
            <w:r w:rsidR="00C77521" w:rsidRPr="00CA3AEF">
              <w:rPr>
                <w:rFonts w:cs="Calibri"/>
              </w:rPr>
              <w:t xml:space="preserve"> się z katalogiem najczęściej zadawanych pytań.</w:t>
            </w:r>
          </w:p>
          <w:p w:rsidR="00984533" w:rsidRPr="00CA3AEF" w:rsidRDefault="00984533" w:rsidP="00480411">
            <w:pPr>
              <w:spacing w:before="120" w:after="120" w:line="240" w:lineRule="auto"/>
              <w:jc w:val="both"/>
              <w:rPr>
                <w:rFonts w:cs="Times New Roman"/>
              </w:rPr>
            </w:pPr>
            <w:r w:rsidRPr="00CA3AEF">
              <w:rPr>
                <w:rFonts w:cs="Calibri"/>
              </w:rPr>
              <w:t xml:space="preserve">Po ogłoszeniu konkursu IOK zorganizuje spotkania dla wnioskodawców </w:t>
            </w:r>
            <w:r w:rsidRPr="00CA3AEF">
              <w:rPr>
                <w:rFonts w:cs="Calibri"/>
              </w:rPr>
              <w:lastRenderedPageBreak/>
              <w:t xml:space="preserve">ubiegających się o dofinansowanie. Szczegółowe informacje dotyczące terminów i miejsca spotkań wraz z formularzem zgłoszeniowym będą zamieszczane na stronie internetowej </w:t>
            </w:r>
            <w:hyperlink r:id="rId30" w:history="1">
              <w:r w:rsidRPr="00CA3AEF">
                <w:rPr>
                  <w:rStyle w:val="Hipercze"/>
                  <w:rFonts w:cs="Calibri"/>
                </w:rPr>
                <w:t>www.rpo.dolnyslask.pl</w:t>
              </w:r>
            </w:hyperlink>
            <w:r w:rsidRPr="00CA3AEF">
              <w:t>.</w:t>
            </w:r>
          </w:p>
          <w:p w:rsidR="00984533" w:rsidRPr="00CA3AEF" w:rsidRDefault="00984533" w:rsidP="00480411">
            <w:pPr>
              <w:spacing w:before="120" w:after="120" w:line="240" w:lineRule="auto"/>
              <w:jc w:val="both"/>
              <w:rPr>
                <w:rFonts w:cs="Calibri"/>
              </w:rPr>
            </w:pPr>
            <w:r w:rsidRPr="00CA3AEF">
              <w:rPr>
                <w:rFonts w:cs="Calibri"/>
              </w:rPr>
              <w:t xml:space="preserve">Konkurs przeprowadzany jest jawnie z zapewnieniem publicznego dostępu do informacji o zasadach jego przeprowadzania oraz do list projektów ocenionych </w:t>
            </w:r>
            <w:r w:rsidRPr="00CA3AEF">
              <w:rPr>
                <w:rFonts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673C73">
            <w:pPr>
              <w:pStyle w:val="Default"/>
            </w:pPr>
            <w:r w:rsidRPr="00CA3AEF">
              <w:rPr>
                <w:rFonts w:asciiTheme="minorHAnsi" w:hAnsiTheme="minorHAnsi"/>
                <w:sz w:val="22"/>
                <w:szCs w:val="22"/>
              </w:rPr>
              <w:t xml:space="preserve">Orientacyjny termin rozstrzygnięcia konkursu to </w:t>
            </w:r>
            <w:r w:rsidR="00673C73" w:rsidRPr="00E734C3">
              <w:rPr>
                <w:rFonts w:asciiTheme="minorHAnsi" w:hAnsiTheme="minorHAnsi"/>
                <w:sz w:val="22"/>
                <w:szCs w:val="22"/>
              </w:rPr>
              <w:t>grudzień</w:t>
            </w:r>
            <w:r w:rsidR="00933C87" w:rsidRPr="00E734C3">
              <w:rPr>
                <w:rFonts w:asciiTheme="minorHAnsi" w:hAnsiTheme="minorHAnsi"/>
                <w:sz w:val="22"/>
                <w:szCs w:val="22"/>
              </w:rPr>
              <w:t xml:space="preserve"> </w:t>
            </w:r>
            <w:r w:rsidR="00020C5D" w:rsidRPr="00E734C3">
              <w:rPr>
                <w:rFonts w:asciiTheme="minorHAnsi" w:hAnsiTheme="minorHAnsi"/>
                <w:sz w:val="22"/>
                <w:szCs w:val="22"/>
              </w:rPr>
              <w:t>2016 r.</w:t>
            </w:r>
            <w:r w:rsidRPr="00CA3AEF">
              <w:rPr>
                <w:rFonts w:asciiTheme="minorHAnsi" w:hAnsiTheme="minorHAnsi"/>
                <w:sz w:val="22"/>
                <w:szCs w:val="22"/>
              </w:rPr>
              <w:t xml:space="preserve"> </w:t>
            </w:r>
          </w:p>
        </w:tc>
      </w:tr>
      <w:tr w:rsidR="00984533" w:rsidRPr="00CA3AEF" w:rsidTr="00A60962">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before="120" w:after="120" w:line="240" w:lineRule="auto"/>
              <w:jc w:val="both"/>
            </w:pPr>
            <w:r w:rsidRPr="00CA3AEF">
              <w:t>IOK zastrzega sobie prawo do anulowania konkursu w następujących przypadkach do momentu zatwierdzenia listy rankingowej:</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naruszenia przez IOK w toku procedury konkursowej przepisów prawa i/lub zasad regulaminu konkursowego, które są istotne i niemożliwe do naprawienia,</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 xml:space="preserve">zaistnienie sytuacji nadzwyczajnej, której IOK nie mogła przewidzieć </w:t>
            </w:r>
            <w:r w:rsidRPr="00CA3AEF">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ogłoszenie aktów prawnych lub wytycznych horyzontalnych w istotny sposób sprzecznych z postanowieniami niniejszego regulaminu,</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awaria lub brak dostępności aplikacji Generator wniosków.</w:t>
            </w:r>
          </w:p>
          <w:p w:rsidR="00984533" w:rsidRPr="00CA3AEF" w:rsidRDefault="00984533" w:rsidP="00480411">
            <w:pPr>
              <w:spacing w:before="120" w:after="120" w:line="240" w:lineRule="auto"/>
              <w:jc w:val="both"/>
              <w:rPr>
                <w:rFonts w:cs="Calibri"/>
              </w:rPr>
            </w:pPr>
            <w:r w:rsidRPr="00CA3AEF">
              <w:rPr>
                <w:rFonts w:cs="Arial"/>
              </w:rPr>
              <w:t xml:space="preserve">IOK </w:t>
            </w:r>
            <w:r w:rsidRPr="00CA3AEF">
              <w:rPr>
                <w:rFonts w:cs="Calibri"/>
              </w:rPr>
              <w:t xml:space="preserve">zastrzega sobie prawo do wprowadzania zmian w niniejszym regulaminie </w:t>
            </w:r>
            <w:r w:rsidRPr="00CA3AEF">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CA3AEF" w:rsidRDefault="00984533" w:rsidP="00480411">
            <w:pPr>
              <w:spacing w:before="120" w:after="120" w:line="240" w:lineRule="auto"/>
              <w:jc w:val="both"/>
              <w:rPr>
                <w:rFonts w:cs="Arial"/>
              </w:rPr>
            </w:pPr>
            <w:r w:rsidRPr="00CA3AEF">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CA3AEF" w:rsidRDefault="00984533" w:rsidP="00480411">
            <w:pPr>
              <w:spacing w:before="120" w:after="120" w:line="240" w:lineRule="auto"/>
              <w:jc w:val="both"/>
            </w:pPr>
            <w:r w:rsidRPr="00CA3AEF">
              <w:rPr>
                <w:rFonts w:cs="Arial"/>
              </w:rPr>
              <w:t>IOK udostępnia w szczególności na swojej stronie internetowej oraz portalu poprzednie wersje regulaminów.</w:t>
            </w:r>
            <w:r w:rsidRPr="00CA3AEF">
              <w:rPr>
                <w:rFonts w:cs="Calibri"/>
              </w:rPr>
              <w:t xml:space="preserve"> W związku z tym zaleca się, aby Wnioskodawcy zainteresowani aplikowaniem o środki w ramach niniejszego konkursu na bieżąco zapoznawali się z informacjami zamieszczanymi na </w:t>
            </w:r>
            <w:r w:rsidRPr="00CA3AEF">
              <w:t>stronie</w:t>
            </w:r>
            <w:r w:rsidRPr="00CA3AEF">
              <w:rPr>
                <w:rFonts w:cs="Calibri"/>
              </w:rPr>
              <w:t xml:space="preserve"> </w:t>
            </w:r>
            <w:bookmarkStart w:id="6" w:name="_Toc425494883"/>
            <w:bookmarkEnd w:id="6"/>
            <w:r w:rsidRPr="00CA3AEF">
              <w:t xml:space="preserve">internetowej </w:t>
            </w:r>
            <w:hyperlink r:id="rId31" w:history="1">
              <w:r w:rsidRPr="00CA3AEF">
                <w:rPr>
                  <w:rStyle w:val="Hipercze"/>
                  <w:rFonts w:cs="Calibri"/>
                </w:rPr>
                <w:t>www.rpo.dolnyslask.pl</w:t>
              </w:r>
            </w:hyperlink>
            <w:r w:rsidRPr="00CA3AEF">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EF3AAC" w:rsidRPr="00CA3AEF" w:rsidRDefault="00EF3AAC" w:rsidP="00EF3AAC">
            <w:pPr>
              <w:numPr>
                <w:ilvl w:val="0"/>
                <w:numId w:val="37"/>
              </w:numPr>
              <w:suppressAutoHyphens/>
              <w:spacing w:after="0" w:line="240" w:lineRule="auto"/>
              <w:ind w:left="395"/>
              <w:jc w:val="both"/>
            </w:pPr>
            <w:r w:rsidRPr="00CA3AE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w:t>
            </w:r>
            <w:r w:rsidRPr="00CA3AEF">
              <w:rPr>
                <w:rFonts w:ascii="Calibri" w:eastAsia="Times New Roman" w:hAnsi="Calibri" w:cs="Times New Roman"/>
                <w:color w:val="00000A"/>
                <w:lang w:eastAsia="pl-PL"/>
              </w:rPr>
              <w:lastRenderedPageBreak/>
              <w:t xml:space="preserve">Europejskiej do pomocy de </w:t>
            </w:r>
            <w:proofErr w:type="spellStart"/>
            <w:r w:rsidRPr="00CA3AEF">
              <w:rPr>
                <w:rFonts w:ascii="Calibri" w:eastAsia="Times New Roman" w:hAnsi="Calibri" w:cs="Times New Roman"/>
                <w:color w:val="00000A"/>
                <w:lang w:eastAsia="pl-PL"/>
              </w:rPr>
              <w:t>minimis</w:t>
            </w:r>
            <w:proofErr w:type="spellEnd"/>
            <w:r w:rsidRPr="00CA3AEF">
              <w:t xml:space="preserve"> </w:t>
            </w:r>
          </w:p>
          <w:p w:rsidR="00081F91" w:rsidRDefault="00EF3AAC" w:rsidP="00EF3AAC">
            <w:pPr>
              <w:numPr>
                <w:ilvl w:val="0"/>
                <w:numId w:val="37"/>
              </w:numPr>
              <w:suppressAutoHyphens/>
              <w:spacing w:after="0" w:line="240" w:lineRule="auto"/>
              <w:ind w:left="395"/>
              <w:jc w:val="both"/>
            </w:pPr>
            <w:r w:rsidRPr="00CA3AEF">
              <w:t xml:space="preserve">Rozporządzeniem Ministra Infrastruktury i Rozwoju z dnia 19 marca 2015 r. w sprawie udzielania pomocy de </w:t>
            </w:r>
            <w:proofErr w:type="spellStart"/>
            <w:r w:rsidRPr="00CA3AEF">
              <w:t>minimis</w:t>
            </w:r>
            <w:proofErr w:type="spellEnd"/>
            <w:r w:rsidRPr="00CA3AEF">
              <w:t xml:space="preserve"> w ramach regionalnych programów operacyjnych na lata 2014-2020. (Dz. U. z 2015 r. poz. 488 </w:t>
            </w:r>
            <w:r w:rsidRPr="00CA3AEF">
              <w:br/>
              <w:t xml:space="preserve">z </w:t>
            </w:r>
            <w:proofErr w:type="spellStart"/>
            <w:r w:rsidRPr="00CA3AEF">
              <w:t>późn</w:t>
            </w:r>
            <w:proofErr w:type="spellEnd"/>
            <w:r w:rsidRPr="00CA3AEF">
              <w:t xml:space="preserve">. zm.), </w:t>
            </w:r>
          </w:p>
          <w:p w:rsidR="00CA2621" w:rsidRPr="00CA3AEF" w:rsidRDefault="00CA2621" w:rsidP="00EF3AAC">
            <w:pPr>
              <w:numPr>
                <w:ilvl w:val="0"/>
                <w:numId w:val="37"/>
              </w:numPr>
              <w:suppressAutoHyphens/>
              <w:spacing w:after="0" w:line="240" w:lineRule="auto"/>
              <w:ind w:left="395"/>
              <w:jc w:val="both"/>
            </w:pPr>
            <w:r w:rsidRPr="00600EB8">
              <w:t xml:space="preserve">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Wytycznymi Ministra Infrastruktury i Rozwoju </w:t>
            </w:r>
            <w:r w:rsidRPr="00CA3AEF">
              <w:rPr>
                <w:rFonts w:ascii="Calibri" w:eastAsia="Times New Roman" w:hAnsi="Calibri" w:cs="Times New Roman"/>
                <w:color w:val="00000A"/>
                <w:lang w:eastAsia="pl-PL"/>
              </w:rPr>
              <w:t xml:space="preserve">z dnia 10 kwietnia 2015 r. </w:t>
            </w:r>
            <w:r w:rsidRPr="00CA3AEF">
              <w:rPr>
                <w:rFonts w:ascii="Calibri" w:eastAsia="Times New Roman" w:hAnsi="Calibri" w:cs="Calibri"/>
                <w:color w:val="00000A"/>
                <w:szCs w:val="20"/>
                <w:lang w:eastAsia="pl-PL"/>
              </w:rPr>
              <w:t xml:space="preserve"> </w:t>
            </w:r>
            <w:r w:rsidR="00CA2621">
              <w:rPr>
                <w:rFonts w:ascii="Calibri" w:eastAsia="Times New Roman" w:hAnsi="Calibri" w:cs="Calibri"/>
                <w:color w:val="00000A"/>
                <w:szCs w:val="20"/>
                <w:lang w:eastAsia="pl-PL"/>
              </w:rPr>
              <w:br/>
            </w:r>
            <w:r w:rsidRPr="00CA3AEF">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p>
          <w:p w:rsidR="00984533" w:rsidRPr="00CA3AEF" w:rsidRDefault="00984533" w:rsidP="00480411">
            <w:pPr>
              <w:spacing w:after="0" w:line="240" w:lineRule="auto"/>
              <w:jc w:val="both"/>
            </w:pPr>
          </w:p>
          <w:p w:rsidR="00984533" w:rsidRPr="00CA3AEF" w:rsidRDefault="00984533" w:rsidP="00480411">
            <w:pPr>
              <w:spacing w:after="0" w:line="240" w:lineRule="auto"/>
              <w:jc w:val="both"/>
              <w:rPr>
                <w:rFonts w:cs="Arial"/>
                <w:color w:val="000000"/>
              </w:rPr>
            </w:pPr>
            <w:r w:rsidRPr="00CA3AEF">
              <w:rPr>
                <w:rFonts w:cs="Arial"/>
                <w:color w:val="000000"/>
              </w:rPr>
              <w:t>Początkiem okresu kwalifikowalności wydatków jest 1 stycznia 2014</w:t>
            </w:r>
            <w:r w:rsidR="00081F91" w:rsidRPr="00CA3AEF">
              <w:rPr>
                <w:rFonts w:ascii="Calibri" w:hAnsi="Calibri" w:cs="Calibri"/>
                <w:color w:val="000000"/>
              </w:rPr>
              <w:t>.</w:t>
            </w:r>
          </w:p>
          <w:p w:rsidR="00984533" w:rsidRPr="00CA3AEF" w:rsidRDefault="00984533" w:rsidP="00480411">
            <w:pPr>
              <w:spacing w:after="0" w:line="240" w:lineRule="auto"/>
              <w:jc w:val="both"/>
              <w:rPr>
                <w:rFonts w:cs="Arial"/>
                <w:color w:val="000000"/>
              </w:rPr>
            </w:pPr>
          </w:p>
          <w:p w:rsidR="00533B9A" w:rsidRDefault="00984533" w:rsidP="00533B9A">
            <w:pPr>
              <w:spacing w:after="0" w:line="240" w:lineRule="auto"/>
              <w:jc w:val="both"/>
              <w:rPr>
                <w:color w:val="000000"/>
              </w:rPr>
            </w:pPr>
            <w:r w:rsidRPr="00CA3AEF">
              <w:rPr>
                <w:color w:val="000000"/>
              </w:rPr>
              <w:t>Najpóźniejszy termin złożenia ostatniego wniosku o płatność:</w:t>
            </w:r>
            <w:r w:rsidR="005E659B" w:rsidRPr="00CA3AEF">
              <w:rPr>
                <w:color w:val="000000"/>
              </w:rPr>
              <w:t xml:space="preserve"> </w:t>
            </w:r>
          </w:p>
          <w:p w:rsidR="00533B9A" w:rsidRPr="00DC123A" w:rsidRDefault="00533B9A" w:rsidP="00533B9A">
            <w:pPr>
              <w:spacing w:after="0" w:line="240" w:lineRule="auto"/>
              <w:jc w:val="both"/>
              <w:rPr>
                <w:color w:val="000000"/>
              </w:rPr>
            </w:pPr>
            <w:r w:rsidRPr="00DC123A">
              <w:rPr>
                <w:color w:val="000000"/>
              </w:rPr>
              <w:t xml:space="preserve">4.3 A : </w:t>
            </w:r>
            <w:r>
              <w:rPr>
                <w:color w:val="000000"/>
              </w:rPr>
              <w:t>3.</w:t>
            </w:r>
            <w:r w:rsidRPr="00DC123A">
              <w:rPr>
                <w:color w:val="000000"/>
              </w:rPr>
              <w:t>09.2018 r.</w:t>
            </w:r>
          </w:p>
          <w:p w:rsidR="00533B9A" w:rsidRPr="00DC123A" w:rsidRDefault="00533B9A" w:rsidP="00533B9A">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 xml:space="preserve">B: </w:t>
            </w:r>
            <w:r>
              <w:rPr>
                <w:rFonts w:asciiTheme="minorHAnsi" w:hAnsiTheme="minorHAnsi"/>
                <w:color w:val="000000"/>
                <w:szCs w:val="22"/>
              </w:rPr>
              <w:t>1.</w:t>
            </w:r>
            <w:r w:rsidRPr="00DC123A">
              <w:rPr>
                <w:rFonts w:asciiTheme="minorHAnsi" w:hAnsiTheme="minorHAnsi"/>
                <w:color w:val="000000"/>
                <w:szCs w:val="22"/>
              </w:rPr>
              <w:t>12.2017 r.</w:t>
            </w:r>
          </w:p>
          <w:p w:rsidR="00533B9A" w:rsidRPr="00DC123A" w:rsidRDefault="00533B9A" w:rsidP="00533B9A">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CA3AEF" w:rsidRDefault="00040467" w:rsidP="00480411">
            <w:pPr>
              <w:pStyle w:val="Default"/>
              <w:jc w:val="both"/>
              <w:rPr>
                <w:rFonts w:asciiTheme="minorHAnsi" w:hAnsiTheme="minorHAnsi"/>
                <w:sz w:val="22"/>
                <w:szCs w:val="22"/>
              </w:rPr>
            </w:pPr>
          </w:p>
          <w:p w:rsidR="001442E1" w:rsidRPr="00CA3AEF" w:rsidRDefault="001442E1" w:rsidP="00480411">
            <w:pPr>
              <w:pStyle w:val="Default"/>
              <w:jc w:val="both"/>
              <w:rPr>
                <w:rFonts w:asciiTheme="minorHAnsi" w:hAnsiTheme="minorHAnsi"/>
                <w:b/>
                <w:sz w:val="22"/>
                <w:szCs w:val="22"/>
                <w:u w:val="single"/>
              </w:rPr>
            </w:pPr>
            <w:r w:rsidRPr="00CA3AEF">
              <w:rPr>
                <w:rFonts w:asciiTheme="minorHAnsi" w:hAnsiTheme="minorHAnsi"/>
                <w:b/>
                <w:sz w:val="22"/>
                <w:szCs w:val="22"/>
                <w:u w:val="single"/>
              </w:rPr>
              <w:t>Obowiązek publikacji zapytań ofertowych</w:t>
            </w:r>
          </w:p>
          <w:p w:rsidR="001442E1" w:rsidRPr="00CA3AEF" w:rsidRDefault="001442E1" w:rsidP="0048041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W przypadku rozpoczęcia przez Wnioskodawcę realizacji projektu  na własne ryzyko przed podpisaniem umowy o dofinansowanie, udziel</w:t>
            </w:r>
            <w:r w:rsidR="00F373AC" w:rsidRPr="00CA3AEF">
              <w:rPr>
                <w:rFonts w:asciiTheme="minorHAnsi" w:hAnsiTheme="minorHAnsi"/>
                <w:sz w:val="22"/>
                <w:szCs w:val="22"/>
              </w:rPr>
              <w:t>e</w:t>
            </w:r>
            <w:r w:rsidRPr="00CA3AEF">
              <w:rPr>
                <w:rFonts w:asciiTheme="minorHAnsi" w:hAnsiTheme="minorHAnsi"/>
                <w:sz w:val="22"/>
                <w:szCs w:val="22"/>
              </w:rPr>
              <w:t xml:space="preserve">nie zamówień odbywa się na zasadach określonych </w:t>
            </w:r>
            <w:r w:rsidR="00F373AC" w:rsidRPr="00CA3AEF">
              <w:rPr>
                <w:rFonts w:asciiTheme="minorHAnsi" w:hAnsiTheme="minorHAnsi"/>
                <w:sz w:val="22"/>
                <w:szCs w:val="22"/>
              </w:rPr>
              <w:t xml:space="preserve">w </w:t>
            </w:r>
            <w:r w:rsidRPr="00CA3AEF">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CA3AEF" w:rsidRDefault="007C678B"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b/>
                <w:sz w:val="22"/>
                <w:szCs w:val="22"/>
                <w:u w:val="single"/>
              </w:rPr>
            </w:pPr>
            <w:r w:rsidRPr="00CA3AEF">
              <w:rPr>
                <w:rFonts w:asciiTheme="minorHAnsi" w:hAnsiTheme="minorHAnsi"/>
                <w:b/>
                <w:sz w:val="22"/>
                <w:szCs w:val="22"/>
                <w:u w:val="single"/>
              </w:rPr>
              <w:t>Kontrola</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CA3AEF">
              <w:rPr>
                <w:rFonts w:asciiTheme="minorHAnsi" w:hAnsiTheme="minorHAnsi"/>
                <w:sz w:val="22"/>
                <w:szCs w:val="22"/>
              </w:rPr>
              <w:br/>
            </w:r>
            <w:r w:rsidRPr="00CA3AEF">
              <w:rPr>
                <w:rFonts w:asciiTheme="minorHAnsi" w:hAnsiTheme="minorHAnsi"/>
                <w:sz w:val="22"/>
                <w:szCs w:val="22"/>
              </w:rPr>
              <w:t xml:space="preserve">w zakresie określonym w art. 22 ust. 4 ustawy o zasadach realizacji programów </w:t>
            </w:r>
            <w:r w:rsidR="00673C73" w:rsidRPr="00CA3AEF">
              <w:rPr>
                <w:rFonts w:asciiTheme="minorHAnsi" w:hAnsiTheme="minorHAnsi"/>
                <w:sz w:val="22"/>
                <w:szCs w:val="22"/>
              </w:rPr>
              <w:br/>
            </w:r>
            <w:r w:rsidRPr="00CA3AEF">
              <w:rPr>
                <w:rFonts w:asciiTheme="minorHAnsi" w:hAnsiTheme="minorHAnsi"/>
                <w:sz w:val="22"/>
                <w:szCs w:val="22"/>
              </w:rPr>
              <w:lastRenderedPageBreak/>
              <w:t>w zakresie polityki spójności finansowanych w perspektywie finansowej 2014-2020 (Dz.U. 2014 poz. 1146 ze zm.).</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Kontrola prawidłowości udzielania zamówień publicznych (udzielonych zgodnie </w:t>
            </w:r>
            <w:r w:rsidR="00673C73" w:rsidRPr="00CA3AEF">
              <w:rPr>
                <w:rFonts w:asciiTheme="minorHAnsi" w:hAnsiTheme="minorHAnsi"/>
                <w:sz w:val="22"/>
                <w:szCs w:val="22"/>
              </w:rPr>
              <w:br/>
            </w:r>
            <w:r w:rsidRPr="00CA3AEF">
              <w:rPr>
                <w:rFonts w:asciiTheme="minorHAnsi" w:hAnsiTheme="minorHAnsi"/>
                <w:sz w:val="22"/>
                <w:szCs w:val="22"/>
              </w:rPr>
              <w:t>z ustaw</w:t>
            </w:r>
            <w:r w:rsidR="00F373AC" w:rsidRPr="00CA3AEF">
              <w:rPr>
                <w:rFonts w:asciiTheme="minorHAnsi" w:hAnsiTheme="minorHAnsi"/>
                <w:sz w:val="22"/>
                <w:szCs w:val="22"/>
              </w:rPr>
              <w:t>ą</w:t>
            </w:r>
            <w:r w:rsidRPr="00CA3AEF">
              <w:rPr>
                <w:rFonts w:asciiTheme="minorHAnsi" w:hAnsiTheme="minorHAnsi"/>
                <w:sz w:val="22"/>
                <w:szCs w:val="22"/>
              </w:rPr>
              <w:t xml:space="preserve"> z dnia 29 stycznia 2004 r. Prawo zamówień publicznych lub zgodnie </w:t>
            </w:r>
            <w:r w:rsidR="00673C73" w:rsidRPr="00CA3AEF">
              <w:rPr>
                <w:rFonts w:asciiTheme="minorHAnsi" w:hAnsiTheme="minorHAnsi"/>
                <w:sz w:val="22"/>
                <w:szCs w:val="22"/>
              </w:rPr>
              <w:br/>
            </w:r>
            <w:r w:rsidRPr="00CA3AEF">
              <w:rPr>
                <w:rFonts w:asciiTheme="minorHAnsi" w:hAnsiTheme="minorHAnsi"/>
                <w:sz w:val="22"/>
                <w:szCs w:val="22"/>
              </w:rPr>
              <w:t xml:space="preserve">z zasadą konkurencyjności) prowadzona przez IZ RPO WD przed podpisaniem umowy o dofinansowanie będzie obejmować wszystkie postępowania </w:t>
            </w:r>
            <w:r w:rsidR="00673C73" w:rsidRPr="00CA3AEF">
              <w:rPr>
                <w:rFonts w:asciiTheme="minorHAnsi" w:hAnsiTheme="minorHAnsi"/>
                <w:sz w:val="22"/>
                <w:szCs w:val="22"/>
              </w:rPr>
              <w:br/>
            </w:r>
            <w:r w:rsidRPr="00CA3AEF">
              <w:rPr>
                <w:rFonts w:asciiTheme="minorHAnsi" w:hAnsiTheme="minorHAnsi"/>
                <w:sz w:val="22"/>
                <w:szCs w:val="22"/>
              </w:rPr>
              <w:t>o udzielenie zamówienia które zostały zakończone do dnia wyboru projektu do dofinansowania.</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Instytucja Zarządzająca RPO WD nie podpisze z Wnioskodawcą umowy </w:t>
            </w:r>
            <w:r w:rsidR="00673C73" w:rsidRPr="00CA3AEF">
              <w:rPr>
                <w:rFonts w:asciiTheme="minorHAnsi" w:hAnsiTheme="minorHAnsi"/>
                <w:sz w:val="22"/>
                <w:szCs w:val="22"/>
              </w:rPr>
              <w:br/>
            </w:r>
            <w:r w:rsidRPr="00CA3AEF">
              <w:rPr>
                <w:rFonts w:asciiTheme="minorHAnsi" w:hAnsiTheme="minorHAnsi"/>
                <w:sz w:val="22"/>
                <w:szCs w:val="22"/>
              </w:rPr>
              <w:t>o dofinansowanie projektu do czasu zakończenia przedmiotowej kontroli.</w:t>
            </w:r>
          </w:p>
          <w:p w:rsidR="00984533" w:rsidRPr="00CA3AEF" w:rsidRDefault="00984533" w:rsidP="001442E1">
            <w:pPr>
              <w:pStyle w:val="Default"/>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84533" w:rsidRPr="00CA3AEF" w:rsidRDefault="00984533" w:rsidP="00480411">
            <w:pPr>
              <w:spacing w:before="120" w:after="120" w:line="240" w:lineRule="auto"/>
              <w:jc w:val="both"/>
            </w:pPr>
            <w:r w:rsidRPr="00CA3AEF">
              <w:rPr>
                <w:rFonts w:cs="Arial"/>
              </w:rPr>
              <w:t>Wydatki w ramach projektu mogą obejmować koszt podatku od towarów i usług (VAT). Wydatki te zostaną uznane za kwalifikowalne tylko wtedy, gdy Wnioskodawca nie ma prawnej możliwości ich odzyskania.</w:t>
            </w:r>
          </w:p>
          <w:p w:rsidR="00984533" w:rsidRPr="00CA3AEF" w:rsidRDefault="00984533" w:rsidP="00480411">
            <w:pPr>
              <w:spacing w:before="120" w:after="120" w:line="240" w:lineRule="auto"/>
              <w:jc w:val="both"/>
              <w:rPr>
                <w:rFonts w:cs="Arial"/>
              </w:rPr>
            </w:pPr>
            <w:r w:rsidRPr="00CA3AE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CA3AEF" w:rsidRDefault="00984533" w:rsidP="00480411">
            <w:pPr>
              <w:spacing w:before="120" w:after="120" w:line="240" w:lineRule="auto"/>
              <w:jc w:val="both"/>
              <w:rPr>
                <w:rFonts w:cs="Arial"/>
              </w:rPr>
            </w:pPr>
            <w:r w:rsidRPr="00CA3A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CA3AE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CA3AEF" w:rsidRDefault="00984533" w:rsidP="00480411">
            <w:pPr>
              <w:pStyle w:val="Default"/>
              <w:jc w:val="both"/>
              <w:rPr>
                <w:rFonts w:asciiTheme="minorHAnsi" w:hAnsiTheme="minorHAnsi" w:cs="Arial"/>
                <w:sz w:val="22"/>
                <w:szCs w:val="22"/>
              </w:rPr>
            </w:pPr>
            <w:r w:rsidRPr="00CA3AE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CA3AE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CA3AEF" w:rsidRDefault="00984533" w:rsidP="00480411">
            <w:pPr>
              <w:pStyle w:val="Default"/>
              <w:jc w:val="both"/>
              <w:rPr>
                <w:rFonts w:asciiTheme="minorHAnsi" w:hAnsiTheme="minorHAnsi"/>
                <w:sz w:val="22"/>
                <w:szCs w:val="22"/>
              </w:rPr>
            </w:pPr>
          </w:p>
        </w:tc>
      </w:tr>
      <w:tr w:rsidR="00E734C3" w:rsidRPr="00CA3AEF" w:rsidTr="006D7C1A">
        <w:tc>
          <w:tcPr>
            <w:tcW w:w="534" w:type="dxa"/>
          </w:tcPr>
          <w:p w:rsidR="00E734C3" w:rsidRPr="00CA3AEF" w:rsidRDefault="00E734C3" w:rsidP="00480411">
            <w:pPr>
              <w:autoSpaceDE w:val="0"/>
              <w:autoSpaceDN w:val="0"/>
              <w:adjustRightInd w:val="0"/>
              <w:spacing w:after="0" w:line="240" w:lineRule="auto"/>
              <w:rPr>
                <w:rFonts w:cs="Calibri"/>
                <w:b/>
                <w:bCs/>
                <w:color w:val="000000"/>
              </w:rPr>
            </w:pPr>
            <w:r w:rsidRPr="00CA3AEF">
              <w:rPr>
                <w:rFonts w:cs="Calibri"/>
                <w:b/>
                <w:bCs/>
                <w:color w:val="000000"/>
              </w:rPr>
              <w:t>31</w:t>
            </w:r>
          </w:p>
        </w:tc>
        <w:tc>
          <w:tcPr>
            <w:tcW w:w="2268" w:type="dxa"/>
          </w:tcPr>
          <w:p w:rsidR="00E734C3" w:rsidRPr="00CA3AEF" w:rsidRDefault="00E734C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E734C3" w:rsidRPr="00B445B8" w:rsidRDefault="00E734C3" w:rsidP="00B845DE">
            <w:pPr>
              <w:spacing w:after="120"/>
              <w:jc w:val="both"/>
              <w:rPr>
                <w:u w:val="single"/>
              </w:rPr>
            </w:pPr>
            <w:r w:rsidRPr="00B445B8">
              <w:rPr>
                <w:u w:val="single"/>
              </w:rPr>
              <w:t>Do wniosku o dofinansowanie realizacji Projektu należy dołączyć:</w:t>
            </w: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Oświadczenie „Analiza oddziaływania na środowisko, z uwzględnieniem potrzeb dotyczących przystosowania się do zmiany klimatu i łagodzenia zmiany klimatu, a także odporności na klęski żywiołowe”. </w:t>
            </w:r>
          </w:p>
          <w:p w:rsidR="00E734C3" w:rsidRPr="00B445B8" w:rsidRDefault="00E734C3" w:rsidP="00B845DE">
            <w:pPr>
              <w:pStyle w:val="Akapitzlist"/>
              <w:ind w:left="360"/>
              <w:rPr>
                <w:rFonts w:asciiTheme="minorHAnsi" w:hAnsiTheme="minorHAnsi"/>
                <w:szCs w:val="22"/>
              </w:rPr>
            </w:pPr>
          </w:p>
          <w:p w:rsidR="00E734C3" w:rsidRPr="00B445B8" w:rsidRDefault="00E734C3" w:rsidP="00B845DE">
            <w:pPr>
              <w:spacing w:after="120"/>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w:t>
            </w:r>
            <w:r w:rsidRPr="00B445B8">
              <w:rPr>
                <w:rFonts w:eastAsia="Times New Roman" w:cs="Arial"/>
                <w:lang w:eastAsia="pl-PL"/>
              </w:rPr>
              <w:lastRenderedPageBreak/>
              <w:t>2008 r.  o udostępnianiu informacji o środowisku i jego ochronie, udziale społeczeństwa w ochronie środowiska oraz o ocenach oddziaływania na środowisko).</w:t>
            </w:r>
          </w:p>
          <w:p w:rsidR="00E734C3" w:rsidRPr="00B445B8" w:rsidRDefault="00E734C3" w:rsidP="00B845DE">
            <w:pPr>
              <w:spacing w:after="0"/>
              <w:jc w:val="both"/>
            </w:pPr>
            <w:r w:rsidRPr="00B445B8">
              <w:t xml:space="preserve">W przypadku przedsięwzięć objętych </w:t>
            </w:r>
            <w:r w:rsidRPr="00B445B8">
              <w:rPr>
                <w:rFonts w:eastAsia="Times New Roman"/>
                <w:bCs/>
                <w:lang w:eastAsia="pl-PL"/>
              </w:rPr>
              <w:t xml:space="preserve">Rozporządzeniem Rady Ministrów </w:t>
            </w:r>
            <w:r w:rsidRPr="00B445B8">
              <w:rPr>
                <w:rFonts w:eastAsia="Times New Roman"/>
                <w:lang w:eastAsia="pl-PL"/>
              </w:rPr>
              <w:t xml:space="preserve">z dnia 9 listopada 2010 r. </w:t>
            </w:r>
            <w:r w:rsidRPr="00B445B8">
              <w:rPr>
                <w:rFonts w:eastAsia="Times New Roman"/>
                <w:bCs/>
                <w:lang w:eastAsia="pl-PL"/>
              </w:rPr>
              <w:t>w sprawie przedsięwzięć mogących znacząco oddziaływać na środowisko (</w:t>
            </w:r>
            <w:r w:rsidRPr="00B445B8">
              <w:rPr>
                <w:bCs/>
              </w:rPr>
              <w:t>Dz.U. z 2016 poz. 71</w:t>
            </w:r>
            <w:r w:rsidRPr="00B445B8">
              <w:rPr>
                <w:rFonts w:eastAsia="Times New Roman"/>
                <w:bCs/>
                <w:lang w:eastAsia="pl-PL"/>
              </w:rPr>
              <w:t xml:space="preserve">) </w:t>
            </w:r>
            <w:r w:rsidRPr="00B445B8">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734C3" w:rsidRPr="00B445B8" w:rsidRDefault="00CA2621" w:rsidP="00B845DE">
            <w:pPr>
              <w:spacing w:after="120"/>
              <w:jc w:val="both"/>
            </w:pPr>
            <w:hyperlink r:id="rId32" w:history="1">
              <w:r w:rsidR="00E734C3" w:rsidRPr="00B445B8">
                <w:rPr>
                  <w:rStyle w:val="Hipercze"/>
                </w:rPr>
                <w:t>www.funduszeeuropejskie.gov.pl</w:t>
              </w:r>
            </w:hyperlink>
            <w:r w:rsidR="00E734C3" w:rsidRPr="00B445B8">
              <w:t>.</w:t>
            </w:r>
          </w:p>
          <w:p w:rsidR="00E734C3" w:rsidRPr="00B445B8" w:rsidRDefault="00E734C3" w:rsidP="00B845DE">
            <w:pPr>
              <w:spacing w:after="120"/>
              <w:jc w:val="both"/>
            </w:pPr>
            <w:r w:rsidRPr="00B445B8">
              <w:t>Ponadto 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spacing w:after="120"/>
              <w:jc w:val="both"/>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Deklaracja organu odpowiedzialnego za monitorowanie obszarów Natura 2000.</w:t>
            </w:r>
          </w:p>
          <w:p w:rsidR="00E734C3" w:rsidRDefault="00E734C3" w:rsidP="00B845DE">
            <w:pPr>
              <w:spacing w:after="120"/>
              <w:jc w:val="both"/>
            </w:pPr>
          </w:p>
          <w:p w:rsidR="00E734C3" w:rsidRPr="00B445B8" w:rsidRDefault="00E734C3" w:rsidP="00B845DE">
            <w:pPr>
              <w:spacing w:after="120"/>
              <w:jc w:val="both"/>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E734C3" w:rsidRPr="00B445B8" w:rsidRDefault="00E734C3" w:rsidP="00B845DE">
            <w:pPr>
              <w:spacing w:after="120"/>
              <w:jc w:val="both"/>
            </w:pPr>
            <w:r w:rsidRPr="00B445B8">
              <w:t>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ind w:left="360"/>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Deklaracja właściwego organu odpowiedzialnego za gospodarkę wodną. </w:t>
            </w:r>
          </w:p>
          <w:p w:rsidR="00E734C3" w:rsidRPr="00B445B8" w:rsidRDefault="00E734C3" w:rsidP="00B845DE">
            <w:pPr>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B445B8">
              <w:lastRenderedPageBreak/>
              <w:t>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w:t>
            </w:r>
            <w:r w:rsidRPr="00B445B8">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E734C3" w:rsidRPr="00717700" w:rsidRDefault="00E734C3" w:rsidP="00B845DE">
            <w:pPr>
              <w:jc w:val="both"/>
              <w:rPr>
                <w:rFonts w:eastAsia="Times New Roman" w:cs="Arial"/>
                <w:highlight w:val="yellow"/>
                <w:lang w:eastAsia="pl-PL"/>
              </w:rPr>
            </w:pPr>
            <w:r w:rsidRPr="00B445B8">
              <w:t>W przypadku inwestycji o charakterze nieinfrastrukturalnym np. zakup sprzętu, urządzeń, lub tzw. projektów „miękkich” np. szkolenia, kampania edukacyjna, dołączenie załącznika nie jest konieczne.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84533" w:rsidRPr="00CA3AEF"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CA3AEF">
              <w:rPr>
                <w:rFonts w:asciiTheme="minorHAnsi" w:hAnsiTheme="minorHAnsi"/>
                <w:b/>
                <w:sz w:val="22"/>
                <w:szCs w:val="22"/>
              </w:rPr>
              <w:t>Wymagania w zakresie realizacji projektu partnerskiego</w:t>
            </w:r>
            <w:bookmarkEnd w:id="7"/>
            <w:bookmarkEnd w:id="8"/>
            <w:bookmarkEnd w:id="9"/>
          </w:p>
        </w:tc>
        <w:tc>
          <w:tcPr>
            <w:tcW w:w="7494" w:type="dxa"/>
          </w:tcPr>
          <w:p w:rsidR="00984533" w:rsidRPr="00CA3AEF" w:rsidRDefault="00984533" w:rsidP="00480411">
            <w:pPr>
              <w:autoSpaceDE w:val="0"/>
              <w:autoSpaceDN w:val="0"/>
              <w:adjustRightInd w:val="0"/>
              <w:spacing w:before="120" w:after="120" w:line="240" w:lineRule="auto"/>
              <w:jc w:val="both"/>
            </w:pPr>
            <w:r w:rsidRPr="00CA3AEF">
              <w:t xml:space="preserve">Projekt może być realizowany w partnerstwie. Partnerzy w projekcie to podmioty wnoszące do projektu zasoby ludzkie, organizacyjne, techniczne lub finansowe, realizujące wspólnie projekt. </w:t>
            </w:r>
          </w:p>
          <w:p w:rsidR="00984533" w:rsidRPr="00CA3AEF" w:rsidRDefault="00984533" w:rsidP="00480411">
            <w:pPr>
              <w:autoSpaceDE w:val="0"/>
              <w:autoSpaceDN w:val="0"/>
              <w:adjustRightInd w:val="0"/>
              <w:spacing w:before="120" w:after="120" w:line="240" w:lineRule="auto"/>
              <w:jc w:val="both"/>
            </w:pPr>
            <w:r w:rsidRPr="00CA3AEF">
              <w:t>Partnerem w projekcie może być tylko podmiot wymieniony w katalogu beneficjentów obowiązującym dla danego naboru.</w:t>
            </w:r>
          </w:p>
          <w:p w:rsidR="00984533" w:rsidRPr="00CA3AEF" w:rsidRDefault="00984533" w:rsidP="00480411">
            <w:pPr>
              <w:autoSpaceDE w:val="0"/>
              <w:autoSpaceDN w:val="0"/>
              <w:adjustRightInd w:val="0"/>
              <w:spacing w:before="120" w:after="120" w:line="240" w:lineRule="auto"/>
              <w:jc w:val="both"/>
            </w:pPr>
            <w:r w:rsidRPr="00CA3AEF">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CA3AEF" w:rsidRDefault="00984533" w:rsidP="00480411">
            <w:pPr>
              <w:autoSpaceDE w:val="0"/>
              <w:autoSpaceDN w:val="0"/>
              <w:adjustRightInd w:val="0"/>
              <w:spacing w:before="120" w:after="120" w:line="240" w:lineRule="auto"/>
              <w:jc w:val="both"/>
            </w:pPr>
            <w:r w:rsidRPr="00CA3AEF">
              <w:t xml:space="preserve">Dla przejrzystości finansowej w projekcie w przypadku przepływów finansowych między partnerami wymagane jest utworzenie odrębnych rachunków bankowych poszczególnych członków partnerstwa. </w:t>
            </w:r>
          </w:p>
          <w:p w:rsidR="00984533" w:rsidRPr="00CA3AEF" w:rsidRDefault="00984533" w:rsidP="00480411">
            <w:pPr>
              <w:spacing w:before="120" w:after="120" w:line="240" w:lineRule="auto"/>
              <w:jc w:val="both"/>
            </w:pPr>
            <w:r w:rsidRPr="00CA3AEF">
              <w:t xml:space="preserve">Projekt partnerski jest realizowany na podstawie decyzji lub umowy </w:t>
            </w:r>
            <w:r w:rsidRPr="00CA3AEF">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CA3AEF" w:rsidRDefault="00984533" w:rsidP="00480411">
            <w:pPr>
              <w:spacing w:before="120" w:after="120" w:line="240" w:lineRule="auto"/>
              <w:jc w:val="both"/>
            </w:pPr>
            <w:r w:rsidRPr="00CA3AEF">
              <w:t>Utworzenie lub zainicjowanie partnerstwa musi nastąpić przed złożeniem wniosku o dofinansowanie.</w:t>
            </w:r>
          </w:p>
          <w:p w:rsidR="00984533" w:rsidRPr="00CA3AEF" w:rsidRDefault="00984533" w:rsidP="00480411">
            <w:pPr>
              <w:spacing w:before="120" w:after="120" w:line="240" w:lineRule="auto"/>
              <w:jc w:val="both"/>
            </w:pPr>
            <w:r w:rsidRPr="00CA3AEF">
              <w:t>Stroną porozumienia oraz umowy o partnerstwie nie może być podmiot wykluczony z możliwości otrzymania dofinansowania.</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Porozumienie oraz umowa o partnerstwie określają w szczególności:</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1) przedmiot porozumienia albo umowy;</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2) prawa i obowiązki stron;</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3) zakres i formę udziału poszczególnych partnerów w projekcie;</w:t>
            </w:r>
          </w:p>
          <w:p w:rsidR="00984533" w:rsidRPr="00CA3AEF" w:rsidRDefault="00673C73" w:rsidP="00480411">
            <w:pPr>
              <w:autoSpaceDE w:val="0"/>
              <w:autoSpaceDN w:val="0"/>
              <w:adjustRightInd w:val="0"/>
              <w:spacing w:after="0" w:line="240" w:lineRule="auto"/>
              <w:jc w:val="both"/>
              <w:rPr>
                <w:rFonts w:cs="TimesNewRomanPSMT"/>
              </w:rPr>
            </w:pPr>
            <w:r w:rsidRPr="00CA3AEF">
              <w:rPr>
                <w:rFonts w:cs="TimesNewRomanPSMT"/>
              </w:rPr>
              <w:t xml:space="preserve">4) </w:t>
            </w:r>
            <w:r w:rsidR="00984533" w:rsidRPr="00CA3AEF">
              <w:rPr>
                <w:rFonts w:cs="TimesNewRomanPSMT"/>
              </w:rPr>
              <w:t>partnera wiodącego uprawnionego do reprezentowania pozostałych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5) sposób przekazywania dofinansowania na pokrycie kosztów ponoszonych przez poszczególnych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 xml:space="preserve">umożliwiający określenie kwoty dofinansowania udzielonego każdemu </w:t>
            </w:r>
            <w:r w:rsidRPr="00CA3AEF">
              <w:rPr>
                <w:rFonts w:cs="TimesNewRomanPSMT"/>
              </w:rPr>
              <w:br/>
              <w:t>z partnerów;</w:t>
            </w:r>
          </w:p>
          <w:p w:rsidR="00984533" w:rsidRPr="00CA3AEF" w:rsidRDefault="00984533" w:rsidP="00E92452">
            <w:pPr>
              <w:spacing w:after="0" w:line="240" w:lineRule="auto"/>
              <w:jc w:val="both"/>
              <w:rPr>
                <w:rFonts w:cs="TimesNewRomanPSMT"/>
              </w:rPr>
            </w:pPr>
            <w:r w:rsidRPr="00CA3AEF">
              <w:rPr>
                <w:rFonts w:cs="TimesNewRomanPSMT"/>
              </w:rPr>
              <w:t xml:space="preserve">6) sposób postępowania w przypadku naruszenia lub niewywiązania się stron </w:t>
            </w:r>
            <w:r w:rsidRPr="00CA3AEF">
              <w:rPr>
                <w:rFonts w:cs="TimesNewRomanPSMT"/>
              </w:rPr>
              <w:br/>
            </w:r>
            <w:r w:rsidRPr="00CA3AEF">
              <w:rPr>
                <w:rFonts w:cs="TimesNewRomanPSMT"/>
              </w:rPr>
              <w:lastRenderedPageBreak/>
              <w:t>z porozumienia lub umowy.</w:t>
            </w:r>
          </w:p>
          <w:p w:rsidR="00E92452" w:rsidRPr="00CA3AEF" w:rsidRDefault="00E92452" w:rsidP="00E92452">
            <w:pPr>
              <w:spacing w:after="0" w:line="240" w:lineRule="auto"/>
              <w:jc w:val="both"/>
              <w:rPr>
                <w:rFonts w:cs="TimesNewRomanPSMT"/>
              </w:rPr>
            </w:pPr>
          </w:p>
          <w:p w:rsidR="00984533" w:rsidRPr="00CA3AEF" w:rsidRDefault="00984533" w:rsidP="00480411">
            <w:pPr>
              <w:tabs>
                <w:tab w:val="left" w:pos="280"/>
              </w:tabs>
              <w:spacing w:after="120" w:line="240" w:lineRule="auto"/>
              <w:jc w:val="both"/>
            </w:pPr>
            <w:r w:rsidRPr="00CA3AEF">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CA3AEF" w:rsidRDefault="00984533" w:rsidP="00CA3AEF">
            <w:pPr>
              <w:autoSpaceDE w:val="0"/>
              <w:autoSpaceDN w:val="0"/>
              <w:adjustRightInd w:val="0"/>
              <w:spacing w:after="0" w:line="240" w:lineRule="auto"/>
              <w:jc w:val="both"/>
              <w:rPr>
                <w:rFonts w:cs="MS Sans Serif"/>
              </w:rPr>
            </w:pPr>
            <w:r w:rsidRPr="00CA3AEF">
              <w:t>W przypadku projektów partnerskich realizowanych na podstawie umowy partnerskiej, podmiot, o którym mowa w art. 3 ust. 1 ustawy z dnia 29 stycznia 2004 r</w:t>
            </w:r>
            <w:r w:rsidRPr="00CA3AEF">
              <w:rPr>
                <w:i/>
              </w:rPr>
              <w:t xml:space="preserve">. </w:t>
            </w:r>
            <w:r w:rsidRPr="00CA3AEF">
              <w:t>Prawo zamówień publicznych</w:t>
            </w:r>
            <w:r w:rsidRPr="00CA3AEF">
              <w:rPr>
                <w:i/>
              </w:rPr>
              <w:t xml:space="preserve"> </w:t>
            </w:r>
            <w:r w:rsidRPr="00CA3AEF">
              <w:t>(</w:t>
            </w:r>
            <w:r w:rsidR="00CA3AEF" w:rsidRPr="00CA3AEF">
              <w:rPr>
                <w:rFonts w:cs="MS Sans Serif"/>
              </w:rPr>
              <w:t>Dz. U. z 2015 r. poz. 2164</w:t>
            </w:r>
            <w:r w:rsidRPr="00CA3AEF">
              <w:t>), ubiegający się o dofinansowanie dokonuje wyboru partnerów spoza sektora finansów publicznych z zachowaniem zasady przejrzystości i równego traktowania podmiotów. Z zachowaniem zasad określonych w art. 33 ust. 2 ustawy.</w:t>
            </w:r>
          </w:p>
          <w:p w:rsidR="00984533" w:rsidRPr="00CA3AEF" w:rsidRDefault="00984533" w:rsidP="00480411">
            <w:pPr>
              <w:autoSpaceDE w:val="0"/>
              <w:autoSpaceDN w:val="0"/>
              <w:adjustRightInd w:val="0"/>
              <w:spacing w:before="120" w:after="120" w:line="240" w:lineRule="auto"/>
              <w:jc w:val="both"/>
            </w:pPr>
            <w:r w:rsidRPr="00CA3AEF">
              <w:t xml:space="preserve">Wybór partnerów spoza sektora finansów publicznych jest dokonywany przed złożeniem wniosku o dofinansowanie projektu partnerskiego. </w:t>
            </w:r>
          </w:p>
          <w:p w:rsidR="00984533" w:rsidRPr="00CA3AEF" w:rsidRDefault="00984533" w:rsidP="00480411">
            <w:pPr>
              <w:spacing w:line="240" w:lineRule="auto"/>
              <w:jc w:val="both"/>
            </w:pPr>
            <w:r w:rsidRPr="00CA3AEF">
              <w:t xml:space="preserve">Udział partnerów i wniesienie zasobów ludzkich, organizacyjnych, technicznych lub finansowych, a także potencjału społecznego musi być adekwatny do celu projektu. </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CA3AEF"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bCs/>
          <w:szCs w:val="22"/>
        </w:rPr>
        <w:t>Wyciąg z Kryteriów wyboru projektów</w:t>
      </w:r>
      <w:r w:rsidRPr="00CA3AEF">
        <w:rPr>
          <w:rFonts w:asciiTheme="minorHAnsi" w:hAnsiTheme="minorHAnsi"/>
          <w:szCs w:val="22"/>
        </w:rPr>
        <w:t xml:space="preserve"> zatwierdzonych przez KM RPO WD 2014-2020 </w:t>
      </w:r>
      <w:r w:rsidR="0034777C" w:rsidRPr="00CA3AEF">
        <w:rPr>
          <w:rFonts w:asciiTheme="minorHAnsi" w:hAnsiTheme="minorHAnsi"/>
          <w:szCs w:val="22"/>
        </w:rPr>
        <w:t xml:space="preserve">w dniu </w:t>
      </w:r>
      <w:r w:rsidR="00185792" w:rsidRPr="00CA3AEF">
        <w:rPr>
          <w:rFonts w:asciiTheme="minorHAnsi" w:hAnsiTheme="minorHAnsi"/>
          <w:szCs w:val="22"/>
        </w:rPr>
        <w:t>0</w:t>
      </w:r>
      <w:r w:rsidR="00673C73" w:rsidRPr="00CA3AEF">
        <w:rPr>
          <w:rFonts w:asciiTheme="minorHAnsi" w:hAnsiTheme="minorHAnsi"/>
          <w:szCs w:val="22"/>
        </w:rPr>
        <w:t>7</w:t>
      </w:r>
      <w:r w:rsidR="00185792" w:rsidRPr="00CA3AEF">
        <w:rPr>
          <w:rFonts w:asciiTheme="minorHAnsi" w:hAnsiTheme="minorHAnsi"/>
          <w:szCs w:val="22"/>
        </w:rPr>
        <w:t>.0</w:t>
      </w:r>
      <w:r w:rsidR="00673C73" w:rsidRPr="00CA3AEF">
        <w:rPr>
          <w:rFonts w:asciiTheme="minorHAnsi" w:hAnsiTheme="minorHAnsi"/>
          <w:szCs w:val="22"/>
        </w:rPr>
        <w:t>4</w:t>
      </w:r>
      <w:r w:rsidR="0034777C" w:rsidRPr="00CA3AEF">
        <w:rPr>
          <w:rFonts w:asciiTheme="minorHAnsi" w:hAnsiTheme="minorHAnsi"/>
          <w:szCs w:val="22"/>
        </w:rPr>
        <w:t>.2016</w:t>
      </w:r>
      <w:r w:rsidR="000D366A" w:rsidRPr="00CA3AEF">
        <w:rPr>
          <w:rFonts w:asciiTheme="minorHAnsi" w:hAnsiTheme="minorHAnsi"/>
          <w:szCs w:val="22"/>
        </w:rPr>
        <w:t xml:space="preserve"> r. (Uchwała  </w:t>
      </w:r>
      <w:r w:rsidR="000D366A" w:rsidRPr="00CA3AEF">
        <w:rPr>
          <w:rFonts w:asciiTheme="minorHAnsi" w:hAnsiTheme="minorHAnsi"/>
          <w:bCs/>
          <w:szCs w:val="22"/>
        </w:rPr>
        <w:t xml:space="preserve">nr </w:t>
      </w:r>
      <w:r w:rsidR="00673C73" w:rsidRPr="00CA3AEF">
        <w:rPr>
          <w:rFonts w:asciiTheme="minorHAnsi" w:hAnsiTheme="minorHAnsi"/>
          <w:bCs/>
          <w:szCs w:val="22"/>
        </w:rPr>
        <w:t>31</w:t>
      </w:r>
      <w:r w:rsidR="000D366A" w:rsidRPr="00CA3AEF">
        <w:rPr>
          <w:rFonts w:asciiTheme="minorHAnsi" w:hAnsiTheme="minorHAnsi"/>
          <w:bCs/>
          <w:szCs w:val="22"/>
        </w:rPr>
        <w:t>/1</w:t>
      </w:r>
      <w:r w:rsidR="0034777C" w:rsidRPr="00CA3AEF">
        <w:rPr>
          <w:rFonts w:asciiTheme="minorHAnsi" w:hAnsiTheme="minorHAnsi"/>
          <w:bCs/>
          <w:szCs w:val="22"/>
        </w:rPr>
        <w:t>6</w:t>
      </w:r>
      <w:r w:rsidR="000D366A" w:rsidRPr="00CA3AEF">
        <w:rPr>
          <w:rFonts w:asciiTheme="minorHAnsi" w:hAnsiTheme="minorHAnsi"/>
          <w:szCs w:val="22"/>
        </w:rPr>
        <w:t xml:space="preserve"> KM RPO WD)</w:t>
      </w:r>
      <w:r w:rsidR="001B7E02" w:rsidRPr="00CA3AEF">
        <w:rPr>
          <w:rFonts w:asciiTheme="minorHAnsi" w:hAnsiTheme="minorHAnsi"/>
          <w:szCs w:val="22"/>
        </w:rPr>
        <w:t xml:space="preserve"> </w:t>
      </w:r>
      <w:r w:rsidRPr="00CA3AEF">
        <w:rPr>
          <w:rFonts w:asciiTheme="minorHAnsi" w:hAnsiTheme="minorHAnsi"/>
          <w:szCs w:val="22"/>
        </w:rPr>
        <w:t>obowiązujących w niniejszym naborze.</w:t>
      </w:r>
    </w:p>
    <w:p w:rsidR="00673C73" w:rsidRPr="00CA3AEF"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cs="Calibri"/>
          <w:color w:val="000000"/>
          <w:szCs w:val="22"/>
        </w:rPr>
        <w:t xml:space="preserve">Lista wskaźników na poziomie projektu dla </w:t>
      </w:r>
      <w:r w:rsidR="00540EE1" w:rsidRPr="00CA3AEF">
        <w:rPr>
          <w:rFonts w:asciiTheme="minorHAnsi" w:hAnsiTheme="minorHAnsi" w:cs="Calibri"/>
          <w:color w:val="000000"/>
          <w:szCs w:val="22"/>
        </w:rPr>
        <w:t>pod</w:t>
      </w:r>
      <w:r w:rsidRPr="00CA3AEF">
        <w:rPr>
          <w:rFonts w:asciiTheme="minorHAnsi" w:hAnsiTheme="minorHAnsi" w:cs="Calibri"/>
          <w:color w:val="000000"/>
          <w:szCs w:val="22"/>
        </w:rPr>
        <w:t xml:space="preserve">działania </w:t>
      </w:r>
      <w:r w:rsidR="006A2DD1" w:rsidRPr="00CA3AEF">
        <w:rPr>
          <w:rFonts w:asciiTheme="minorHAnsi" w:hAnsiTheme="minorHAnsi" w:cs="Calibri"/>
          <w:color w:val="000000"/>
          <w:szCs w:val="22"/>
        </w:rPr>
        <w:t>4.</w:t>
      </w:r>
      <w:r w:rsidR="00533B9A">
        <w:rPr>
          <w:rFonts w:asciiTheme="minorHAnsi" w:hAnsiTheme="minorHAnsi" w:cs="Calibri"/>
          <w:color w:val="000000"/>
          <w:szCs w:val="22"/>
        </w:rPr>
        <w:t>3</w:t>
      </w:r>
      <w:r w:rsidR="0034777C" w:rsidRPr="00CA3AEF">
        <w:rPr>
          <w:rFonts w:asciiTheme="minorHAnsi" w:hAnsiTheme="minorHAnsi" w:cs="Calibri"/>
          <w:color w:val="000000"/>
          <w:szCs w:val="22"/>
        </w:rPr>
        <w:t xml:space="preserve">.1 </w:t>
      </w:r>
      <w:r w:rsidR="00533B9A">
        <w:rPr>
          <w:rFonts w:asciiTheme="minorHAnsi" w:hAnsiTheme="minorHAnsi" w:cs="Arial"/>
          <w:bCs/>
        </w:rPr>
        <w:t xml:space="preserve">Dziedzictwo kulturowe </w:t>
      </w:r>
      <w:r w:rsidR="00CA3AEF">
        <w:rPr>
          <w:rFonts w:asciiTheme="minorHAnsi" w:hAnsiTheme="minorHAnsi" w:cs="Arial"/>
          <w:bCs/>
        </w:rPr>
        <w:t>– konkursy horyzontalne – nabór na OSI</w:t>
      </w:r>
      <w:r w:rsidR="00673C73" w:rsidRPr="00CA3AEF">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CA3AEF">
      <w:footerReference w:type="default" r:id="rId33"/>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21" w:rsidRDefault="00CA2621" w:rsidP="00E873C4">
      <w:pPr>
        <w:spacing w:after="0" w:line="240" w:lineRule="auto"/>
      </w:pPr>
      <w:r>
        <w:separator/>
      </w:r>
    </w:p>
  </w:endnote>
  <w:endnote w:type="continuationSeparator" w:id="0">
    <w:p w:rsidR="00CA2621" w:rsidRDefault="00CA262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CA2621" w:rsidRDefault="00CA2621">
        <w:pPr>
          <w:pStyle w:val="Stopka"/>
          <w:jc w:val="right"/>
        </w:pPr>
        <w:r>
          <w:fldChar w:fldCharType="begin"/>
        </w:r>
        <w:r>
          <w:instrText xml:space="preserve"> PAGE   \* MERGEFORMAT </w:instrText>
        </w:r>
        <w:r>
          <w:fldChar w:fldCharType="separate"/>
        </w:r>
        <w:r w:rsidR="001A5E16">
          <w:rPr>
            <w:noProof/>
          </w:rPr>
          <w:t>28</w:t>
        </w:r>
        <w:r>
          <w:rPr>
            <w:noProof/>
          </w:rPr>
          <w:fldChar w:fldCharType="end"/>
        </w:r>
      </w:p>
    </w:sdtContent>
  </w:sdt>
  <w:p w:rsidR="00CA2621" w:rsidRDefault="00CA26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21" w:rsidRDefault="00CA2621" w:rsidP="00E873C4">
      <w:pPr>
        <w:spacing w:after="0" w:line="240" w:lineRule="auto"/>
      </w:pPr>
      <w:r>
        <w:separator/>
      </w:r>
    </w:p>
  </w:footnote>
  <w:footnote w:type="continuationSeparator" w:id="0">
    <w:p w:rsidR="00CA2621" w:rsidRDefault="00CA2621" w:rsidP="00E873C4">
      <w:pPr>
        <w:spacing w:after="0" w:line="240" w:lineRule="auto"/>
      </w:pPr>
      <w:r>
        <w:continuationSeparator/>
      </w:r>
    </w:p>
  </w:footnote>
  <w:footnote w:id="1">
    <w:p w:rsidR="00CA2621" w:rsidRDefault="00CA2621"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CA2621" w:rsidRDefault="00CA2621"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CA2621" w:rsidRDefault="00CA2621"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CA2621" w:rsidRDefault="00CA2621"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CA2621" w:rsidRDefault="00CA2621"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7">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8">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9"/>
  </w:num>
  <w:num w:numId="4">
    <w:abstractNumId w:val="34"/>
  </w:num>
  <w:num w:numId="5">
    <w:abstractNumId w:val="5"/>
  </w:num>
  <w:num w:numId="6">
    <w:abstractNumId w:val="41"/>
  </w:num>
  <w:num w:numId="7">
    <w:abstractNumId w:val="10"/>
  </w:num>
  <w:num w:numId="8">
    <w:abstractNumId w:val="18"/>
  </w:num>
  <w:num w:numId="9">
    <w:abstractNumId w:val="38"/>
  </w:num>
  <w:num w:numId="10">
    <w:abstractNumId w:val="23"/>
  </w:num>
  <w:num w:numId="11">
    <w:abstractNumId w:val="32"/>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1"/>
  </w:num>
  <w:num w:numId="17">
    <w:abstractNumId w:val="45"/>
  </w:num>
  <w:num w:numId="18">
    <w:abstractNumId w:val="29"/>
  </w:num>
  <w:num w:numId="19">
    <w:abstractNumId w:val="2"/>
  </w:num>
  <w:num w:numId="20">
    <w:abstractNumId w:val="25"/>
  </w:num>
  <w:num w:numId="21">
    <w:abstractNumId w:val="30"/>
  </w:num>
  <w:num w:numId="22">
    <w:abstractNumId w:val="42"/>
  </w:num>
  <w:num w:numId="23">
    <w:abstractNumId w:val="20"/>
  </w:num>
  <w:num w:numId="24">
    <w:abstractNumId w:val="36"/>
  </w:num>
  <w:num w:numId="25">
    <w:abstractNumId w:val="40"/>
  </w:num>
  <w:num w:numId="26">
    <w:abstractNumId w:val="21"/>
  </w:num>
  <w:num w:numId="27">
    <w:abstractNumId w:val="27"/>
  </w:num>
  <w:num w:numId="28">
    <w:abstractNumId w:val="7"/>
  </w:num>
  <w:num w:numId="29">
    <w:abstractNumId w:val="0"/>
  </w:num>
  <w:num w:numId="30">
    <w:abstractNumId w:val="6"/>
  </w:num>
  <w:num w:numId="31">
    <w:abstractNumId w:val="3"/>
  </w:num>
  <w:num w:numId="32">
    <w:abstractNumId w:val="26"/>
  </w:num>
  <w:num w:numId="33">
    <w:abstractNumId w:val="12"/>
  </w:num>
  <w:num w:numId="34">
    <w:abstractNumId w:val="46"/>
  </w:num>
  <w:num w:numId="35">
    <w:abstractNumId w:val="37"/>
  </w:num>
  <w:num w:numId="36">
    <w:abstractNumId w:val="43"/>
  </w:num>
  <w:num w:numId="37">
    <w:abstractNumId w:val="15"/>
  </w:num>
  <w:num w:numId="38">
    <w:abstractNumId w:val="4"/>
  </w:num>
  <w:num w:numId="39">
    <w:abstractNumId w:val="16"/>
  </w:num>
  <w:num w:numId="40">
    <w:abstractNumId w:val="22"/>
  </w:num>
  <w:num w:numId="41">
    <w:abstractNumId w:val="14"/>
  </w:num>
  <w:num w:numId="42">
    <w:abstractNumId w:val="9"/>
  </w:num>
  <w:num w:numId="43">
    <w:abstractNumId w:val="44"/>
  </w:num>
  <w:num w:numId="44">
    <w:abstractNumId w:val="24"/>
  </w:num>
  <w:num w:numId="45">
    <w:abstractNumId w:val="28"/>
  </w:num>
  <w:num w:numId="46">
    <w:abstractNumId w:val="11"/>
  </w:num>
  <w:num w:numId="47">
    <w:abstractNumId w:val="35"/>
  </w:num>
  <w:num w:numId="4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89C"/>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5E16"/>
    <w:rsid w:val="001A62E1"/>
    <w:rsid w:val="001A76B8"/>
    <w:rsid w:val="001B7E02"/>
    <w:rsid w:val="001D5ADE"/>
    <w:rsid w:val="001D79AC"/>
    <w:rsid w:val="001E6CC9"/>
    <w:rsid w:val="00203AEB"/>
    <w:rsid w:val="00204163"/>
    <w:rsid w:val="002049F3"/>
    <w:rsid w:val="0020507A"/>
    <w:rsid w:val="00207364"/>
    <w:rsid w:val="00214423"/>
    <w:rsid w:val="00216D57"/>
    <w:rsid w:val="0022084B"/>
    <w:rsid w:val="002238CA"/>
    <w:rsid w:val="00235FAB"/>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3B9A"/>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013E7"/>
    <w:rsid w:val="00630D34"/>
    <w:rsid w:val="00634D48"/>
    <w:rsid w:val="00643AB6"/>
    <w:rsid w:val="00647C29"/>
    <w:rsid w:val="006545AC"/>
    <w:rsid w:val="00656F36"/>
    <w:rsid w:val="00670468"/>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6815"/>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0C43"/>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486"/>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7646A"/>
    <w:rsid w:val="00B80017"/>
    <w:rsid w:val="00B845DE"/>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7CC9"/>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2621"/>
    <w:rsid w:val="00CA32FC"/>
    <w:rsid w:val="00CA3AEF"/>
    <w:rsid w:val="00CA6245"/>
    <w:rsid w:val="00CA6EA5"/>
    <w:rsid w:val="00CB0572"/>
    <w:rsid w:val="00CB17E9"/>
    <w:rsid w:val="00CB50D7"/>
    <w:rsid w:val="00CB5165"/>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42A83"/>
    <w:rsid w:val="00E50251"/>
    <w:rsid w:val="00E51525"/>
    <w:rsid w:val="00E5371F"/>
    <w:rsid w:val="00E61A5B"/>
    <w:rsid w:val="00E630E4"/>
    <w:rsid w:val="00E63998"/>
    <w:rsid w:val="00E63FE4"/>
    <w:rsid w:val="00E660DF"/>
    <w:rsid w:val="00E734C3"/>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27888"/>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DF94-C36E-49ED-8C44-C397A83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10042</Words>
  <Characters>60254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2016-04-27T10:41:00Z</cp:lastPrinted>
  <dcterms:created xsi:type="dcterms:W3CDTF">2016-04-27T06:50:00Z</dcterms:created>
  <dcterms:modified xsi:type="dcterms:W3CDTF">2016-04-27T10:47:00Z</dcterms:modified>
</cp:coreProperties>
</file>