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9"/>
      <w:docPartObj>
        <w:docPartGallery w:val="Page Numbers (Bottom of Page)"/>
        <w:docPartUnique/>
      </w:docPartObj>
    </w:sdtPr>
    <w:sdtEndPr/>
    <w:sdtContent>
      <w:p w:rsidR="009730F9" w:rsidRDefault="00056A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A47" w:rsidRDefault="00283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47" w:rsidRDefault="009730F9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9730F9">
      <w:rPr>
        <w:rFonts w:eastAsia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9730F9" w:rsidRDefault="009730F9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</w:t>
    </w:r>
    <w:r w:rsidR="009730F9">
      <w:rPr>
        <w:rFonts w:eastAsia="Times New Roman" w:cs="Times New Roman"/>
        <w:sz w:val="20"/>
        <w:szCs w:val="20"/>
        <w:lang w:eastAsia="pl-PL"/>
      </w:rPr>
      <w:t xml:space="preserve"> 3</w:t>
    </w:r>
    <w:r>
      <w:rPr>
        <w:rFonts w:eastAsia="Times New Roman" w:cs="Times New Roman"/>
        <w:sz w:val="20"/>
        <w:szCs w:val="20"/>
        <w:lang w:eastAsia="pl-PL"/>
      </w:rPr>
      <w:t xml:space="preserve"> </w:t>
    </w:r>
    <w:r w:rsidRPr="00DA1747">
      <w:rPr>
        <w:rFonts w:eastAsia="Times New Roman" w:cs="Times New Roman"/>
        <w:sz w:val="20"/>
        <w:szCs w:val="20"/>
        <w:lang w:eastAsia="pl-PL"/>
      </w:rPr>
      <w:t xml:space="preserve">do Regulaminu konkursu </w:t>
    </w:r>
  </w:p>
  <w:p w:rsidR="00D85BF1" w:rsidRDefault="004C51B4">
    <w:pPr>
      <w:pStyle w:val="Nagwek"/>
    </w:pPr>
    <w:r>
      <w:rPr>
        <w:sz w:val="20"/>
      </w:rPr>
      <w:tab/>
    </w:r>
    <w:r>
      <w:rPr>
        <w:sz w:val="20"/>
      </w:rPr>
      <w:tab/>
      <w:t>Nr naboru RPDS.07.02.03-IZ.00-02-093</w:t>
    </w:r>
    <w:r w:rsidRPr="002740FF">
      <w:rPr>
        <w:sz w:val="20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056AD2"/>
    <w:rsid w:val="001C18CC"/>
    <w:rsid w:val="001F7D9F"/>
    <w:rsid w:val="0021620F"/>
    <w:rsid w:val="00244DA7"/>
    <w:rsid w:val="00283A47"/>
    <w:rsid w:val="00332702"/>
    <w:rsid w:val="003870F9"/>
    <w:rsid w:val="004C51B4"/>
    <w:rsid w:val="004E6766"/>
    <w:rsid w:val="00511C94"/>
    <w:rsid w:val="005416AB"/>
    <w:rsid w:val="006476F8"/>
    <w:rsid w:val="00690A61"/>
    <w:rsid w:val="007B78CD"/>
    <w:rsid w:val="00836EAC"/>
    <w:rsid w:val="008848E0"/>
    <w:rsid w:val="008B399B"/>
    <w:rsid w:val="009730F9"/>
    <w:rsid w:val="00982069"/>
    <w:rsid w:val="009B2B24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9</cp:revision>
  <dcterms:created xsi:type="dcterms:W3CDTF">2016-02-21T18:31:00Z</dcterms:created>
  <dcterms:modified xsi:type="dcterms:W3CDTF">2016-03-24T08:40:00Z</dcterms:modified>
</cp:coreProperties>
</file>