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4" w:rsidRPr="009B2B24" w:rsidRDefault="009B2B24" w:rsidP="009B2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B2B24" w:rsidRDefault="009B2B24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9B2B24">
        <w:rPr>
          <w:rFonts w:ascii="Arial" w:hAnsi="Arial" w:cs="Arial"/>
          <w:b/>
          <w:color w:val="000000"/>
          <w:u w:val="single"/>
        </w:rPr>
        <w:t>Standard wyposażenia szkolnych pracowni</w:t>
      </w: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wyposażenie wszystkich szkolnych pracowni powinno być dostosowane do potrzeb ich użytkowników, w tym wynikających z niepełnosprawności; </w:t>
      </w:r>
    </w:p>
    <w:p w:rsidR="001C18CC" w:rsidRDefault="001C18CC" w:rsidP="001C18CC">
      <w:pPr>
        <w:pStyle w:val="Default"/>
        <w:jc w:val="both"/>
        <w:rPr>
          <w:sz w:val="22"/>
          <w:szCs w:val="22"/>
        </w:rPr>
      </w:pPr>
    </w:p>
    <w:p w:rsidR="001C18CC" w:rsidRDefault="001C18CC" w:rsidP="001C18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zakupione wyposażenie powinno być dostosowane do odpowiedniego etapu edukacyjnego </w:t>
      </w:r>
      <w:r>
        <w:rPr>
          <w:sz w:val="22"/>
          <w:szCs w:val="22"/>
        </w:rPr>
        <w:br/>
        <w:t xml:space="preserve">i zakresu realizacji podstawy programowej </w:t>
      </w:r>
      <w:bookmarkStart w:id="0" w:name="_GoBack"/>
      <w:bookmarkEnd w:id="0"/>
      <w:r>
        <w:rPr>
          <w:sz w:val="22"/>
          <w:szCs w:val="22"/>
        </w:rPr>
        <w:t>w poszczególnych typach szkół (podstawowego lub rozszerzonego).</w:t>
      </w:r>
    </w:p>
    <w:p w:rsidR="001C18CC" w:rsidRPr="009B2B24" w:rsidRDefault="001C18CC" w:rsidP="009B2B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B2B24" w:rsidRDefault="009B2B24" w:rsidP="003870F9">
      <w:pPr>
        <w:pStyle w:val="Default"/>
        <w:rPr>
          <w:sz w:val="22"/>
          <w:szCs w:val="22"/>
        </w:rPr>
      </w:pPr>
    </w:p>
    <w:p w:rsidR="003870F9" w:rsidRDefault="003870F9" w:rsidP="009B2B24">
      <w:pPr>
        <w:pStyle w:val="Default"/>
        <w:jc w:val="both"/>
        <w:rPr>
          <w:sz w:val="22"/>
          <w:szCs w:val="22"/>
        </w:rPr>
      </w:pPr>
      <w:r w:rsidRPr="009B2B24">
        <w:rPr>
          <w:b/>
          <w:sz w:val="22"/>
          <w:szCs w:val="22"/>
          <w:u w:val="single"/>
        </w:rPr>
        <w:t>Wyposażenie szkolnych pracowni w narzędzia do nauczania przedmiotów przyrodniczych musi spełniać poniższe warunki</w:t>
      </w:r>
      <w:r>
        <w:rPr>
          <w:sz w:val="22"/>
          <w:szCs w:val="22"/>
        </w:rPr>
        <w:t xml:space="preserve">: </w:t>
      </w:r>
    </w:p>
    <w:p w:rsidR="00690A61" w:rsidRDefault="00690A61" w:rsidP="003870F9">
      <w:pPr>
        <w:pStyle w:val="Default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katalog wydatków kwalifikowalnych w ramach wyposażenia szkolnych pracowni przedmiotów przyrodniczych obejmuje: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70F9">
        <w:rPr>
          <w:sz w:val="22"/>
          <w:szCs w:val="22"/>
        </w:rPr>
        <w:t xml:space="preserve">podstawowe wyposażenie pracowni (wagi, szafy laboratoryjne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sprzęt niezbędny do przeprowadzania doświadczeń, eksperymentów, obserwacji (przyrządy pomiarowe, przyrządy optyczne, szkło laboratoryjne, szkiełka mikroskopowe itp.), w tym narzędzia TIK wraz z odpowiednimi aplikacjami tematycznymi;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odczynniki lub substancje chemiczne;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środki czystości;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pomoce dydaktyczne (środki trwałe, mapy, atlasy, roczniki statystyczne itp.); </w:t>
      </w:r>
    </w:p>
    <w:p w:rsidR="003870F9" w:rsidRDefault="003870F9" w:rsidP="003870F9">
      <w:pPr>
        <w:pStyle w:val="Default"/>
        <w:ind w:left="720"/>
        <w:rPr>
          <w:sz w:val="22"/>
          <w:szCs w:val="22"/>
        </w:rPr>
      </w:pPr>
    </w:p>
    <w:p w:rsidR="003870F9" w:rsidRDefault="003870F9" w:rsidP="003870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szczegółowy katalog wyposażenia szkolnych pracowni przedmiotów przyrodniczych został opracowany przez MEN i jest udostępniany za pośrednictwem strony internetowej </w:t>
      </w:r>
      <w:hyperlink r:id="rId8" w:history="1">
        <w:r w:rsidRPr="001F20AE">
          <w:rPr>
            <w:rStyle w:val="Hipercze"/>
            <w:sz w:val="22"/>
            <w:szCs w:val="22"/>
          </w:rPr>
          <w:t>http://efs.men.gov.pl</w:t>
        </w:r>
      </w:hyperlink>
    </w:p>
    <w:p w:rsidR="003870F9" w:rsidRDefault="003870F9" w:rsidP="003870F9">
      <w:pPr>
        <w:pStyle w:val="Default"/>
        <w:jc w:val="both"/>
        <w:rPr>
          <w:sz w:val="22"/>
          <w:szCs w:val="22"/>
        </w:rPr>
      </w:pPr>
    </w:p>
    <w:p w:rsidR="003870F9" w:rsidRDefault="003870F9" w:rsidP="003870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liczba zestawów laboratoryjnych (doświadczalnych) zakupionych w ramach wyposażenia szkolnych pracowni przedmiotów przyrodniczych jest zależna od wielkości szkoły lub placówki systemu oświaty, mierzonej liczbą uczniów, a także liczby grup zadaniowych, które będą realizowały doświadczenia. Co do zasady, jeden zestaw laboratoryjny jest przewidziany dla grupy zadaniowej liczącej od 2 do 5 osób; </w:t>
      </w:r>
    </w:p>
    <w:p w:rsidR="009B2B24" w:rsidRDefault="009B2B24" w:rsidP="003870F9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Pr="009B2B24" w:rsidRDefault="009B2B24" w:rsidP="009B2B24">
      <w:pPr>
        <w:pStyle w:val="Default"/>
        <w:jc w:val="both"/>
        <w:rPr>
          <w:b/>
          <w:sz w:val="22"/>
          <w:szCs w:val="22"/>
          <w:u w:val="single"/>
        </w:rPr>
      </w:pPr>
      <w:r w:rsidRPr="009B2B24">
        <w:rPr>
          <w:b/>
          <w:sz w:val="22"/>
          <w:szCs w:val="22"/>
          <w:u w:val="single"/>
        </w:rPr>
        <w:t xml:space="preserve">Wyposażenie szkolnych pracowni w narzędzia do nauczania matematyki musi spełniać poniższe warunki: </w:t>
      </w:r>
    </w:p>
    <w:p w:rsidR="009B2B24" w:rsidRDefault="009B2B24" w:rsidP="009B2B24">
      <w:pPr>
        <w:pStyle w:val="Default"/>
        <w:rPr>
          <w:sz w:val="22"/>
          <w:szCs w:val="22"/>
        </w:rPr>
      </w:pPr>
    </w:p>
    <w:p w:rsidR="009B2B24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1E6">
        <w:rPr>
          <w:rFonts w:ascii="Calibri" w:hAnsi="Calibri"/>
          <w:color w:val="000000"/>
          <w:sz w:val="22"/>
          <w:szCs w:val="22"/>
        </w:rPr>
        <w:t>W ramach projektu możliwy jest zakup następujących elementów pracowni</w:t>
      </w:r>
      <w:r>
        <w:rPr>
          <w:rFonts w:ascii="Calibri" w:hAnsi="Calibri"/>
          <w:color w:val="000000"/>
          <w:sz w:val="22"/>
          <w:szCs w:val="22"/>
        </w:rPr>
        <w:t xml:space="preserve"> wpisujących się w poniższe kategorie. </w:t>
      </w:r>
      <w:r w:rsidRPr="004E31E6">
        <w:rPr>
          <w:rFonts w:ascii="Calibri" w:hAnsi="Calibri"/>
          <w:color w:val="000000"/>
          <w:sz w:val="22"/>
          <w:szCs w:val="22"/>
        </w:rPr>
        <w:t>:</w:t>
      </w:r>
    </w:p>
    <w:p w:rsidR="009B2B24" w:rsidRPr="004E31E6" w:rsidRDefault="009B2B24" w:rsidP="009B2B24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Meble</w:t>
      </w:r>
      <w:r w:rsidRPr="004E31E6">
        <w:rPr>
          <w:rFonts w:ascii="Calibri" w:hAnsi="Calibri"/>
          <w:color w:val="000000"/>
          <w:sz w:val="22"/>
          <w:szCs w:val="22"/>
        </w:rPr>
        <w:t xml:space="preserve"> - podstawowe wyposażenie </w:t>
      </w:r>
      <w:r>
        <w:rPr>
          <w:rFonts w:ascii="Calibri" w:hAnsi="Calibri"/>
          <w:color w:val="000000"/>
          <w:sz w:val="22"/>
          <w:szCs w:val="22"/>
        </w:rPr>
        <w:t>wynikające z przeznaczenia</w:t>
      </w:r>
      <w:r w:rsidRPr="004E31E6">
        <w:rPr>
          <w:rFonts w:ascii="Calibri" w:hAnsi="Calibri"/>
          <w:color w:val="000000"/>
          <w:sz w:val="22"/>
          <w:szCs w:val="22"/>
        </w:rPr>
        <w:t xml:space="preserve"> pracowni takie jak: szafy, szafki, tablice zwykłe i magnetyczne wraz z przyrządami, stojaki do przechowywania plansz itp.)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lastRenderedPageBreak/>
        <w:t>Sprzęt niezbędny do przeprowadzenia zajęć</w:t>
      </w:r>
      <w:r w:rsidRPr="004E31E6">
        <w:rPr>
          <w:rFonts w:ascii="Calibri" w:hAnsi="Calibri"/>
          <w:color w:val="000000"/>
          <w:sz w:val="22"/>
          <w:szCs w:val="22"/>
        </w:rPr>
        <w:t xml:space="preserve">, w tym narzędzia Technologii Informacyjno-Komunikacyjnych wraz z aplikacjami tematycznymi np. </w:t>
      </w:r>
      <w:proofErr w:type="spellStart"/>
      <w:r w:rsidRPr="004E31E6">
        <w:rPr>
          <w:rFonts w:ascii="Calibri" w:hAnsi="Calibri"/>
          <w:color w:val="000000"/>
          <w:sz w:val="22"/>
          <w:szCs w:val="22"/>
        </w:rPr>
        <w:t>wizualizer</w:t>
      </w:r>
      <w:proofErr w:type="spellEnd"/>
      <w:r w:rsidRPr="004E31E6">
        <w:rPr>
          <w:rFonts w:ascii="Calibri" w:hAnsi="Calibri"/>
          <w:color w:val="000000"/>
          <w:sz w:val="22"/>
          <w:szCs w:val="22"/>
        </w:rPr>
        <w:t xml:space="preserve"> przestrzenny, komputer z projektorem i tablicą interaktywną.</w:t>
      </w:r>
    </w:p>
    <w:p w:rsidR="009B2B24" w:rsidRPr="004E31E6" w:rsidRDefault="009B2B24" w:rsidP="009B2B2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6C0412">
        <w:rPr>
          <w:rFonts w:ascii="Calibri" w:hAnsi="Calibri"/>
          <w:b/>
          <w:color w:val="000000"/>
          <w:sz w:val="22"/>
          <w:szCs w:val="22"/>
        </w:rPr>
        <w:t>Pomoce dydaktyczne</w:t>
      </w:r>
      <w:r w:rsidRPr="004E31E6">
        <w:rPr>
          <w:rFonts w:ascii="Calibri" w:hAnsi="Calibri"/>
          <w:color w:val="000000"/>
          <w:sz w:val="22"/>
          <w:szCs w:val="22"/>
        </w:rPr>
        <w:t xml:space="preserve"> takie jak: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 do mierzenia długości: linijka, miara, koło metryczne itp.,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 xml:space="preserve"> przyrządy do nauki o zbiorach i okręgach: puzzle i układanki,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mierzenia jednostek i objętości: wagi, odważniki, klepsydry, cylindry, miarki objętości, termometry,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nauki ułamków: odcinki tablicowe- magnetyczne, ułamki magnetyczne z sortownikiem koła,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przyrządy, zestawy do budowy brył przestrzennych i szkieletów brył,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przeźroczyste modele brył i przyrządy do ich demonstracji,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anaglify – wizualizacja brył w przestrzeni,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brył do mierzenia i porównywania objętości,</w:t>
      </w:r>
    </w:p>
    <w:p w:rsidR="009B2B24" w:rsidRPr="004E31E6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 do demonstracji jednostek pola i jednostek objętości,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magnetyczne zestawy do prezentacji: pól wielokątów, twierdzenia Pitagorasa, twierdzenia Talesa, kątów wpisanych i środkowych itp.,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matematyczne gry dydaktyczne i logiczne,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programy komputerowe do nauki matematyki na określonym poziomie,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zestawy tablicowe, plansze dydaktyczne do prezentacji poszczególnych zagadnień matematycznych w tym potęg, pierwiastków, algebry, geometrii, trygonometrii itd.,</w:t>
      </w:r>
    </w:p>
    <w:p w:rsidR="009B2B24" w:rsidRPr="009E1E85" w:rsidRDefault="009B2B24" w:rsidP="009B2B2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11C94">
        <w:rPr>
          <w:rFonts w:ascii="Calibri" w:hAnsi="Calibri"/>
          <w:color w:val="000000"/>
          <w:sz w:val="22"/>
          <w:szCs w:val="22"/>
        </w:rPr>
        <w:t>inne przyrządy: duże liczydło, kalkulatory, zbiory zadań konkursowych itp.</w:t>
      </w:r>
    </w:p>
    <w:p w:rsidR="009B2B24" w:rsidRPr="009E1E85" w:rsidRDefault="009B2B24" w:rsidP="009B2B24">
      <w:pPr>
        <w:spacing w:line="360" w:lineRule="auto"/>
        <w:jc w:val="both"/>
      </w:pPr>
    </w:p>
    <w:p w:rsidR="00690A61" w:rsidRPr="001C18CC" w:rsidRDefault="001C18CC" w:rsidP="003870F9">
      <w:pPr>
        <w:rPr>
          <w:b/>
          <w:u w:val="single"/>
        </w:rPr>
      </w:pPr>
      <w:r w:rsidRPr="001C18CC">
        <w:rPr>
          <w:b/>
          <w:u w:val="single"/>
        </w:rPr>
        <w:t>Wymagania dotyczące pomocy dydaktycznych oraz narzędzi TIK w tym infrastruktury sieciowo - usługowej</w:t>
      </w:r>
    </w:p>
    <w:p w:rsidR="001C18CC" w:rsidRPr="001C18CC" w:rsidRDefault="001C18CC" w:rsidP="001C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569E" w:rsidRDefault="001C18CC" w:rsidP="001C18CC">
      <w:pPr>
        <w:jc w:val="both"/>
      </w:pPr>
      <w:r>
        <w:t xml:space="preserve">szczegółowy wykaz pomocy dydaktycznych oraz narzędzi TIK (Technologie Informacyjno-Komunikacyjne) , na zakup których udziela się wsparcia finansowego został określony przez MEN i jest udostępniany za pośrednictwem strony internetowej </w:t>
      </w:r>
      <w:hyperlink r:id="rId9" w:history="1">
        <w:r w:rsidRPr="001F20AE">
          <w:rPr>
            <w:rStyle w:val="Hipercze"/>
          </w:rPr>
          <w:t>http://efs.men.gov.pl</w:t>
        </w:r>
      </w:hyperlink>
    </w:p>
    <w:sectPr w:rsidR="00A5569E" w:rsidSect="00A556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1" w:rsidRDefault="00D85BF1" w:rsidP="00D85BF1">
      <w:pPr>
        <w:spacing w:after="0" w:line="240" w:lineRule="auto"/>
      </w:pPr>
      <w:r>
        <w:separator/>
      </w:r>
    </w:p>
  </w:endnote>
  <w:end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1"/>
      <w:docPartObj>
        <w:docPartGallery w:val="Page Numbers (Bottom of Page)"/>
        <w:docPartUnique/>
      </w:docPartObj>
    </w:sdtPr>
    <w:sdtEndPr/>
    <w:sdtContent>
      <w:p w:rsidR="00477D7A" w:rsidRDefault="009B36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A47" w:rsidRDefault="00283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1" w:rsidRDefault="00D85BF1" w:rsidP="00D85BF1">
      <w:pPr>
        <w:spacing w:after="0" w:line="240" w:lineRule="auto"/>
      </w:pPr>
      <w:r>
        <w:separator/>
      </w:r>
    </w:p>
  </w:footnote>
  <w:footnote w:type="continuationSeparator" w:id="0">
    <w:p w:rsidR="00D85BF1" w:rsidRDefault="00D85BF1" w:rsidP="00D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47" w:rsidRDefault="00477D7A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 w:rsidRPr="00477D7A">
      <w:rPr>
        <w:rFonts w:eastAsia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-20955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283A47" w:rsidRDefault="00283A47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477D7A" w:rsidRDefault="00477D7A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</w:p>
  <w:p w:rsidR="00D85BF1" w:rsidRPr="00DA1747" w:rsidRDefault="00D85BF1" w:rsidP="00D85BF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 xml:space="preserve">Załącznik  nr </w:t>
    </w:r>
    <w:r w:rsidR="00477D7A">
      <w:rPr>
        <w:rFonts w:eastAsia="Times New Roman" w:cs="Times New Roman"/>
        <w:sz w:val="20"/>
        <w:szCs w:val="20"/>
        <w:lang w:eastAsia="pl-PL"/>
      </w:rPr>
      <w:t>3</w:t>
    </w:r>
    <w:r w:rsidRPr="00DA1747">
      <w:rPr>
        <w:rFonts w:eastAsia="Times New Roman" w:cs="Times New Roman"/>
        <w:sz w:val="20"/>
        <w:szCs w:val="20"/>
        <w:lang w:eastAsia="pl-PL"/>
      </w:rPr>
      <w:t xml:space="preserve"> do Regulaminu konkursu </w:t>
    </w:r>
  </w:p>
  <w:p w:rsidR="00D85BF1" w:rsidRPr="00477D7A" w:rsidRDefault="00982069" w:rsidP="00477D7A">
    <w:pPr>
      <w:spacing w:line="240" w:lineRule="auto"/>
      <w:jc w:val="right"/>
      <w:rPr>
        <w:sz w:val="20"/>
      </w:rPr>
    </w:pPr>
    <w:r w:rsidRPr="00C0278F">
      <w:rPr>
        <w:sz w:val="20"/>
      </w:rPr>
      <w:t>Nr n</w:t>
    </w:r>
    <w:r>
      <w:rPr>
        <w:sz w:val="20"/>
      </w:rPr>
      <w:t xml:space="preserve">aboru </w:t>
    </w:r>
    <w:r w:rsidR="004E6DFD" w:rsidRPr="004E6DFD">
      <w:rPr>
        <w:sz w:val="20"/>
      </w:rPr>
      <w:t>RPDS.07.02.01-IZ.00-02-090/16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9AB"/>
    <w:multiLevelType w:val="hybridMultilevel"/>
    <w:tmpl w:val="54F0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C46"/>
    <w:multiLevelType w:val="hybridMultilevel"/>
    <w:tmpl w:val="6CDCCB40"/>
    <w:lvl w:ilvl="0" w:tplc="FF60935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6CB"/>
    <w:multiLevelType w:val="hybridMultilevel"/>
    <w:tmpl w:val="24CAE1E8"/>
    <w:lvl w:ilvl="0" w:tplc="53CE66E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0F9"/>
    <w:rsid w:val="001C18CC"/>
    <w:rsid w:val="001F7D9F"/>
    <w:rsid w:val="0021620F"/>
    <w:rsid w:val="00244DA7"/>
    <w:rsid w:val="00283A47"/>
    <w:rsid w:val="002D681E"/>
    <w:rsid w:val="00332702"/>
    <w:rsid w:val="003870F9"/>
    <w:rsid w:val="00477D7A"/>
    <w:rsid w:val="004E6766"/>
    <w:rsid w:val="004E6DFD"/>
    <w:rsid w:val="00511C94"/>
    <w:rsid w:val="005416AB"/>
    <w:rsid w:val="006476F8"/>
    <w:rsid w:val="00690A61"/>
    <w:rsid w:val="008848E0"/>
    <w:rsid w:val="00982069"/>
    <w:rsid w:val="009B2B24"/>
    <w:rsid w:val="009B36A8"/>
    <w:rsid w:val="00A5569E"/>
    <w:rsid w:val="00B84DDA"/>
    <w:rsid w:val="00D85BF1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70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70F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B2B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F1"/>
  </w:style>
  <w:style w:type="paragraph" w:styleId="Stopka">
    <w:name w:val="footer"/>
    <w:basedOn w:val="Normalny"/>
    <w:link w:val="StopkaZnak"/>
    <w:uiPriority w:val="99"/>
    <w:unhideWhenUsed/>
    <w:rsid w:val="00D8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F1"/>
  </w:style>
  <w:style w:type="paragraph" w:styleId="Tekstdymka">
    <w:name w:val="Balloon Text"/>
    <w:basedOn w:val="Normalny"/>
    <w:link w:val="TekstdymkaZnak"/>
    <w:uiPriority w:val="99"/>
    <w:semiHidden/>
    <w:unhideWhenUsed/>
    <w:rsid w:val="002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men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s.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Domaradzka</cp:lastModifiedBy>
  <cp:revision>8</cp:revision>
  <dcterms:created xsi:type="dcterms:W3CDTF">2016-02-21T18:31:00Z</dcterms:created>
  <dcterms:modified xsi:type="dcterms:W3CDTF">2016-03-22T06:42:00Z</dcterms:modified>
</cp:coreProperties>
</file>