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35" w:rsidRDefault="001C20FC" w:rsidP="001B1844">
      <w:pPr>
        <w:pStyle w:val="Nagwek"/>
        <w:tabs>
          <w:tab w:val="clear" w:pos="4536"/>
        </w:tabs>
        <w:ind w:left="709"/>
        <w:rPr>
          <w:sz w:val="24"/>
          <w:szCs w:val="24"/>
        </w:rPr>
      </w:pPr>
      <w:bookmarkStart w:id="0" w:name="_GoBack"/>
      <w:bookmarkEnd w:id="0"/>
      <w:r>
        <w:rPr>
          <w:sz w:val="24"/>
          <w:szCs w:val="24"/>
        </w:rPr>
        <w:t xml:space="preserve">                                                                                            </w:t>
      </w:r>
    </w:p>
    <w:p w:rsidR="00DB7B35" w:rsidRDefault="00DB7B35" w:rsidP="001B1844">
      <w:pPr>
        <w:pStyle w:val="Nagwek"/>
        <w:tabs>
          <w:tab w:val="clear" w:pos="4536"/>
        </w:tabs>
        <w:ind w:left="709"/>
        <w:rPr>
          <w:sz w:val="24"/>
          <w:szCs w:val="24"/>
        </w:rPr>
      </w:pPr>
    </w:p>
    <w:p w:rsidR="00DB7B35" w:rsidRDefault="009C0E59" w:rsidP="001B1844">
      <w:pPr>
        <w:pStyle w:val="Nagwek"/>
        <w:tabs>
          <w:tab w:val="clear" w:pos="4536"/>
        </w:tabs>
        <w:ind w:left="709"/>
        <w:rPr>
          <w:sz w:val="24"/>
          <w:szCs w:val="24"/>
        </w:rPr>
      </w:pPr>
      <w:r>
        <w:rPr>
          <w:noProof/>
          <w:sz w:val="24"/>
          <w:szCs w:val="24"/>
          <w:lang w:eastAsia="pl-PL"/>
        </w:rPr>
        <w:drawing>
          <wp:inline distT="0" distB="0" distL="0" distR="0" wp14:anchorId="10E7222D" wp14:editId="0E16D844">
            <wp:extent cx="4968875"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8875" cy="621665"/>
                    </a:xfrm>
                    <a:prstGeom prst="rect">
                      <a:avLst/>
                    </a:prstGeom>
                    <a:noFill/>
                  </pic:spPr>
                </pic:pic>
              </a:graphicData>
            </a:graphic>
          </wp:inline>
        </w:drawing>
      </w:r>
    </w:p>
    <w:p w:rsidR="00DB7B35" w:rsidRDefault="00DB7B35" w:rsidP="001B1844">
      <w:pPr>
        <w:pStyle w:val="Nagwek"/>
        <w:tabs>
          <w:tab w:val="clear" w:pos="4536"/>
        </w:tabs>
        <w:ind w:left="709"/>
        <w:rPr>
          <w:sz w:val="24"/>
          <w:szCs w:val="24"/>
        </w:rPr>
      </w:pPr>
    </w:p>
    <w:p w:rsidR="002E5984" w:rsidRPr="00F04ED5" w:rsidRDefault="00DB7B35" w:rsidP="001B1844">
      <w:pPr>
        <w:pStyle w:val="Nagwek"/>
        <w:tabs>
          <w:tab w:val="clear" w:pos="4536"/>
        </w:tabs>
        <w:ind w:left="709"/>
        <w:rPr>
          <w:sz w:val="24"/>
          <w:szCs w:val="24"/>
        </w:rPr>
      </w:pPr>
      <w:r>
        <w:rPr>
          <w:sz w:val="24"/>
          <w:szCs w:val="24"/>
        </w:rPr>
        <w:t xml:space="preserve">                                                                                                </w:t>
      </w:r>
      <w:r w:rsidR="001C20FC">
        <w:rPr>
          <w:sz w:val="24"/>
          <w:szCs w:val="24"/>
        </w:rPr>
        <w:t xml:space="preserve">  </w:t>
      </w:r>
      <w:r>
        <w:rPr>
          <w:sz w:val="24"/>
          <w:szCs w:val="24"/>
        </w:rPr>
        <w:t xml:space="preserve">   </w:t>
      </w:r>
      <w:r w:rsidR="002E5984" w:rsidRPr="00922DB5">
        <w:t xml:space="preserve">Załącznik </w:t>
      </w:r>
      <w:r w:rsidR="00F04ED5">
        <w:t xml:space="preserve">nr      </w:t>
      </w:r>
      <w:r>
        <w:t xml:space="preserve">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1B1844">
      <w:pPr>
        <w:pStyle w:val="Nagwek"/>
        <w:jc w:val="right"/>
      </w:pPr>
      <w:r>
        <w:t xml:space="preserve">Zarządu Województwa Dolnośląskiego </w:t>
      </w:r>
    </w:p>
    <w:p w:rsidR="00E873C4" w:rsidRPr="001D79CE" w:rsidRDefault="001176BC" w:rsidP="001B1844">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F5166C" w:rsidRPr="006E442A" w:rsidRDefault="00F5166C" w:rsidP="006E442A">
      <w:pPr>
        <w:pStyle w:val="Nagwek"/>
        <w:spacing w:before="120" w:after="120"/>
        <w:jc w:val="center"/>
        <w:rPr>
          <w:rFonts w:cs="Arial"/>
          <w:b/>
          <w:sz w:val="32"/>
          <w:szCs w:val="32"/>
        </w:rPr>
      </w:pPr>
    </w:p>
    <w:p w:rsidR="00F5166C" w:rsidRPr="00A74C6A" w:rsidRDefault="00F5166C" w:rsidP="00F5166C">
      <w:pPr>
        <w:pStyle w:val="Nagwek"/>
        <w:spacing w:before="120" w:after="120"/>
        <w:jc w:val="center"/>
        <w:rPr>
          <w:rFonts w:cs="Arial"/>
          <w:b/>
          <w:sz w:val="32"/>
          <w:szCs w:val="32"/>
        </w:rPr>
      </w:pPr>
      <w:bookmarkStart w:id="1" w:name="_Toc422949625"/>
      <w:bookmarkStart w:id="2" w:name="_Toc430826812"/>
      <w:r w:rsidRPr="00A74C6A">
        <w:rPr>
          <w:rFonts w:cs="Arial"/>
          <w:b/>
          <w:sz w:val="32"/>
          <w:szCs w:val="32"/>
        </w:rPr>
        <w:t>Działanie 7.2 Inwestycje w edukację ponadgimnazjalną, w tym zawodową</w:t>
      </w:r>
    </w:p>
    <w:p w:rsidR="00F5166C" w:rsidRDefault="00F5166C" w:rsidP="00F5166C">
      <w:pPr>
        <w:pStyle w:val="Nagwek"/>
        <w:spacing w:before="120" w:after="120"/>
        <w:jc w:val="center"/>
        <w:rPr>
          <w:rFonts w:cs="Arial"/>
          <w:b/>
          <w:sz w:val="32"/>
          <w:szCs w:val="32"/>
        </w:rPr>
      </w:pPr>
      <w:r>
        <w:rPr>
          <w:rFonts w:cs="Arial"/>
          <w:b/>
          <w:sz w:val="32"/>
          <w:szCs w:val="32"/>
        </w:rPr>
        <w:t>Poddziałanie 7.2.3</w:t>
      </w:r>
      <w:r w:rsidRPr="00A74C6A">
        <w:rPr>
          <w:rFonts w:cs="Arial"/>
          <w:b/>
          <w:sz w:val="32"/>
          <w:szCs w:val="32"/>
        </w:rPr>
        <w:t xml:space="preserve"> Inwestycje w edukację ponadgimnazjalną, w tym zawodową – </w:t>
      </w:r>
      <w:r>
        <w:rPr>
          <w:rFonts w:cs="Arial"/>
          <w:b/>
          <w:sz w:val="32"/>
          <w:szCs w:val="32"/>
        </w:rPr>
        <w:t>ZIT AJ</w:t>
      </w:r>
      <w:r w:rsidRPr="00863524">
        <w:rPr>
          <w:rFonts w:cs="Arial"/>
          <w:b/>
          <w:sz w:val="32"/>
          <w:szCs w:val="32"/>
        </w:rPr>
        <w:t xml:space="preserve"> </w:t>
      </w:r>
    </w:p>
    <w:p w:rsidR="00F5166C" w:rsidRDefault="00F5166C" w:rsidP="00F5166C">
      <w:pPr>
        <w:pStyle w:val="Nagwek"/>
        <w:spacing w:before="120" w:after="120"/>
        <w:jc w:val="center"/>
        <w:rPr>
          <w:rFonts w:cs="Arial"/>
          <w:b/>
          <w:sz w:val="32"/>
          <w:szCs w:val="32"/>
        </w:rPr>
      </w:pPr>
    </w:p>
    <w:p w:rsidR="00F5166C" w:rsidRPr="006754E3" w:rsidRDefault="00F5166C" w:rsidP="00F5166C">
      <w:pPr>
        <w:pStyle w:val="Nagwek"/>
        <w:spacing w:before="120" w:after="120"/>
        <w:jc w:val="center"/>
        <w:rPr>
          <w:rFonts w:cs="Arial"/>
          <w:b/>
          <w:sz w:val="24"/>
          <w:szCs w:val="24"/>
        </w:rPr>
      </w:pPr>
    </w:p>
    <w:p w:rsidR="00F5166C" w:rsidRPr="00FC3B1E" w:rsidRDefault="00F5166C" w:rsidP="00F5166C">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F5166C" w:rsidRPr="006754E3" w:rsidRDefault="00F5166C" w:rsidP="00F5166C">
      <w:pPr>
        <w:tabs>
          <w:tab w:val="left" w:pos="2835"/>
        </w:tabs>
        <w:spacing w:line="240" w:lineRule="auto"/>
        <w:jc w:val="center"/>
        <w:rPr>
          <w:b/>
          <w:u w:val="single"/>
        </w:rPr>
      </w:pPr>
    </w:p>
    <w:p w:rsidR="00F5166C" w:rsidRPr="00390D9C" w:rsidRDefault="00F5166C" w:rsidP="00F5166C">
      <w:pPr>
        <w:spacing w:line="240" w:lineRule="auto"/>
        <w:jc w:val="center"/>
        <w:rPr>
          <w:b/>
          <w:sz w:val="28"/>
          <w:szCs w:val="28"/>
        </w:rPr>
      </w:pPr>
      <w:r w:rsidRPr="00C95A14">
        <w:rPr>
          <w:b/>
          <w:sz w:val="28"/>
          <w:szCs w:val="28"/>
        </w:rPr>
        <w:t>Nr naboru RPDS.07.02.03-IZ.00-02-093/16</w:t>
      </w:r>
    </w:p>
    <w:p w:rsidR="00F5166C" w:rsidRDefault="00F5166C" w:rsidP="00F5166C">
      <w:pPr>
        <w:spacing w:line="240" w:lineRule="auto"/>
      </w:pPr>
    </w:p>
    <w:p w:rsidR="00F5166C" w:rsidRDefault="00F5166C" w:rsidP="00F5166C">
      <w:pPr>
        <w:spacing w:line="240" w:lineRule="auto"/>
        <w:jc w:val="center"/>
        <w:rPr>
          <w:sz w:val="28"/>
          <w:szCs w:val="28"/>
        </w:rPr>
      </w:pPr>
    </w:p>
    <w:p w:rsidR="00F5166C" w:rsidRDefault="00F5166C" w:rsidP="00F5166C">
      <w:pPr>
        <w:spacing w:line="240" w:lineRule="auto"/>
        <w:jc w:val="center"/>
        <w:rPr>
          <w:b/>
          <w:bCs/>
        </w:rPr>
      </w:pPr>
      <w:r w:rsidRPr="00E873C4">
        <w:rPr>
          <w:sz w:val="28"/>
          <w:szCs w:val="28"/>
        </w:rPr>
        <w:t xml:space="preserve">Wrocław, </w:t>
      </w:r>
      <w:r>
        <w:rPr>
          <w:sz w:val="28"/>
          <w:szCs w:val="28"/>
        </w:rPr>
        <w:t>marzec 2016</w:t>
      </w:r>
    </w:p>
    <w:bookmarkEnd w:id="1"/>
    <w:bookmarkEnd w:id="2"/>
    <w:p w:rsidR="00936001" w:rsidRDefault="00936001" w:rsidP="00F5166C">
      <w:pPr>
        <w:spacing w:line="240" w:lineRule="auto"/>
        <w:rPr>
          <w:sz w:val="28"/>
          <w:szCs w:val="28"/>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CD76A2" w:rsidRPr="000E004A">
              <w:rPr>
                <w:rFonts w:ascii="Calibri" w:hAnsi="Calibri" w:cs="Calibri"/>
                <w:color w:val="000000"/>
              </w:rPr>
              <w:t>tj. Dz. U. z 2016 r. poz. 217)</w:t>
            </w:r>
            <w:r w:rsidRPr="008F4AAF">
              <w:rPr>
                <w:rFonts w:ascii="Calibri" w:hAnsi="Calibri" w:cs="Calibri"/>
                <w:color w:val="000000"/>
              </w:rPr>
              <w:t>.</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F5166C" w:rsidRPr="00185792">
              <w:rPr>
                <w:rFonts w:ascii="Calibri" w:eastAsia="Droid Sans Fallback" w:hAnsi="Calibri" w:cs="Calibri"/>
                <w:color w:val="00000A"/>
              </w:rPr>
              <w:t>7.2 Inwestycje w edukację ponadgimnazjalną, w tym zawodową Poddziałania 7.2</w:t>
            </w:r>
            <w:r w:rsidR="00F5166C">
              <w:rPr>
                <w:rFonts w:ascii="Calibri" w:eastAsia="Droid Sans Fallback" w:hAnsi="Calibri" w:cs="Calibri"/>
                <w:color w:val="00000A"/>
              </w:rPr>
              <w:t>.</w:t>
            </w:r>
            <w:r w:rsidR="00EA1004">
              <w:rPr>
                <w:rFonts w:ascii="Calibri" w:eastAsia="Droid Sans Fallback" w:hAnsi="Calibri" w:cs="Calibri"/>
                <w:color w:val="00000A"/>
              </w:rPr>
              <w:t>3</w:t>
            </w:r>
            <w:r w:rsidR="00F5166C" w:rsidRPr="00185792">
              <w:rPr>
                <w:rFonts w:ascii="Calibri" w:eastAsia="Droid Sans Fallback" w:hAnsi="Calibri" w:cs="Calibri"/>
                <w:color w:val="00000A"/>
              </w:rPr>
              <w:t xml:space="preserve"> Inwestycje w edukację ponadgimnazjalną, w tym zawodową  </w:t>
            </w:r>
            <w:r w:rsidR="00BA161C" w:rsidRPr="00BA161C">
              <w:rPr>
                <w:rFonts w:cs="Arial"/>
              </w:rPr>
              <w:t xml:space="preserve">–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6" w:name="_Toc425494884"/>
            <w:bookmarkEnd w:id="6"/>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Parlamentu Europejskiego i Rady (UE) nr 1303/2013 z </w:t>
            </w:r>
            <w:r w:rsidRPr="009C532E">
              <w:rPr>
                <w:rFonts w:ascii="Calibri" w:hAnsi="Calibri"/>
                <w:color w:val="000000"/>
              </w:rPr>
              <w:lastRenderedPageBreak/>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 xml:space="preserve">de </w:t>
            </w:r>
            <w:proofErr w:type="spellStart"/>
            <w:r w:rsidRPr="00151FBA">
              <w:rPr>
                <w:rFonts w:ascii="Calibri" w:hAnsi="Calibri"/>
                <w:color w:val="000000"/>
              </w:rPr>
              <w:t>minimis</w:t>
            </w:r>
            <w:proofErr w:type="spellEnd"/>
            <w:r w:rsidRPr="009C532E">
              <w:rPr>
                <w:rFonts w:ascii="Calibri" w:hAnsi="Calibri"/>
                <w:color w:val="000000"/>
              </w:rPr>
              <w:t xml:space="preserve"> (Dz. Urz. UE L 352 z 24.12.2013, s. 1);</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kwietnia 2004 r. o postępowaniu w sprawach dotyczących pomocy publicznej (tekst. jedn.: Dz. U. z 2007 r. Nr 59, poz. 404 z </w:t>
            </w:r>
            <w:proofErr w:type="spellStart"/>
            <w:r w:rsidRPr="009C532E">
              <w:rPr>
                <w:rFonts w:ascii="Calibri" w:hAnsi="Calibri"/>
                <w:color w:val="000000"/>
              </w:rPr>
              <w:t>późn</w:t>
            </w:r>
            <w:proofErr w:type="spellEnd"/>
            <w:r w:rsidRPr="009C532E">
              <w:rPr>
                <w:rFonts w:ascii="Calibri" w:hAnsi="Calibri"/>
                <w:color w:val="000000"/>
              </w:rPr>
              <w:t>.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w:t>
            </w:r>
            <w:proofErr w:type="spellStart"/>
            <w:r w:rsidRPr="009C532E">
              <w:rPr>
                <w:rFonts w:ascii="Calibri" w:hAnsi="Calibri"/>
                <w:color w:val="000000"/>
              </w:rPr>
              <w:t>minimis</w:t>
            </w:r>
            <w:proofErr w:type="spellEnd"/>
            <w:r w:rsidRPr="009C532E">
              <w:rPr>
                <w:rFonts w:ascii="Calibri" w:hAnsi="Calibri"/>
                <w:color w:val="000000"/>
              </w:rPr>
              <w:t xml:space="preserve"> w ramach regionalnych programów operacyjnych na lata 2014–2020 (Dz. U. poz. 488);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Ustawa o systemie oświaty z dnia 7 września 1991 r. (Dz. U. z 2004 r., Nr </w:t>
            </w:r>
            <w:r w:rsidRPr="00151FBA">
              <w:rPr>
                <w:rFonts w:ascii="Calibri" w:hAnsi="Calibri"/>
                <w:color w:val="000000"/>
              </w:rPr>
              <w:lastRenderedPageBreak/>
              <w:t>256, poz. 2572 z późniejszymi zmianami);</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 xml:space="preserve">Ustawa z dnia 27 sierpnia 2009 r. o finansach publicznych (tekst. jedn.: Dz. U. z 2013 r. poz. 885, z </w:t>
            </w:r>
            <w:proofErr w:type="spellStart"/>
            <w:r w:rsidRPr="009C532E">
              <w:rPr>
                <w:rFonts w:ascii="Calibri" w:hAnsi="Calibri"/>
                <w:color w:val="000000"/>
              </w:rPr>
              <w:t>późn</w:t>
            </w:r>
            <w:proofErr w:type="spellEnd"/>
            <w:r w:rsidRPr="009C532E">
              <w:rPr>
                <w:rFonts w:ascii="Calibri" w:hAnsi="Calibri"/>
                <w:color w:val="000000"/>
              </w:rPr>
              <w:t>.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w:t>
            </w:r>
            <w:proofErr w:type="spellStart"/>
            <w:r w:rsidRPr="009C532E">
              <w:rPr>
                <w:rFonts w:ascii="Calibri" w:hAnsi="Calibri"/>
                <w:color w:val="000000"/>
              </w:rPr>
              <w:t>późn</w:t>
            </w:r>
            <w:proofErr w:type="spellEnd"/>
            <w:r w:rsidRPr="009C532E">
              <w:rPr>
                <w:rFonts w:ascii="Calibri" w:hAnsi="Calibri"/>
                <w:color w:val="000000"/>
              </w:rPr>
              <w:t>.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11 marca 2004 r. o podatku od towarów i usług (tekst. jedn.: Dz. U. z 2011 r. Nr 177, poz. 1054 z </w:t>
            </w:r>
            <w:proofErr w:type="spellStart"/>
            <w:r w:rsidRPr="009C532E">
              <w:rPr>
                <w:rFonts w:ascii="Calibri" w:hAnsi="Calibri"/>
                <w:color w:val="000000"/>
              </w:rPr>
              <w:t>późn</w:t>
            </w:r>
            <w:proofErr w:type="spellEnd"/>
            <w:r w:rsidRPr="009C532E">
              <w:rPr>
                <w:rFonts w:ascii="Calibri" w:hAnsi="Calibri"/>
                <w:color w:val="000000"/>
              </w:rPr>
              <w:t>.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Ustawa z dnia 30 sierpnia 2002 r. – Prawo o postępowaniu przed sądami administracyjnymi (tekst. jedn.: Dz. U. z 2012 r. poz. 270, z </w:t>
            </w:r>
            <w:proofErr w:type="spellStart"/>
            <w:r w:rsidRPr="009C532E">
              <w:rPr>
                <w:rFonts w:ascii="Calibri" w:hAnsi="Calibri"/>
                <w:color w:val="000000"/>
              </w:rPr>
              <w:t>późn</w:t>
            </w:r>
            <w:proofErr w:type="spellEnd"/>
            <w:r w:rsidRPr="009C532E">
              <w:rPr>
                <w:rFonts w:ascii="Calibri" w:hAnsi="Calibri"/>
                <w:color w:val="000000"/>
              </w:rPr>
              <w:t>. zm.);</w:t>
            </w:r>
          </w:p>
          <w:p w:rsidR="00EA1004"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9C532E">
              <w:rPr>
                <w:rFonts w:ascii="Calibri" w:hAnsi="Calibri"/>
                <w:color w:val="000000"/>
              </w:rPr>
              <w:t>późn</w:t>
            </w:r>
            <w:proofErr w:type="spellEnd"/>
            <w:r w:rsidRPr="009C532E">
              <w:rPr>
                <w:rFonts w:ascii="Calibri" w:hAnsi="Calibri"/>
                <w:color w:val="000000"/>
              </w:rPr>
              <w:t>. zmianami;</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w:t>
            </w:r>
            <w:r w:rsidRPr="009C532E">
              <w:rPr>
                <w:rFonts w:ascii="Calibri" w:hAnsi="Calibri"/>
                <w:color w:val="000000"/>
              </w:rPr>
              <w:lastRenderedPageBreak/>
              <w:t>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EA1004" w:rsidRPr="00EA1004" w:rsidRDefault="00EA1004"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F5166C" w:rsidRPr="00F5166C" w:rsidRDefault="00F5166C" w:rsidP="00F5166C">
            <w:pPr>
              <w:tabs>
                <w:tab w:val="left" w:pos="2835"/>
              </w:tabs>
              <w:spacing w:line="240" w:lineRule="auto"/>
              <w:jc w:val="both"/>
              <w:rPr>
                <w:rFonts w:cs="Calibri"/>
                <w:b/>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7.2.3</w:t>
            </w:r>
            <w:r w:rsidRPr="00C33DA2">
              <w:rPr>
                <w:rFonts w:cs="Calibri"/>
                <w:color w:val="000000"/>
              </w:rPr>
              <w:t xml:space="preserve"> Inwestycje w edukację ponadgimnazjalną, w tym zawodową</w:t>
            </w:r>
            <w:r>
              <w:rPr>
                <w:rFonts w:cs="Calibri"/>
                <w:color w:val="000000"/>
              </w:rPr>
              <w:t>- ZIT AJ</w:t>
            </w:r>
            <w:r w:rsidRPr="00C33DA2">
              <w:rPr>
                <w:rFonts w:cs="Calibri"/>
                <w:color w:val="000000"/>
              </w:rPr>
              <w:t xml:space="preserve"> </w:t>
            </w:r>
            <w:r w:rsidRPr="00F5166C">
              <w:rPr>
                <w:rFonts w:cs="Calibri"/>
                <w:b/>
                <w:color w:val="000000"/>
              </w:rPr>
              <w:t>(Infrastruktura szkół ponadgimnazjalnych zawodowych):</w:t>
            </w:r>
          </w:p>
          <w:p w:rsidR="00F5166C" w:rsidRDefault="00F5166C" w:rsidP="00F5166C">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F5166C" w:rsidRPr="00E63FE4" w:rsidRDefault="00F5166C" w:rsidP="00F5166C">
            <w:pPr>
              <w:spacing w:before="30" w:after="30" w:line="240" w:lineRule="auto"/>
              <w:contextualSpacing/>
              <w:rPr>
                <w:sz w:val="24"/>
                <w:szCs w:val="24"/>
              </w:rPr>
            </w:pPr>
          </w:p>
          <w:p w:rsidR="00F5166C" w:rsidRPr="00E63FE4" w:rsidRDefault="00F5166C" w:rsidP="00F5166C">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F5166C" w:rsidRPr="00E63FE4" w:rsidRDefault="00F5166C" w:rsidP="00F5166C">
            <w:pPr>
              <w:spacing w:before="30" w:after="30" w:line="240" w:lineRule="auto"/>
              <w:rPr>
                <w:rFonts w:eastAsia="Times New Roman" w:cs="Arial"/>
                <w:sz w:val="24"/>
                <w:szCs w:val="24"/>
                <w:lang w:eastAsia="pl-PL"/>
              </w:rPr>
            </w:pPr>
          </w:p>
          <w:p w:rsidR="00F5166C" w:rsidRPr="00E63FE4" w:rsidRDefault="00F5166C" w:rsidP="00F5166C">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F5166C" w:rsidRPr="00E63FE4" w:rsidRDefault="00F5166C" w:rsidP="00F5166C">
            <w:pPr>
              <w:spacing w:before="30" w:after="30" w:line="240" w:lineRule="auto"/>
              <w:contextualSpacing/>
              <w:jc w:val="both"/>
              <w:rPr>
                <w:sz w:val="24"/>
                <w:szCs w:val="24"/>
              </w:rPr>
            </w:pPr>
          </w:p>
          <w:p w:rsidR="00F5166C" w:rsidRPr="00E63FE4" w:rsidRDefault="00F5166C" w:rsidP="00F5166C">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t>
            </w:r>
            <w:r w:rsidRPr="00E63FE4">
              <w:rPr>
                <w:rFonts w:eastAsia="Times New Roman" w:cs="Arial"/>
                <w:lang w:eastAsia="pl-PL"/>
              </w:rPr>
              <w:lastRenderedPageBreak/>
              <w:t>wyposażenia, doposażenie warsztatów, pracowni itp.</w:t>
            </w:r>
            <w:r w:rsidR="00EA1004">
              <w:rPr>
                <w:rFonts w:eastAsia="Times New Roman" w:cs="Arial"/>
                <w:lang w:eastAsia="pl-PL"/>
              </w:rPr>
              <w:t xml:space="preserve"> wraz z ewentualnym  </w:t>
            </w:r>
            <w:r w:rsidR="00EA1004">
              <w:t>dostosowaniem/adaptacją pomieszczeń</w:t>
            </w:r>
            <w:r w:rsidR="00EA1004" w:rsidRPr="00546669">
              <w:t xml:space="preserve"> </w:t>
            </w:r>
            <w:r w:rsidR="00EA1004">
              <w:t xml:space="preserve">na potrzeby zakupionego </w:t>
            </w:r>
            <w:r w:rsidR="00EA1004" w:rsidRPr="00546669">
              <w:t>wyposażenia</w:t>
            </w:r>
            <w:r w:rsidR="00EA1004">
              <w:t>.</w:t>
            </w:r>
          </w:p>
          <w:p w:rsidR="00F5166C" w:rsidRPr="00E63FE4" w:rsidRDefault="00F5166C" w:rsidP="00F5166C">
            <w:pPr>
              <w:spacing w:before="30" w:after="30" w:line="240" w:lineRule="auto"/>
              <w:ind w:left="720"/>
              <w:contextualSpacing/>
              <w:rPr>
                <w:sz w:val="24"/>
                <w:szCs w:val="24"/>
              </w:rPr>
            </w:pPr>
          </w:p>
          <w:p w:rsidR="00F5166C" w:rsidRDefault="00F5166C" w:rsidP="00F5166C">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F5166C" w:rsidRDefault="00F5166C" w:rsidP="00F5166C">
            <w:pPr>
              <w:spacing w:before="30" w:after="30" w:line="240" w:lineRule="auto"/>
              <w:contextualSpacing/>
              <w:jc w:val="both"/>
            </w:pPr>
          </w:p>
          <w:p w:rsidR="00F5166C"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F5166C" w:rsidRDefault="00F5166C" w:rsidP="00F5166C">
            <w:pPr>
              <w:spacing w:before="30" w:after="30" w:line="240" w:lineRule="auto"/>
              <w:contextualSpacing/>
              <w:jc w:val="both"/>
              <w:rPr>
                <w:rFonts w:eastAsia="Times New Roman" w:cs="Arial"/>
                <w:lang w:eastAsia="pl-PL"/>
              </w:rPr>
            </w:pP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F5166C" w:rsidRPr="00E63FE4"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F5166C" w:rsidRDefault="00F5166C" w:rsidP="00F5166C">
            <w:pPr>
              <w:spacing w:before="30" w:after="30" w:line="240" w:lineRule="auto"/>
              <w:contextualSpacing/>
              <w:rPr>
                <w:rFonts w:cs="Calibri"/>
                <w:color w:val="000000"/>
              </w:rPr>
            </w:pPr>
          </w:p>
          <w:p w:rsidR="00F5166C" w:rsidRDefault="00F5166C" w:rsidP="00F5166C">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F5166C" w:rsidRPr="00EC3F78" w:rsidRDefault="00F5166C" w:rsidP="00F5166C">
            <w:pPr>
              <w:spacing w:before="30" w:after="30" w:line="240" w:lineRule="auto"/>
              <w:contextualSpacing/>
              <w:jc w:val="both"/>
              <w:rPr>
                <w:rFonts w:cs="Calibri"/>
                <w:color w:val="000000"/>
              </w:rPr>
            </w:pPr>
          </w:p>
          <w:p w:rsidR="00F5166C" w:rsidRPr="00EC3F78" w:rsidRDefault="00F5166C" w:rsidP="00F5166C">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F5166C" w:rsidRDefault="00F5166C" w:rsidP="00F5166C">
            <w:pPr>
              <w:spacing w:before="30" w:after="30" w:line="240" w:lineRule="auto"/>
              <w:contextualSpacing/>
              <w:jc w:val="both"/>
              <w:rPr>
                <w:b/>
                <w:u w:val="single"/>
              </w:rPr>
            </w:pPr>
          </w:p>
          <w:p w:rsidR="00F5166C" w:rsidRPr="007C0B4C" w:rsidRDefault="00F5166C" w:rsidP="00F5166C">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F5166C" w:rsidRDefault="00F5166C" w:rsidP="00F5166C">
            <w:pPr>
              <w:spacing w:before="30" w:after="30" w:line="240" w:lineRule="auto"/>
              <w:contextualSpacing/>
              <w:jc w:val="both"/>
              <w:rPr>
                <w:b/>
                <w:u w:val="single"/>
              </w:rPr>
            </w:pPr>
          </w:p>
          <w:p w:rsidR="00F5166C" w:rsidRPr="0042119F" w:rsidRDefault="00F5166C" w:rsidP="00F5166C">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F5166C" w:rsidRDefault="00F5166C" w:rsidP="00F5166C">
            <w:pPr>
              <w:pStyle w:val="Default"/>
              <w:jc w:val="both"/>
              <w:rPr>
                <w:rFonts w:asciiTheme="minorHAnsi" w:hAnsiTheme="minorHAnsi"/>
                <w:sz w:val="22"/>
                <w:szCs w:val="22"/>
              </w:rPr>
            </w:pPr>
          </w:p>
          <w:p w:rsidR="009C0E59" w:rsidRDefault="009C0E59" w:rsidP="009C0E59">
            <w:pPr>
              <w:pStyle w:val="Default"/>
              <w:jc w:val="both"/>
              <w:rPr>
                <w:rFonts w:asciiTheme="minorHAnsi" w:hAnsiTheme="minorHAnsi"/>
                <w:sz w:val="22"/>
                <w:szCs w:val="22"/>
              </w:rPr>
            </w:pPr>
            <w:r w:rsidRPr="009C0E59">
              <w:rPr>
                <w:rFonts w:asciiTheme="minorHAnsi" w:hAnsiTheme="minorHAnsi"/>
                <w:sz w:val="22"/>
                <w:szCs w:val="22"/>
              </w:rPr>
              <w:t xml:space="preserve">- wizję i kompleksowy plan wykorzystania wspartej w wyniku realizacji projektu infrastruktury i/lub zakupionego wyposażenia (konieczność uwzględnienia oraz dopasowanie projektu do potrzeb rynku pracy i/lub smart </w:t>
            </w:r>
            <w:proofErr w:type="spellStart"/>
            <w:r w:rsidRPr="009C0E59">
              <w:rPr>
                <w:rFonts w:asciiTheme="minorHAnsi" w:hAnsiTheme="minorHAnsi"/>
                <w:sz w:val="22"/>
                <w:szCs w:val="22"/>
              </w:rPr>
              <w:t>s</w:t>
            </w:r>
            <w:r w:rsidR="000572D8">
              <w:rPr>
                <w:rFonts w:asciiTheme="minorHAnsi" w:hAnsiTheme="minorHAnsi"/>
                <w:sz w:val="22"/>
                <w:szCs w:val="22"/>
              </w:rPr>
              <w:t>pecialisation</w:t>
            </w:r>
            <w:proofErr w:type="spellEnd"/>
            <w:r w:rsidR="000572D8">
              <w:rPr>
                <w:rFonts w:asciiTheme="minorHAnsi" w:hAnsiTheme="minorHAnsi"/>
                <w:sz w:val="22"/>
                <w:szCs w:val="22"/>
              </w:rPr>
              <w:t xml:space="preserve"> </w:t>
            </w:r>
            <w:r w:rsidR="000572D8">
              <w:rPr>
                <w:rFonts w:asciiTheme="minorHAnsi" w:hAnsiTheme="minorHAnsi"/>
                <w:sz w:val="22"/>
                <w:szCs w:val="22"/>
              </w:rPr>
              <w:br/>
            </w:r>
            <w:r w:rsidRPr="009C0E59">
              <w:rPr>
                <w:rFonts w:asciiTheme="minorHAnsi" w:hAnsiTheme="minorHAnsi"/>
                <w:sz w:val="22"/>
                <w:szCs w:val="22"/>
              </w:rPr>
              <w:lastRenderedPageBreak/>
              <w:t xml:space="preserve">w Województwie Dolnośląskim, kwestii demograficznych, analizy ekonomicznej inwestycji po zakończeniu projektu); </w:t>
            </w:r>
          </w:p>
          <w:p w:rsidR="00F5166C" w:rsidRPr="00D62A91" w:rsidRDefault="00F5166C" w:rsidP="009C0E59">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F5166C" w:rsidRPr="0042119F" w:rsidRDefault="00F5166C" w:rsidP="00F5166C">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F5166C" w:rsidRDefault="00F5166C" w:rsidP="00F5166C">
            <w:pPr>
              <w:spacing w:after="120" w:line="240" w:lineRule="auto"/>
              <w:contextualSpacing/>
              <w:jc w:val="both"/>
              <w:rPr>
                <w:rFonts w:cs="Calibri"/>
                <w:color w:val="000000"/>
              </w:rPr>
            </w:pPr>
          </w:p>
          <w:p w:rsidR="00F5166C" w:rsidRPr="0042119F" w:rsidRDefault="00F5166C" w:rsidP="00F5166C">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5166C" w:rsidRPr="0042119F" w:rsidRDefault="00F5166C" w:rsidP="00F5166C">
            <w:pPr>
              <w:spacing w:before="30" w:after="30" w:line="240" w:lineRule="auto"/>
              <w:contextualSpacing/>
              <w:jc w:val="both"/>
              <w:rPr>
                <w:rFonts w:cs="Calibri"/>
                <w:color w:val="000000"/>
              </w:rPr>
            </w:pPr>
          </w:p>
          <w:p w:rsidR="00F5166C" w:rsidRPr="00D21FE1" w:rsidRDefault="00F5166C" w:rsidP="00F5166C">
            <w:pPr>
              <w:spacing w:after="120" w:line="240" w:lineRule="auto"/>
              <w:jc w:val="both"/>
              <w:rPr>
                <w:rFonts w:cs="Calibri"/>
                <w:b/>
                <w:color w:val="000000"/>
              </w:rPr>
            </w:pPr>
            <w:r w:rsidRPr="00804497">
              <w:rPr>
                <w:rFonts w:cs="Calibri"/>
                <w:b/>
                <w:color w:val="000000"/>
              </w:rPr>
              <w:t>Preferowane będą projekty:</w:t>
            </w:r>
          </w:p>
          <w:p w:rsidR="00F5166C" w:rsidRPr="0042119F" w:rsidRDefault="00F5166C" w:rsidP="00F5166C">
            <w:pPr>
              <w:spacing w:after="120"/>
              <w:contextualSpacing/>
              <w:jc w:val="both"/>
              <w:rPr>
                <w:rFonts w:cs="Calibri"/>
                <w:color w:val="000000"/>
              </w:rPr>
            </w:pPr>
            <w:r w:rsidRPr="0042119F">
              <w:rPr>
                <w:rFonts w:cs="Calibri"/>
                <w:color w:val="000000"/>
              </w:rPr>
              <w:t>- dostosowujące szkoły do pracy z uczniem o specjalnych potrzebach edukacyjnych;</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F5166C" w:rsidRPr="0042119F" w:rsidRDefault="00F5166C" w:rsidP="00F5166C">
            <w:pPr>
              <w:spacing w:before="30" w:after="30" w:line="240" w:lineRule="auto"/>
              <w:contextualSpacing/>
              <w:jc w:val="both"/>
              <w:rPr>
                <w:rFonts w:cs="Calibri"/>
                <w:color w:val="000000"/>
              </w:rPr>
            </w:pPr>
          </w:p>
          <w:p w:rsidR="00F5166C" w:rsidRDefault="00F5166C" w:rsidP="00F5166C">
            <w:pPr>
              <w:autoSpaceDE w:val="0"/>
              <w:autoSpaceDN w:val="0"/>
              <w:adjustRightInd w:val="0"/>
              <w:spacing w:line="240" w:lineRule="auto"/>
              <w:rPr>
                <w:b/>
              </w:rPr>
            </w:pPr>
            <w:r w:rsidRPr="00804497">
              <w:rPr>
                <w:rFonts w:cs="Calibri"/>
                <w:b/>
                <w:color w:val="000000"/>
              </w:rPr>
              <w:t>Nie będą finansowane:</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F5166C" w:rsidRDefault="00F5166C" w:rsidP="00F5166C">
            <w:pPr>
              <w:pStyle w:val="Default"/>
              <w:jc w:val="both"/>
              <w:rPr>
                <w:rFonts w:asciiTheme="minorHAnsi" w:hAnsiTheme="minorHAnsi"/>
                <w:sz w:val="22"/>
                <w:szCs w:val="22"/>
              </w:rPr>
            </w:pPr>
          </w:p>
          <w:p w:rsidR="002368A3" w:rsidRPr="002368A3" w:rsidRDefault="00F5166C" w:rsidP="00F5166C">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t xml:space="preserve">Kategorią interwencji (zakresem interwencji dominującym) dla niniejszego </w:t>
            </w:r>
            <w:r w:rsidRPr="004E1793">
              <w:rPr>
                <w:rFonts w:asciiTheme="minorHAnsi" w:hAnsiTheme="minorHAnsi" w:cs="Calibri"/>
                <w:color w:val="000000"/>
                <w:sz w:val="22"/>
                <w:szCs w:val="22"/>
              </w:rPr>
              <w:lastRenderedPageBreak/>
              <w:t>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84533" w:rsidRPr="00636927" w:rsidRDefault="00636927" w:rsidP="0063692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Pr>
                <w:rFonts w:asciiTheme="minorHAnsi" w:eastAsia="TTE1ABE920t00" w:hAnsiTheme="minorHAnsi" w:cs="Arial"/>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3B1951">
              <w:rPr>
                <w:rFonts w:cs="Calibri"/>
                <w:color w:val="000000"/>
              </w:rPr>
              <w:t xml:space="preserve">wynosi </w:t>
            </w:r>
            <w:r w:rsidR="00375601" w:rsidRPr="003B1951">
              <w:rPr>
                <w:rFonts w:cs="Calibri"/>
                <w:color w:val="000000"/>
              </w:rPr>
              <w:t xml:space="preserve"> </w:t>
            </w:r>
            <w:r w:rsidR="003B1951" w:rsidRPr="003B1951">
              <w:rPr>
                <w:rFonts w:cs="Calibri"/>
                <w:b/>
                <w:color w:val="000000"/>
              </w:rPr>
              <w:t xml:space="preserve">1 822 449 </w:t>
            </w:r>
            <w:r w:rsidR="00390B97" w:rsidRPr="003B1951">
              <w:rPr>
                <w:rFonts w:cs="Calibri"/>
                <w:b/>
                <w:color w:val="000000"/>
              </w:rPr>
              <w:t xml:space="preserve">Euro </w:t>
            </w:r>
            <w:r w:rsidR="009D19B3" w:rsidRPr="003B1951">
              <w:rPr>
                <w:rFonts w:cs="Calibri"/>
                <w:b/>
                <w:color w:val="000000"/>
              </w:rPr>
              <w:t>–</w:t>
            </w:r>
            <w:r w:rsidR="008E3A5B" w:rsidRPr="003B1951">
              <w:rPr>
                <w:rFonts w:cs="Calibri"/>
                <w:b/>
                <w:color w:val="000000"/>
              </w:rPr>
              <w:t xml:space="preserve"> </w:t>
            </w:r>
            <w:r w:rsidR="003B1951" w:rsidRPr="003B1951">
              <w:rPr>
                <w:rFonts w:cs="Calibri"/>
                <w:b/>
                <w:color w:val="000000"/>
              </w:rPr>
              <w:t>7 951 527</w:t>
            </w:r>
            <w:r w:rsidR="008E3A5B" w:rsidRPr="003B1951">
              <w:rPr>
                <w:rFonts w:cs="Calibri"/>
                <w:b/>
                <w:color w:val="000000"/>
              </w:rPr>
              <w:t xml:space="preserve"> </w:t>
            </w:r>
            <w:r w:rsidR="009D19B3" w:rsidRPr="003B1951">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F5166C" w:rsidRDefault="00F5166C" w:rsidP="00F5166C">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BF05FA">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lastRenderedPageBreak/>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3"/>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Co do </w:t>
            </w:r>
            <w:r w:rsidR="00F5166C">
              <w:rPr>
                <w:rFonts w:cs="Arial"/>
              </w:rPr>
              <w:t>zasady w przypadku działania 7.2</w:t>
            </w:r>
            <w:r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BF05FA" w:rsidRDefault="00BF05FA" w:rsidP="00BF05FA">
            <w:pPr>
              <w:tabs>
                <w:tab w:val="left" w:pos="459"/>
              </w:tabs>
              <w:spacing w:before="40" w:after="40" w:line="240" w:lineRule="auto"/>
              <w:jc w:val="both"/>
              <w:rPr>
                <w:rFonts w:cs="Arial"/>
              </w:rPr>
            </w:pPr>
            <w:r w:rsidRPr="00BF05FA">
              <w:rPr>
                <w:rFonts w:cs="Arial"/>
              </w:rPr>
              <w:t>Jeżeli przy realizacji projektu zakłada się występowanie w projekcie zakresu/elementów wychodzących poza krajowy system edukacji (np. komercyjne wynajmowanie pracowni komputerowej</w:t>
            </w:r>
            <w:r w:rsidR="00EA1004">
              <w:rPr>
                <w:rFonts w:cs="Arial"/>
              </w:rPr>
              <w:t>, warsztatów</w:t>
            </w:r>
            <w:r w:rsidRPr="00BF05FA">
              <w:rPr>
                <w:rFonts w:cs="Arial"/>
              </w:rPr>
              <w:t xml:space="preserve">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lastRenderedPageBreak/>
              <w:t xml:space="preserve"> Konsekwencją niedochowania powyższych warunków w okresie trwałości projektu może być częściowy lub całkowity zwrot dofinansowania.</w:t>
            </w:r>
          </w:p>
          <w:p w:rsidR="00A96818" w:rsidRPr="00DC364F" w:rsidRDefault="00A96818" w:rsidP="00BF05FA">
            <w:pPr>
              <w:tabs>
                <w:tab w:val="left" w:pos="459"/>
              </w:tabs>
              <w:spacing w:before="40" w:after="40" w:line="240" w:lineRule="auto"/>
              <w:jc w:val="both"/>
              <w:rPr>
                <w:rFonts w:cs="Arial"/>
              </w:rPr>
            </w:pPr>
          </w:p>
          <w:p w:rsidR="007746B2" w:rsidRDefault="00A96818" w:rsidP="007746B2">
            <w:pPr>
              <w:tabs>
                <w:tab w:val="left" w:pos="459"/>
              </w:tabs>
              <w:spacing w:before="40" w:after="40" w:line="240" w:lineRule="auto"/>
              <w:jc w:val="both"/>
              <w:rPr>
                <w:rFonts w:cs="Arial"/>
              </w:rPr>
            </w:pPr>
            <w:r w:rsidRPr="00A96818">
              <w:rPr>
                <w:rFonts w:cs="Arial"/>
              </w:rPr>
              <w:t>Co do zasady pomoc publiczna nie wystąpi jeśli wynajem będzie kwestią incydentalną (bardzo rzadką i niesystematyczną).</w:t>
            </w:r>
          </w:p>
          <w:p w:rsidR="00A96818" w:rsidRPr="00DC364F" w:rsidRDefault="00A96818" w:rsidP="007746B2">
            <w:pPr>
              <w:tabs>
                <w:tab w:val="left" w:pos="459"/>
              </w:tabs>
              <w:spacing w:before="40" w:after="40" w:line="240" w:lineRule="auto"/>
              <w:jc w:val="both"/>
              <w:rPr>
                <w:rFonts w:cs="Arial"/>
              </w:rPr>
            </w:pPr>
          </w:p>
          <w:p w:rsidR="00984533" w:rsidRPr="00F5166C" w:rsidRDefault="007746B2" w:rsidP="00F5166C">
            <w:pPr>
              <w:tabs>
                <w:tab w:val="left" w:pos="459"/>
              </w:tabs>
              <w:spacing w:before="40" w:after="40" w:line="240" w:lineRule="auto"/>
              <w:jc w:val="both"/>
              <w:rPr>
                <w:rFonts w:cs="Arial"/>
                <w:b/>
              </w:rPr>
            </w:pPr>
            <w:r w:rsidRPr="00800124">
              <w:rPr>
                <w:rFonts w:cs="Arial"/>
                <w:b/>
              </w:rPr>
              <w:t xml:space="preserve">W </w:t>
            </w:r>
            <w:r w:rsidR="00F000C5" w:rsidRPr="00F000C5">
              <w:rPr>
                <w:rFonts w:cs="Arial"/>
                <w:b/>
              </w:rPr>
              <w:t xml:space="preserve">przypadku wystąpienia w projekcie pomocy publicznej </w:t>
            </w:r>
            <w:r w:rsidRPr="00800124">
              <w:rPr>
                <w:rFonts w:cs="Arial"/>
                <w:b/>
              </w:rPr>
              <w:t xml:space="preserve">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BF05FA">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E92452" w:rsidRPr="00AB5956" w:rsidRDefault="00E92452" w:rsidP="00EA1004">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lastRenderedPageBreak/>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146E8E">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146E8E"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B236D6" w:rsidRDefault="00A41980"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36D6" w:rsidRPr="00B236D6" w:rsidRDefault="00924E9A" w:rsidP="00146E8E">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00B236D6" w:rsidRPr="00B236D6">
              <w:t>czytelność załączonych skanów,</w:t>
            </w:r>
          </w:p>
          <w:p w:rsidR="00146E8E" w:rsidRDefault="00A41980" w:rsidP="00146E8E">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41980" w:rsidRDefault="00146E8E"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00A41980" w:rsidRPr="00E963FD">
              <w:rPr>
                <w:rFonts w:ascii="Calibri" w:hAnsi="Calibri" w:cs="Calibri"/>
                <w:color w:val="000000"/>
              </w:rPr>
              <w:t>.</w:t>
            </w:r>
          </w:p>
          <w:p w:rsidR="00146E8E" w:rsidRPr="00E963FD" w:rsidRDefault="00146E8E" w:rsidP="00146E8E">
            <w:pPr>
              <w:autoSpaceDE w:val="0"/>
              <w:autoSpaceDN w:val="0"/>
              <w:adjustRightInd w:val="0"/>
              <w:spacing w:after="0" w:line="240" w:lineRule="auto"/>
              <w:ind w:left="1310"/>
              <w:jc w:val="both"/>
              <w:rPr>
                <w:rFonts w:ascii="Calibri" w:hAnsi="Calibri" w:cs="Calibri"/>
                <w:color w:val="000000"/>
              </w:rPr>
            </w:pPr>
          </w:p>
          <w:p w:rsidR="009A42CD" w:rsidRPr="00053525" w:rsidRDefault="009A42CD" w:rsidP="009A42CD">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F5166C" w:rsidRDefault="00A41980" w:rsidP="00F5166C">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3" w:history="1">
              <w:r w:rsidRPr="00134184">
                <w:rPr>
                  <w:rStyle w:val="Hipercze"/>
                  <w:rFonts w:ascii="Calibri" w:hAnsi="Calibri" w:cs="Calibri"/>
                </w:rPr>
                <w:t>www.rpo.dolnyslask.pl</w:t>
              </w:r>
            </w:hyperlink>
            <w:r>
              <w:rPr>
                <w:rFonts w:ascii="Calibri" w:hAnsi="Calibri" w:cs="Calibri"/>
                <w:color w:val="000000"/>
              </w:rPr>
              <w:t xml:space="preserve"> </w:t>
            </w:r>
            <w:hyperlink r:id="rId14"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480411">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wniosków o dofinansowanie projektu: </w:t>
            </w:r>
          </w:p>
          <w:p w:rsidR="00984533" w:rsidRPr="00E963FD" w:rsidRDefault="00984533" w:rsidP="00480411">
            <w:pPr>
              <w:pStyle w:val="Default"/>
              <w:rPr>
                <w:rFonts w:asciiTheme="minorHAnsi" w:hAnsiTheme="minorHAnsi"/>
                <w:b/>
                <w:bCs/>
                <w:sz w:val="22"/>
                <w:szCs w:val="22"/>
                <w:highlight w:val="yellow"/>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6"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w terminie</w:t>
            </w:r>
            <w:r w:rsidR="00F5166C">
              <w:t xml:space="preserve"> </w:t>
            </w:r>
            <w:r w:rsidR="00F5166C" w:rsidRPr="00C95C5F">
              <w:rPr>
                <w:b/>
                <w:u w:val="single"/>
              </w:rPr>
              <w:t xml:space="preserve">od godz. 8.00 dnia </w:t>
            </w:r>
            <w:r w:rsidR="00F5166C">
              <w:rPr>
                <w:b/>
                <w:u w:val="single"/>
              </w:rPr>
              <w:t>4</w:t>
            </w:r>
            <w:r w:rsidR="00F5166C" w:rsidRPr="00C95C5F">
              <w:rPr>
                <w:b/>
                <w:u w:val="single"/>
              </w:rPr>
              <w:t xml:space="preserve"> </w:t>
            </w:r>
            <w:r w:rsidR="00F5166C">
              <w:rPr>
                <w:b/>
                <w:u w:val="single"/>
              </w:rPr>
              <w:t>maja</w:t>
            </w:r>
            <w:r w:rsidR="00F5166C" w:rsidRPr="00C95C5F">
              <w:rPr>
                <w:b/>
                <w:u w:val="single"/>
              </w:rPr>
              <w:t xml:space="preserve"> 2016 r. do godz. 15.00 dnia </w:t>
            </w:r>
            <w:r w:rsidR="00F5166C">
              <w:rPr>
                <w:b/>
                <w:u w:val="single"/>
              </w:rPr>
              <w:t xml:space="preserve"> 24 czerwca</w:t>
            </w:r>
            <w:r w:rsidR="00F5166C" w:rsidRPr="00C95C5F">
              <w:rPr>
                <w:b/>
                <w:u w:val="single"/>
              </w:rPr>
              <w:t xml:space="preserve"> 2016 r.</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Jednocześnie, najpóźniej do dnia zakończenia naboru tj. do godz. 15.00 dnia  24 czerwca 2016 r., do siedziby IOK należy dostarczyć jeden egzemplarz wydrukowanej z systemu (Generator Wniosków) papierowej wersji wniosku, opatrzonej czytelnym podpisem/</w:t>
            </w:r>
            <w:proofErr w:type="spellStart"/>
            <w:r w:rsidRPr="00192557">
              <w:rPr>
                <w:rFonts w:cs="Arial"/>
                <w:color w:val="000000"/>
              </w:rPr>
              <w:t>ami</w:t>
            </w:r>
            <w:proofErr w:type="spellEnd"/>
            <w:r w:rsidRPr="00192557">
              <w:rPr>
                <w:rFonts w:cs="Arial"/>
                <w:color w:val="000000"/>
              </w:rPr>
              <w:t xml:space="preserve"> lub parafą i z pieczęcią imienną osoby/</w:t>
            </w:r>
            <w:proofErr w:type="spellStart"/>
            <w:r w:rsidRPr="00192557">
              <w:rPr>
                <w:rFonts w:cs="Arial"/>
                <w:color w:val="000000"/>
              </w:rPr>
              <w:t>ób</w:t>
            </w:r>
            <w:proofErr w:type="spellEnd"/>
            <w:r w:rsidRPr="00192557">
              <w:rPr>
                <w:rFonts w:cs="Arial"/>
                <w:color w:val="000000"/>
              </w:rPr>
              <w:t xml:space="preserve"> uprawnionej/</w:t>
            </w:r>
            <w:proofErr w:type="spellStart"/>
            <w:r w:rsidRPr="00192557">
              <w:rPr>
                <w:rFonts w:cs="Arial"/>
                <w:color w:val="000000"/>
              </w:rPr>
              <w:t>ych</w:t>
            </w:r>
            <w:proofErr w:type="spellEnd"/>
            <w:r w:rsidRPr="00192557">
              <w:rPr>
                <w:rFonts w:cs="Arial"/>
                <w:color w:val="000000"/>
              </w:rPr>
              <w:t xml:space="preserve"> do reprezentowania Wnioskodawcy (wraz z podpisanymi załącznikami).</w:t>
            </w:r>
          </w:p>
          <w:p w:rsid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Za datę wpływu do IOK uznaje się datę wpływu wniosku w wersji papierowej.</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 Papierowa wersja wniosku może zostać dostarczona: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a)</w:t>
            </w:r>
            <w:r w:rsidRPr="00192557">
              <w:rPr>
                <w:rFonts w:cs="Arial"/>
                <w:color w:val="000000"/>
              </w:rPr>
              <w:tab/>
              <w:t>osobiście do kancelarii Departamentu Funduszy Europejskich mieszczącej się pod adresem:</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Urząd Marszałkowski Województwa Dolnośląskiego</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Departament Funduszy Europejskich</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ul. Mazowiecka 17</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50-412 Wrocław</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II piętro, pokój nr 2020</w:t>
            </w:r>
          </w:p>
          <w:p w:rsidR="00192557" w:rsidRPr="00192557" w:rsidRDefault="00192557" w:rsidP="00192557">
            <w:pPr>
              <w:autoSpaceDE w:val="0"/>
              <w:autoSpaceDN w:val="0"/>
              <w:adjustRightInd w:val="0"/>
              <w:spacing w:before="120" w:after="120" w:line="240" w:lineRule="auto"/>
              <w:jc w:val="both"/>
              <w:rPr>
                <w:rFonts w:cs="Arial"/>
                <w:color w:val="000000"/>
              </w:rPr>
            </w:pP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lastRenderedPageBreak/>
              <w:t>b)</w:t>
            </w:r>
            <w:r w:rsidRPr="00192557">
              <w:rPr>
                <w:rFonts w:cs="Arial"/>
                <w:color w:val="000000"/>
              </w:rPr>
              <w:tab/>
              <w:t xml:space="preserve">kurierem lub pocztą na adres: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Urząd Marszałkowski Województwa Dolnośląskiego</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Wydział Wdrażania EFRR</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ul. Mazowiecka 17</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50-412 Wrocław.</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Przed złożeniem wniosku w siedzibie IOK należy zweryfikować czy suma kontrolna wersji elektronicznej wniosku (w systemie) jest zbieżna z sumą kontrolną papierowej wersji wniosku.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Wniosek wraz z załącznikami (jeśli dotyczy) należy złożyć w zamkniętej kopercie, której opis zawiera następujące informacje: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pełna nazwa Wnioskodawcy wraz z adresem</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wniosek o dofinansowanie projektu w ramach naboru nr …………..</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tytuł projektu</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„Nie otwierać przed wpływem do Wydziału Wdrażania EFRR”.</w:t>
            </w:r>
          </w:p>
          <w:p w:rsidR="00192557" w:rsidRPr="00192557"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Wraz z wnioskiem można dostarczyć pismo przewodnie, na którym zostanie potwierdzony wpływ wniosku do IOK. Pismo to powinno zawierać te same informacje, które znajdują się na kopercie. </w:t>
            </w:r>
          </w:p>
          <w:p w:rsidR="00984533" w:rsidRDefault="00192557" w:rsidP="00192557">
            <w:pPr>
              <w:autoSpaceDE w:val="0"/>
              <w:autoSpaceDN w:val="0"/>
              <w:adjustRightInd w:val="0"/>
              <w:spacing w:before="120" w:after="120" w:line="240" w:lineRule="auto"/>
              <w:jc w:val="both"/>
              <w:rPr>
                <w:rFonts w:cs="Arial"/>
                <w:color w:val="000000"/>
              </w:rPr>
            </w:pPr>
            <w:r w:rsidRPr="00192557">
              <w:rPr>
                <w:rFonts w:cs="Arial"/>
                <w:color w:val="000000"/>
              </w:rPr>
              <w:t xml:space="preserve">Logowanie do Generatora Wniosków w celu wypełnienia i złożenia wniosku o dofinansowanie będzie możliwe w czasie trwania naboru wniosków. </w:t>
            </w:r>
            <w:r w:rsidR="00984533" w:rsidRPr="00151119">
              <w:rPr>
                <w:rFonts w:cs="Arial"/>
                <w:color w:val="000000"/>
              </w:rPr>
              <w:t xml:space="preserve">Wnioski należy składać w formie dokumentu elektronicznego za pośrednictwem </w:t>
            </w:r>
            <w:r w:rsidR="00984533">
              <w:rPr>
                <w:rFonts w:cs="Arial"/>
                <w:color w:val="000000"/>
              </w:rPr>
              <w:t>Generatora</w:t>
            </w:r>
            <w:r w:rsidR="00984533"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ePUAP.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lastRenderedPageBreak/>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480411">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oczywistych omyłek: </w:t>
            </w:r>
          </w:p>
          <w:p w:rsidR="00984533" w:rsidRPr="00881AE0"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480411">
            <w:pPr>
              <w:autoSpaceDE w:val="0"/>
              <w:autoSpaceDN w:val="0"/>
              <w:adjustRightInd w:val="0"/>
              <w:spacing w:after="0" w:line="240" w:lineRule="auto"/>
              <w:jc w:val="both"/>
              <w:rPr>
                <w:rFonts w:cs="Times New Roman"/>
                <w:bCs/>
                <w:color w:val="000000"/>
              </w:rPr>
            </w:pPr>
          </w:p>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480411">
            <w:pPr>
              <w:autoSpaceDE w:val="0"/>
              <w:autoSpaceDN w:val="0"/>
              <w:adjustRightInd w:val="0"/>
              <w:spacing w:after="0" w:line="240" w:lineRule="auto"/>
              <w:jc w:val="both"/>
              <w:rPr>
                <w:rFonts w:cs="Times New Roman"/>
                <w:color w:val="000000"/>
              </w:rPr>
            </w:pP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192557" w:rsidRDefault="00636927" w:rsidP="00192557">
            <w:pPr>
              <w:pStyle w:val="normal0020table"/>
              <w:spacing w:before="0" w:beforeAutospacing="0" w:after="0" w:afterAutospacing="0"/>
              <w:jc w:val="both"/>
              <w:rPr>
                <w:rStyle w:val="normal0020tablechar"/>
                <w:rFonts w:ascii="Calibri" w:hAnsi="Calibri"/>
                <w:sz w:val="22"/>
                <w:szCs w:val="22"/>
              </w:rPr>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podpisów i pieczęci</w:t>
            </w:r>
          </w:p>
          <w:p w:rsidR="00192557" w:rsidRDefault="00192557" w:rsidP="00192557">
            <w:pPr>
              <w:pStyle w:val="normal0020table"/>
              <w:numPr>
                <w:ilvl w:val="0"/>
                <w:numId w:val="38"/>
              </w:numPr>
              <w:spacing w:before="0" w:beforeAutospacing="0" w:after="0" w:afterAutospacing="0"/>
              <w:ind w:left="317" w:hanging="284"/>
              <w:jc w:val="both"/>
              <w:rPr>
                <w:rStyle w:val="normal0020tablechar"/>
                <w:rFonts w:ascii="Calibri" w:hAnsi="Calibri"/>
                <w:sz w:val="22"/>
                <w:szCs w:val="22"/>
              </w:rPr>
            </w:pPr>
            <w:r w:rsidRPr="00192557">
              <w:rPr>
                <w:rStyle w:val="normal0020tablechar"/>
                <w:rFonts w:ascii="Calibri" w:hAnsi="Calibri"/>
                <w:sz w:val="22"/>
                <w:szCs w:val="22"/>
              </w:rPr>
              <w:t>niezgodność sumy kontrolnej w wersji papierowej i elektronicznej;</w:t>
            </w:r>
          </w:p>
          <w:p w:rsidR="00636927" w:rsidRPr="00192557" w:rsidRDefault="00192557" w:rsidP="00192557">
            <w:pPr>
              <w:pStyle w:val="normal0020table"/>
              <w:numPr>
                <w:ilvl w:val="0"/>
                <w:numId w:val="38"/>
              </w:numPr>
              <w:spacing w:before="0" w:beforeAutospacing="0" w:after="0" w:afterAutospacing="0"/>
              <w:ind w:left="175" w:hanging="175"/>
              <w:jc w:val="both"/>
              <w:rPr>
                <w:rFonts w:ascii="Calibri" w:hAnsi="Calibri"/>
                <w:sz w:val="22"/>
                <w:szCs w:val="22"/>
              </w:rPr>
            </w:pPr>
            <w:r w:rsidRPr="00192557">
              <w:rPr>
                <w:rStyle w:val="normal0020tablechar"/>
                <w:rFonts w:ascii="Calibri" w:hAnsi="Calibri"/>
                <w:sz w:val="22"/>
                <w:szCs w:val="22"/>
              </w:rPr>
              <w:t xml:space="preserve"> brak strony/stron w papierowej wersji wniosku.</w:t>
            </w:r>
          </w:p>
          <w:p w:rsidR="00636927" w:rsidRPr="007B042A" w:rsidRDefault="00636927" w:rsidP="00480411">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Ostateczna ocena</w:t>
            </w:r>
            <w:r w:rsidR="00EA1004">
              <w:t>,</w:t>
            </w:r>
            <w:r w:rsidRPr="00F76B28">
              <w:t xml:space="preserve">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r>
            <w:r>
              <w:lastRenderedPageBreak/>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sidR="00FE3F94">
              <w:rPr>
                <w:rFonts w:cs="Arial"/>
                <w:color w:val="000000"/>
              </w:rPr>
              <w:t>5</w:t>
            </w:r>
            <w:r>
              <w:rPr>
                <w:rFonts w:cs="Arial"/>
                <w:color w:val="000000"/>
              </w:rPr>
              <w:t xml:space="preserve"> </w:t>
            </w:r>
            <w:r w:rsidRPr="00151119">
              <w:t xml:space="preserve">do </w:t>
            </w:r>
            <w:r w:rsidR="00FE3F94">
              <w:t>uchwały przyjmującej niniejszy Regulamin</w:t>
            </w:r>
            <w:r w:rsidRPr="00151119">
              <w:t xml:space="preserve"> i jest zamieszczony na stronie </w:t>
            </w:r>
            <w:hyperlink r:id="rId17" w:history="1">
              <w:r w:rsidRPr="00151119">
                <w:rPr>
                  <w:rStyle w:val="Hipercze"/>
                </w:rPr>
                <w:t>www.rpo.dolnyslask.pl</w:t>
              </w:r>
            </w:hyperlink>
            <w:r w:rsidR="00616174">
              <w:rPr>
                <w:rFonts w:cs="Arial"/>
                <w:color w:val="000000"/>
              </w:rPr>
              <w:t xml:space="preserve"> </w:t>
            </w:r>
            <w:hyperlink r:id="rId18" w:history="1">
              <w:r w:rsidR="008A5D84" w:rsidRPr="008A5D84">
                <w:rPr>
                  <w:rStyle w:val="Hipercze"/>
                </w:rPr>
                <w:t>www.zitaj.jeleniagora.pl</w:t>
              </w:r>
            </w:hyperlink>
            <w:r w:rsidR="008A5D84" w:rsidRPr="008A5D84">
              <w:t>.</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9"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0" w:history="1">
              <w:r w:rsidR="008A5D84" w:rsidRPr="008A5D84">
                <w:rPr>
                  <w:rStyle w:val="Hipercze"/>
                </w:rPr>
                <w:t>www.zitaj.jeleniagora.pl</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F5166C">
              <w:rPr>
                <w:iCs/>
                <w:sz w:val="22"/>
                <w:szCs w:val="22"/>
              </w:rPr>
              <w:t>28</w:t>
            </w:r>
            <w:r w:rsidR="00E963FD">
              <w:rPr>
                <w:iCs/>
                <w:sz w:val="22"/>
                <w:szCs w:val="22"/>
              </w:rPr>
              <w:t>/</w:t>
            </w:r>
            <w:r w:rsidR="005657C5">
              <w:rPr>
                <w:iCs/>
                <w:sz w:val="22"/>
                <w:szCs w:val="22"/>
              </w:rPr>
              <w:t>16</w:t>
            </w:r>
            <w:r w:rsidRPr="009C428E">
              <w:rPr>
                <w:iCs/>
                <w:sz w:val="22"/>
                <w:szCs w:val="22"/>
              </w:rPr>
              <w:t xml:space="preserve"> z</w:t>
            </w:r>
            <w:r w:rsidRPr="009455A4">
              <w:rPr>
                <w:iCs/>
                <w:sz w:val="22"/>
                <w:szCs w:val="22"/>
              </w:rPr>
              <w:t xml:space="preserve"> dnia </w:t>
            </w:r>
            <w:r w:rsidR="00F5166C">
              <w:rPr>
                <w:iCs/>
                <w:sz w:val="22"/>
                <w:szCs w:val="22"/>
              </w:rPr>
              <w:t>10 marca</w:t>
            </w:r>
            <w:r w:rsidR="00FE3F94">
              <w:rPr>
                <w:iCs/>
                <w:sz w:val="22"/>
                <w:szCs w:val="22"/>
              </w:rPr>
              <w:t xml:space="preserve">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1"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2" w:history="1">
              <w:r w:rsidR="005A7E49" w:rsidRPr="00541961">
                <w:rPr>
                  <w:rStyle w:val="Hipercze"/>
                  <w:rFonts w:asciiTheme="minorHAnsi" w:hAnsiTheme="minorHAnsi"/>
                  <w:sz w:val="22"/>
                  <w:szCs w:val="22"/>
                </w:rPr>
                <w:t>www.zitaj.jeleniagora.pl</w:t>
              </w:r>
            </w:hyperlink>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w:t>
            </w:r>
            <w:r w:rsidRPr="00C24163">
              <w:lastRenderedPageBreak/>
              <w:t>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E20073" w:rsidRDefault="00984533" w:rsidP="00480411">
            <w:pPr>
              <w:spacing w:before="240" w:line="240" w:lineRule="auto"/>
              <w:jc w:val="both"/>
            </w:pPr>
            <w:r w:rsidRPr="00A33DA4">
              <w:t>Na</w:t>
            </w:r>
            <w:r>
              <w:t xml:space="preserve"> stronie internetowej </w:t>
            </w:r>
            <w:hyperlink r:id="rId23"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p>
          <w:p w:rsidR="00E20073" w:rsidRPr="00E20073" w:rsidRDefault="00E20073" w:rsidP="00E20073">
            <w:pPr>
              <w:spacing w:before="240" w:line="240" w:lineRule="auto"/>
              <w:jc w:val="both"/>
            </w:pPr>
            <w:r w:rsidRPr="00E20073">
              <w:t>Dokładny link:</w:t>
            </w:r>
          </w:p>
          <w:p w:rsidR="00E20073" w:rsidRDefault="00A12EF3" w:rsidP="00E20073">
            <w:pPr>
              <w:spacing w:before="240" w:line="240" w:lineRule="auto"/>
              <w:jc w:val="both"/>
            </w:pPr>
            <w:hyperlink r:id="rId24" w:anchor="more-3218" w:history="1">
              <w:r w:rsidR="00E20073" w:rsidRPr="00E20073">
                <w:rPr>
                  <w:rStyle w:val="Hipercze"/>
                </w:rPr>
                <w:t>http://rpo.dolnyslask.pl/analiza-finansowa-na-potrzeby-aplikacji-o-srodki-europejskiego-funduszu-rozwoju-regionalnego-w-ramach-rpo-wd-2014-2020-przyklady/#more-3218</w:t>
              </w:r>
            </w:hyperlink>
          </w:p>
          <w:p w:rsidR="00984533" w:rsidRPr="00151119" w:rsidRDefault="002D69DE" w:rsidP="00480411">
            <w:pPr>
              <w:spacing w:before="240" w:line="240" w:lineRule="auto"/>
              <w:jc w:val="both"/>
              <w:rPr>
                <w:rFonts w:cs="Calibri"/>
              </w:rPr>
            </w:pPr>
            <w:r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F5166C">
              <w:rPr>
                <w:iCs/>
                <w:sz w:val="22"/>
                <w:szCs w:val="22"/>
              </w:rPr>
              <w:t>7.2</w:t>
            </w:r>
            <w:r w:rsidR="00A61522" w:rsidRPr="00A61522">
              <w:rPr>
                <w:iCs/>
                <w:sz w:val="22"/>
                <w:szCs w:val="22"/>
              </w:rPr>
              <w:t>.</w:t>
            </w:r>
            <w:r w:rsidR="008A5D84">
              <w:rPr>
                <w:iCs/>
                <w:sz w:val="22"/>
                <w:szCs w:val="22"/>
              </w:rPr>
              <w:t>3</w:t>
            </w:r>
            <w:r w:rsidR="00A61522" w:rsidRPr="00A61522">
              <w:rPr>
                <w:iCs/>
                <w:sz w:val="22"/>
                <w:szCs w:val="22"/>
              </w:rPr>
              <w:t xml:space="preserve"> </w:t>
            </w:r>
            <w:r w:rsidR="00F5166C" w:rsidRPr="0021014A">
              <w:rPr>
                <w:sz w:val="22"/>
                <w:szCs w:val="22"/>
              </w:rPr>
              <w:t>Inwestycje w edukację ponadgimnazjalną, w tym zawodową RPO WD 2014-202</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0F17E3" w:rsidRDefault="008A5D84" w:rsidP="008A5D84">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5"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6"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lastRenderedPageBreak/>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00D3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7" w:history="1">
              <w:r w:rsidRPr="00D91828">
                <w:rPr>
                  <w:rStyle w:val="Hipercze"/>
                </w:rPr>
                <w:t>www.rpo.dolnyslask.pl</w:t>
              </w:r>
            </w:hyperlink>
            <w:r w:rsidRPr="00D91828">
              <w:rPr>
                <w:u w:val="single"/>
              </w:rPr>
              <w:t>,</w:t>
            </w:r>
            <w:r w:rsidRPr="00D91828">
              <w:t xml:space="preserve"> </w:t>
            </w:r>
            <w:hyperlink r:id="rId28" w:history="1">
              <w:r w:rsidRPr="00D91828">
                <w:rPr>
                  <w:rStyle w:val="Hipercze"/>
                </w:rPr>
                <w:t>www.zitaj.jeleniagora.p</w:t>
              </w:r>
            </w:hyperlink>
            <w:r w:rsidRPr="00D91828">
              <w:t xml:space="preserve">l oraz na portalu Funduszy Europejskich: </w:t>
            </w:r>
            <w:hyperlink r:id="rId29"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 xml:space="preserve">IOK udziela wyjaśnień w kwestiach dotyczących konkursu i odpowiedzi na zapytania indywidualne </w:t>
            </w:r>
            <w:r w:rsidR="00F5166C" w:rsidRPr="00151119">
              <w:rPr>
                <w:rFonts w:cs="Calibri"/>
              </w:rPr>
              <w:t>poprzez</w:t>
            </w:r>
            <w:r w:rsidR="00F5166C">
              <w:rPr>
                <w:rFonts w:cs="Calibri"/>
              </w:rPr>
              <w:t xml:space="preserve"> następujące</w:t>
            </w:r>
            <w:r w:rsidR="00F5166C" w:rsidRPr="00221CA3">
              <w:rPr>
                <w:rFonts w:cs="Calibri"/>
              </w:rPr>
              <w:t xml:space="preserve"> adresy mailowe:</w:t>
            </w:r>
          </w:p>
          <w:p w:rsidR="00B01135" w:rsidRPr="00CD144D" w:rsidRDefault="00A12EF3" w:rsidP="00480411">
            <w:pPr>
              <w:pStyle w:val="bodytext"/>
              <w:jc w:val="center"/>
              <w:rPr>
                <w:rFonts w:asciiTheme="minorHAnsi" w:hAnsiTheme="minorHAnsi"/>
                <w:b/>
                <w:sz w:val="22"/>
                <w:szCs w:val="22"/>
              </w:rPr>
            </w:pPr>
            <w:hyperlink r:id="rId30" w:history="1">
              <w:r w:rsidR="00B01135" w:rsidRPr="00CD144D">
                <w:rPr>
                  <w:rStyle w:val="Hipercze"/>
                  <w:rFonts w:asciiTheme="minorHAnsi" w:hAnsiTheme="minorHAnsi"/>
                  <w:b/>
                  <w:sz w:val="22"/>
                  <w:szCs w:val="22"/>
                </w:rPr>
                <w:t>pife@dolnyslask.pl</w:t>
              </w:r>
            </w:hyperlink>
          </w:p>
          <w:p w:rsidR="00B01135" w:rsidRPr="00CD144D" w:rsidRDefault="00A12EF3" w:rsidP="00480411">
            <w:pPr>
              <w:spacing w:before="120" w:after="120" w:line="240" w:lineRule="auto"/>
              <w:jc w:val="center"/>
            </w:pPr>
            <w:hyperlink r:id="rId31" w:history="1">
              <w:r w:rsidR="00B01135" w:rsidRPr="00CD144D">
                <w:rPr>
                  <w:rStyle w:val="Hipercze"/>
                </w:rPr>
                <w:t>pife.jeleniagora@dolnyslask.pl</w:t>
              </w:r>
            </w:hyperlink>
          </w:p>
          <w:p w:rsidR="00B01135" w:rsidRPr="00CD144D" w:rsidRDefault="00A12EF3" w:rsidP="00480411">
            <w:pPr>
              <w:spacing w:before="120" w:after="120" w:line="240" w:lineRule="auto"/>
              <w:jc w:val="center"/>
            </w:pPr>
            <w:hyperlink r:id="rId32" w:history="1">
              <w:r w:rsidR="00B01135" w:rsidRPr="00CD144D">
                <w:rPr>
                  <w:rStyle w:val="Hipercze"/>
                </w:rPr>
                <w:t>pife.legnica@dolnyslask.pl</w:t>
              </w:r>
            </w:hyperlink>
          </w:p>
          <w:p w:rsidR="00B01135" w:rsidRPr="00EB1530" w:rsidRDefault="00A12EF3" w:rsidP="00480411">
            <w:pPr>
              <w:spacing w:before="120" w:after="120" w:line="240" w:lineRule="auto"/>
              <w:jc w:val="center"/>
              <w:rPr>
                <w:rStyle w:val="Hipercze"/>
              </w:rPr>
            </w:pPr>
            <w:hyperlink r:id="rId33" w:history="1">
              <w:r w:rsidR="00B01135" w:rsidRPr="00EB1530">
                <w:rPr>
                  <w:rStyle w:val="Hipercze"/>
                </w:rPr>
                <w:t>pife.walbrzych@dolnyslask.pl</w:t>
              </w:r>
            </w:hyperlink>
          </w:p>
          <w:p w:rsidR="00DB62DD" w:rsidRPr="00EB1530"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4"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5"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6"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00F5166C">
              <w:rPr>
                <w:rFonts w:asciiTheme="minorHAnsi" w:hAnsiTheme="minorHAnsi"/>
                <w:sz w:val="22"/>
                <w:szCs w:val="22"/>
              </w:rPr>
              <w:t>pa</w:t>
            </w:r>
            <w:r w:rsidR="002E0062">
              <w:rPr>
                <w:rFonts w:asciiTheme="minorHAnsi" w:hAnsiTheme="minorHAnsi"/>
                <w:sz w:val="22"/>
                <w:szCs w:val="22"/>
              </w:rPr>
              <w:t>ź</w:t>
            </w:r>
            <w:r w:rsidR="00F5166C">
              <w:rPr>
                <w:rFonts w:asciiTheme="minorHAnsi" w:hAnsiTheme="minorHAnsi"/>
                <w:sz w:val="22"/>
                <w:szCs w:val="22"/>
              </w:rPr>
              <w:t>dziernik</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lastRenderedPageBreak/>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7"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0F0EFE"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lastRenderedPageBreak/>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r>
            <w:r w:rsidRPr="005261AF">
              <w:rPr>
                <w:rFonts w:cs="Arial"/>
              </w:rPr>
              <w:lastRenderedPageBreak/>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FE3F94">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FE3F94">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A12EF3" w:rsidP="00FE3F94">
            <w:pPr>
              <w:suppressAutoHyphens/>
              <w:spacing w:after="120" w:line="240" w:lineRule="auto"/>
              <w:jc w:val="both"/>
              <w:rPr>
                <w:rFonts w:eastAsia="Droid Sans Fallback" w:cs="Calibri"/>
                <w:color w:val="00000A"/>
              </w:rPr>
            </w:pPr>
            <w:hyperlink r:id="rId38"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w:t>
            </w:r>
            <w:r w:rsidRPr="00735145">
              <w:rPr>
                <w:rFonts w:eastAsia="Droid Sans Fallback" w:cs="Calibri"/>
                <w:color w:val="00000A"/>
              </w:rPr>
              <w:lastRenderedPageBreak/>
              <w:t xml:space="preserve">przedsięwzięcia na obszar Natura 2000 (informacje w tym zakresie znajdują się w uzasadnieniu decyzji środowiskowej). </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suppressAutoHyphens/>
              <w:spacing w:line="240" w:lineRule="auto"/>
              <w:ind w:left="360"/>
              <w:rPr>
                <w:rFonts w:eastAsia="Droid Sans Fallback" w:cs="Calibri"/>
                <w:color w:val="00000A"/>
                <w:sz w:val="2"/>
                <w:szCs w:val="2"/>
              </w:rPr>
            </w:pP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480411">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lastRenderedPageBreak/>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F5166C">
        <w:rPr>
          <w:rFonts w:asciiTheme="minorHAnsi" w:hAnsiTheme="minorHAnsi"/>
          <w:szCs w:val="22"/>
        </w:rPr>
        <w:t>10</w:t>
      </w:r>
      <w:r w:rsidR="001847A5">
        <w:rPr>
          <w:rFonts w:asciiTheme="minorHAnsi" w:hAnsiTheme="minorHAnsi"/>
          <w:szCs w:val="22"/>
        </w:rPr>
        <w:t>.</w:t>
      </w:r>
      <w:r w:rsidR="00F5166C">
        <w:rPr>
          <w:rFonts w:asciiTheme="minorHAnsi" w:hAnsiTheme="minorHAnsi"/>
          <w:szCs w:val="22"/>
        </w:rPr>
        <w:t>03</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F5166C">
        <w:rPr>
          <w:rFonts w:asciiTheme="minorHAnsi" w:hAnsiTheme="minorHAnsi"/>
          <w:bCs/>
          <w:szCs w:val="22"/>
        </w:rPr>
        <w:t>28</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F5166C">
        <w:rPr>
          <w:rFonts w:asciiTheme="minorHAnsi" w:hAnsiTheme="minorHAnsi"/>
          <w:szCs w:val="22"/>
        </w:rPr>
        <w:t xml:space="preserve">Lista wskaźników na poziomie projektu dla </w:t>
      </w:r>
      <w:r w:rsidR="00540EE1" w:rsidRPr="00F5166C">
        <w:rPr>
          <w:rFonts w:asciiTheme="minorHAnsi" w:hAnsiTheme="minorHAnsi"/>
          <w:szCs w:val="22"/>
        </w:rPr>
        <w:t>pod</w:t>
      </w:r>
      <w:r w:rsidRPr="00F5166C">
        <w:rPr>
          <w:rFonts w:asciiTheme="minorHAnsi" w:hAnsiTheme="minorHAnsi"/>
          <w:szCs w:val="22"/>
        </w:rPr>
        <w:t xml:space="preserve">działania </w:t>
      </w:r>
      <w:r w:rsidR="00F5166C" w:rsidRPr="00F5166C">
        <w:rPr>
          <w:rFonts w:asciiTheme="minorHAnsi" w:hAnsiTheme="minorHAnsi"/>
          <w:szCs w:val="22"/>
        </w:rPr>
        <w:t>7.2.3 Inwestycje w edukację ponadgimnazjalną, w tym zawodową RPO WD 2014-202</w:t>
      </w:r>
      <w:r w:rsidR="002E0062">
        <w:rPr>
          <w:rFonts w:asciiTheme="minorHAnsi" w:hAnsiTheme="minorHAnsi"/>
          <w:szCs w:val="22"/>
        </w:rPr>
        <w:t>0</w:t>
      </w:r>
    </w:p>
    <w:p w:rsidR="004B4A5B" w:rsidRPr="00527F97" w:rsidRDefault="004B4A5B" w:rsidP="004B4A5B">
      <w:pPr>
        <w:pStyle w:val="Akapitzlist"/>
        <w:numPr>
          <w:ilvl w:val="0"/>
          <w:numId w:val="13"/>
        </w:numPr>
        <w:autoSpaceDE w:val="0"/>
        <w:autoSpaceDN w:val="0"/>
        <w:adjustRightInd w:val="0"/>
        <w:spacing w:line="240" w:lineRule="auto"/>
        <w:jc w:val="both"/>
        <w:rPr>
          <w:rFonts w:asciiTheme="minorHAnsi" w:hAnsiTheme="minorHAnsi"/>
          <w:szCs w:val="22"/>
        </w:rPr>
      </w:pPr>
      <w:r w:rsidRPr="004B4A5B">
        <w:rPr>
          <w:rFonts w:asciiTheme="minorHAnsi" w:hAnsiTheme="minorHAnsi"/>
          <w:szCs w:val="22"/>
        </w:rPr>
        <w:t>Standard wyposażenia szkolnych pracowni</w:t>
      </w:r>
    </w:p>
    <w:p w:rsidR="00CE6B3A" w:rsidRPr="004B4A5B" w:rsidRDefault="00CE6B3A" w:rsidP="004B4A5B"/>
    <w:sectPr w:rsidR="00CE6B3A" w:rsidRPr="004B4A5B" w:rsidSect="007B7525">
      <w:footerReference w:type="default" r:id="rId3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04" w:rsidRDefault="00EA1004" w:rsidP="00E873C4">
      <w:pPr>
        <w:spacing w:after="0" w:line="240" w:lineRule="auto"/>
      </w:pPr>
      <w:r>
        <w:separator/>
      </w:r>
    </w:p>
  </w:endnote>
  <w:endnote w:type="continuationSeparator" w:id="0">
    <w:p w:rsidR="00EA1004" w:rsidRDefault="00EA100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EA1004" w:rsidRDefault="00192557">
        <w:pPr>
          <w:pStyle w:val="Stopka"/>
          <w:jc w:val="right"/>
        </w:pPr>
        <w:r>
          <w:fldChar w:fldCharType="begin"/>
        </w:r>
        <w:r>
          <w:instrText>PAGE   \* MERGEFORMAT</w:instrText>
        </w:r>
        <w:r>
          <w:fldChar w:fldCharType="separate"/>
        </w:r>
        <w:r w:rsidR="00A12EF3">
          <w:rPr>
            <w:noProof/>
          </w:rPr>
          <w:t>28</w:t>
        </w:r>
        <w:r>
          <w:rPr>
            <w:noProof/>
          </w:rPr>
          <w:fldChar w:fldCharType="end"/>
        </w:r>
      </w:p>
    </w:sdtContent>
  </w:sdt>
  <w:p w:rsidR="00EA1004" w:rsidRDefault="00EA10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04" w:rsidRDefault="00EA1004" w:rsidP="00E873C4">
      <w:pPr>
        <w:spacing w:after="0" w:line="240" w:lineRule="auto"/>
      </w:pPr>
      <w:r>
        <w:separator/>
      </w:r>
    </w:p>
  </w:footnote>
  <w:footnote w:type="continuationSeparator" w:id="0">
    <w:p w:rsidR="00EA1004" w:rsidRDefault="00EA1004" w:rsidP="00E873C4">
      <w:pPr>
        <w:spacing w:after="0" w:line="240" w:lineRule="auto"/>
      </w:pPr>
      <w:r>
        <w:continuationSeparator/>
      </w:r>
    </w:p>
  </w:footnote>
  <w:footnote w:id="1">
    <w:p w:rsidR="00EA1004" w:rsidRDefault="00EA1004" w:rsidP="00F5166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EA1004" w:rsidRDefault="00EA1004" w:rsidP="00F5166C">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EA1004" w:rsidRPr="009447AC" w:rsidRDefault="00EA1004"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D2B70"/>
    <w:multiLevelType w:val="hybridMultilevel"/>
    <w:tmpl w:val="5EBA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E745EB"/>
    <w:multiLevelType w:val="hybridMultilevel"/>
    <w:tmpl w:val="F83CB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31"/>
  </w:num>
  <w:num w:numId="4">
    <w:abstractNumId w:val="28"/>
  </w:num>
  <w:num w:numId="5">
    <w:abstractNumId w:val="3"/>
  </w:num>
  <w:num w:numId="6">
    <w:abstractNumId w:val="33"/>
  </w:num>
  <w:num w:numId="7">
    <w:abstractNumId w:val="8"/>
  </w:num>
  <w:num w:numId="8">
    <w:abstractNumId w:val="14"/>
  </w:num>
  <w:num w:numId="9">
    <w:abstractNumId w:val="30"/>
  </w:num>
  <w:num w:numId="10">
    <w:abstractNumId w:val="19"/>
  </w:num>
  <w:num w:numId="11">
    <w:abstractNumId w:val="26"/>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1"/>
  </w:num>
  <w:num w:numId="17">
    <w:abstractNumId w:val="37"/>
  </w:num>
  <w:num w:numId="18">
    <w:abstractNumId w:val="23"/>
  </w:num>
  <w:num w:numId="19">
    <w:abstractNumId w:val="2"/>
  </w:num>
  <w:num w:numId="20">
    <w:abstractNumId w:val="21"/>
  </w:num>
  <w:num w:numId="21">
    <w:abstractNumId w:val="24"/>
  </w:num>
  <w:num w:numId="22">
    <w:abstractNumId w:val="34"/>
  </w:num>
  <w:num w:numId="23">
    <w:abstractNumId w:val="17"/>
  </w:num>
  <w:num w:numId="24">
    <w:abstractNumId w:val="29"/>
  </w:num>
  <w:num w:numId="25">
    <w:abstractNumId w:val="32"/>
  </w:num>
  <w:num w:numId="26">
    <w:abstractNumId w:val="18"/>
  </w:num>
  <w:num w:numId="27">
    <w:abstractNumId w:val="22"/>
  </w:num>
  <w:num w:numId="28">
    <w:abstractNumId w:val="5"/>
  </w:num>
  <w:num w:numId="29">
    <w:abstractNumId w:val="0"/>
  </w:num>
  <w:num w:numId="30">
    <w:abstractNumId w:val="4"/>
  </w:num>
  <w:num w:numId="31">
    <w:abstractNumId w:val="15"/>
  </w:num>
  <w:num w:numId="32">
    <w:abstractNumId w:val="35"/>
  </w:num>
  <w:num w:numId="33">
    <w:abstractNumId w:val="36"/>
  </w:num>
  <w:num w:numId="34">
    <w:abstractNumId w:val="11"/>
  </w:num>
  <w:num w:numId="35">
    <w:abstractNumId w:val="10"/>
  </w:num>
  <w:num w:numId="36">
    <w:abstractNumId w:val="7"/>
  </w:num>
  <w:num w:numId="37">
    <w:abstractNumId w:val="16"/>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D74"/>
    <w:rsid w:val="00034A0F"/>
    <w:rsid w:val="00034EE2"/>
    <w:rsid w:val="00037D1C"/>
    <w:rsid w:val="0004133F"/>
    <w:rsid w:val="00044EB6"/>
    <w:rsid w:val="00053BC4"/>
    <w:rsid w:val="000552B0"/>
    <w:rsid w:val="000572D8"/>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46E8E"/>
    <w:rsid w:val="0015088A"/>
    <w:rsid w:val="00151119"/>
    <w:rsid w:val="00163C1F"/>
    <w:rsid w:val="00170E1D"/>
    <w:rsid w:val="00173F12"/>
    <w:rsid w:val="001741B3"/>
    <w:rsid w:val="00180B34"/>
    <w:rsid w:val="00182231"/>
    <w:rsid w:val="001847A5"/>
    <w:rsid w:val="00192557"/>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2E19"/>
    <w:rsid w:val="002A772D"/>
    <w:rsid w:val="002B1503"/>
    <w:rsid w:val="002B4B1B"/>
    <w:rsid w:val="002B5686"/>
    <w:rsid w:val="002B7A29"/>
    <w:rsid w:val="002D184C"/>
    <w:rsid w:val="002D2429"/>
    <w:rsid w:val="002D4095"/>
    <w:rsid w:val="002D499F"/>
    <w:rsid w:val="002D50FD"/>
    <w:rsid w:val="002D69DE"/>
    <w:rsid w:val="002D6AE8"/>
    <w:rsid w:val="002E0062"/>
    <w:rsid w:val="002E5984"/>
    <w:rsid w:val="002E5B1F"/>
    <w:rsid w:val="002F00AA"/>
    <w:rsid w:val="002F1DD9"/>
    <w:rsid w:val="002F2511"/>
    <w:rsid w:val="002F3568"/>
    <w:rsid w:val="00300E2C"/>
    <w:rsid w:val="00303BCB"/>
    <w:rsid w:val="00314B94"/>
    <w:rsid w:val="00320901"/>
    <w:rsid w:val="0032333D"/>
    <w:rsid w:val="00331136"/>
    <w:rsid w:val="00331C42"/>
    <w:rsid w:val="00344EF4"/>
    <w:rsid w:val="003451EF"/>
    <w:rsid w:val="003574B7"/>
    <w:rsid w:val="00364F8A"/>
    <w:rsid w:val="00372F5E"/>
    <w:rsid w:val="00375601"/>
    <w:rsid w:val="003846E2"/>
    <w:rsid w:val="00386933"/>
    <w:rsid w:val="00387FDF"/>
    <w:rsid w:val="00390590"/>
    <w:rsid w:val="00390B97"/>
    <w:rsid w:val="00390D9C"/>
    <w:rsid w:val="00393818"/>
    <w:rsid w:val="003A0F50"/>
    <w:rsid w:val="003A6136"/>
    <w:rsid w:val="003B1951"/>
    <w:rsid w:val="003B4611"/>
    <w:rsid w:val="003B6C9D"/>
    <w:rsid w:val="003C431B"/>
    <w:rsid w:val="003C6F7C"/>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4A39"/>
    <w:rsid w:val="00475320"/>
    <w:rsid w:val="00480411"/>
    <w:rsid w:val="00485BAF"/>
    <w:rsid w:val="004905C3"/>
    <w:rsid w:val="0049270C"/>
    <w:rsid w:val="00496977"/>
    <w:rsid w:val="004A3789"/>
    <w:rsid w:val="004A6788"/>
    <w:rsid w:val="004A713F"/>
    <w:rsid w:val="004B0B50"/>
    <w:rsid w:val="004B45B7"/>
    <w:rsid w:val="004B4A5B"/>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EAC"/>
    <w:rsid w:val="00527F97"/>
    <w:rsid w:val="00530F60"/>
    <w:rsid w:val="00532690"/>
    <w:rsid w:val="00532F07"/>
    <w:rsid w:val="0053485A"/>
    <w:rsid w:val="00540EE1"/>
    <w:rsid w:val="005415B5"/>
    <w:rsid w:val="0054588C"/>
    <w:rsid w:val="005460C5"/>
    <w:rsid w:val="005477CE"/>
    <w:rsid w:val="00547F56"/>
    <w:rsid w:val="0056015A"/>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65D9"/>
    <w:rsid w:val="00600EB8"/>
    <w:rsid w:val="006079A3"/>
    <w:rsid w:val="006117EF"/>
    <w:rsid w:val="00616174"/>
    <w:rsid w:val="00621912"/>
    <w:rsid w:val="00627851"/>
    <w:rsid w:val="00634D48"/>
    <w:rsid w:val="00636927"/>
    <w:rsid w:val="006545AC"/>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96EFC"/>
    <w:rsid w:val="007A06B8"/>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E31"/>
    <w:rsid w:val="0081019B"/>
    <w:rsid w:val="00833AC2"/>
    <w:rsid w:val="0083415B"/>
    <w:rsid w:val="008373EE"/>
    <w:rsid w:val="00844C5E"/>
    <w:rsid w:val="00850017"/>
    <w:rsid w:val="008600F3"/>
    <w:rsid w:val="00862A72"/>
    <w:rsid w:val="00863524"/>
    <w:rsid w:val="0086574D"/>
    <w:rsid w:val="00867A44"/>
    <w:rsid w:val="00881AE0"/>
    <w:rsid w:val="008870E1"/>
    <w:rsid w:val="00891A07"/>
    <w:rsid w:val="0089254A"/>
    <w:rsid w:val="00896193"/>
    <w:rsid w:val="008A5D84"/>
    <w:rsid w:val="008C2FD8"/>
    <w:rsid w:val="008C552A"/>
    <w:rsid w:val="008D4AE6"/>
    <w:rsid w:val="008E35D3"/>
    <w:rsid w:val="008E3A5B"/>
    <w:rsid w:val="008E5657"/>
    <w:rsid w:val="008E6603"/>
    <w:rsid w:val="008F2911"/>
    <w:rsid w:val="008F4AAF"/>
    <w:rsid w:val="008F531C"/>
    <w:rsid w:val="00907747"/>
    <w:rsid w:val="00916F84"/>
    <w:rsid w:val="00924E9A"/>
    <w:rsid w:val="00931370"/>
    <w:rsid w:val="00936001"/>
    <w:rsid w:val="009367C2"/>
    <w:rsid w:val="009455A4"/>
    <w:rsid w:val="009501A6"/>
    <w:rsid w:val="009553C5"/>
    <w:rsid w:val="00956C47"/>
    <w:rsid w:val="00961B8B"/>
    <w:rsid w:val="0096429D"/>
    <w:rsid w:val="00972D12"/>
    <w:rsid w:val="00982544"/>
    <w:rsid w:val="00984533"/>
    <w:rsid w:val="009873BD"/>
    <w:rsid w:val="00991FEC"/>
    <w:rsid w:val="009933D5"/>
    <w:rsid w:val="009A06FE"/>
    <w:rsid w:val="009A42CD"/>
    <w:rsid w:val="009B14CF"/>
    <w:rsid w:val="009B3869"/>
    <w:rsid w:val="009C095F"/>
    <w:rsid w:val="009C0E59"/>
    <w:rsid w:val="009C428E"/>
    <w:rsid w:val="009C7CEA"/>
    <w:rsid w:val="009D19B3"/>
    <w:rsid w:val="009E0C22"/>
    <w:rsid w:val="009E1832"/>
    <w:rsid w:val="009E443F"/>
    <w:rsid w:val="009E5231"/>
    <w:rsid w:val="009F540F"/>
    <w:rsid w:val="00A01645"/>
    <w:rsid w:val="00A0659C"/>
    <w:rsid w:val="00A12EF3"/>
    <w:rsid w:val="00A24988"/>
    <w:rsid w:val="00A305A0"/>
    <w:rsid w:val="00A329DD"/>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417D"/>
    <w:rsid w:val="00AD4F70"/>
    <w:rsid w:val="00AD6E10"/>
    <w:rsid w:val="00AD70C5"/>
    <w:rsid w:val="00AE05B6"/>
    <w:rsid w:val="00AF490F"/>
    <w:rsid w:val="00AF520B"/>
    <w:rsid w:val="00B01135"/>
    <w:rsid w:val="00B203D0"/>
    <w:rsid w:val="00B236D6"/>
    <w:rsid w:val="00B23C9D"/>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61C"/>
    <w:rsid w:val="00BA6E63"/>
    <w:rsid w:val="00BC357F"/>
    <w:rsid w:val="00BC446F"/>
    <w:rsid w:val="00BC5BD2"/>
    <w:rsid w:val="00BC7012"/>
    <w:rsid w:val="00BD2093"/>
    <w:rsid w:val="00BE5EED"/>
    <w:rsid w:val="00BE7BF6"/>
    <w:rsid w:val="00BF05FA"/>
    <w:rsid w:val="00C04E00"/>
    <w:rsid w:val="00C1610E"/>
    <w:rsid w:val="00C16578"/>
    <w:rsid w:val="00C20A58"/>
    <w:rsid w:val="00C20F6B"/>
    <w:rsid w:val="00C22B29"/>
    <w:rsid w:val="00C22C74"/>
    <w:rsid w:val="00C32684"/>
    <w:rsid w:val="00C37569"/>
    <w:rsid w:val="00C47AD4"/>
    <w:rsid w:val="00C532AC"/>
    <w:rsid w:val="00C62904"/>
    <w:rsid w:val="00C73D60"/>
    <w:rsid w:val="00C77D65"/>
    <w:rsid w:val="00C918E6"/>
    <w:rsid w:val="00C95A14"/>
    <w:rsid w:val="00CA32FC"/>
    <w:rsid w:val="00CB0572"/>
    <w:rsid w:val="00CC55CA"/>
    <w:rsid w:val="00CC725D"/>
    <w:rsid w:val="00CD144D"/>
    <w:rsid w:val="00CD6D41"/>
    <w:rsid w:val="00CD76A2"/>
    <w:rsid w:val="00CE00BD"/>
    <w:rsid w:val="00CE03F4"/>
    <w:rsid w:val="00CE2BEE"/>
    <w:rsid w:val="00CE6B3A"/>
    <w:rsid w:val="00CF5F23"/>
    <w:rsid w:val="00D0002D"/>
    <w:rsid w:val="00D0553D"/>
    <w:rsid w:val="00D12C60"/>
    <w:rsid w:val="00D176C2"/>
    <w:rsid w:val="00D31F14"/>
    <w:rsid w:val="00D34029"/>
    <w:rsid w:val="00D43031"/>
    <w:rsid w:val="00D50D97"/>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A3253"/>
    <w:rsid w:val="00DA4A3C"/>
    <w:rsid w:val="00DA7F5A"/>
    <w:rsid w:val="00DB2036"/>
    <w:rsid w:val="00DB2EA5"/>
    <w:rsid w:val="00DB62DD"/>
    <w:rsid w:val="00DB7B35"/>
    <w:rsid w:val="00DC123A"/>
    <w:rsid w:val="00DC34AB"/>
    <w:rsid w:val="00DD0818"/>
    <w:rsid w:val="00DD13E8"/>
    <w:rsid w:val="00DD1C76"/>
    <w:rsid w:val="00DD3029"/>
    <w:rsid w:val="00DD6A40"/>
    <w:rsid w:val="00DE51F0"/>
    <w:rsid w:val="00DE758C"/>
    <w:rsid w:val="00DF0941"/>
    <w:rsid w:val="00DF5F45"/>
    <w:rsid w:val="00E05575"/>
    <w:rsid w:val="00E05670"/>
    <w:rsid w:val="00E05984"/>
    <w:rsid w:val="00E12611"/>
    <w:rsid w:val="00E20073"/>
    <w:rsid w:val="00E21B65"/>
    <w:rsid w:val="00E2717D"/>
    <w:rsid w:val="00E31E92"/>
    <w:rsid w:val="00E37ED3"/>
    <w:rsid w:val="00E51525"/>
    <w:rsid w:val="00E5371F"/>
    <w:rsid w:val="00E54413"/>
    <w:rsid w:val="00E630E4"/>
    <w:rsid w:val="00E75A4F"/>
    <w:rsid w:val="00E766EE"/>
    <w:rsid w:val="00E820F5"/>
    <w:rsid w:val="00E873C4"/>
    <w:rsid w:val="00E87546"/>
    <w:rsid w:val="00E92452"/>
    <w:rsid w:val="00E963FD"/>
    <w:rsid w:val="00EA1004"/>
    <w:rsid w:val="00EB1530"/>
    <w:rsid w:val="00EB733C"/>
    <w:rsid w:val="00EC1A60"/>
    <w:rsid w:val="00EC6F8D"/>
    <w:rsid w:val="00ED56A0"/>
    <w:rsid w:val="00ED6C8D"/>
    <w:rsid w:val="00EE291C"/>
    <w:rsid w:val="00EE45BC"/>
    <w:rsid w:val="00EF275F"/>
    <w:rsid w:val="00EF3CC1"/>
    <w:rsid w:val="00EF3E21"/>
    <w:rsid w:val="00EF749B"/>
    <w:rsid w:val="00F000C5"/>
    <w:rsid w:val="00F013EF"/>
    <w:rsid w:val="00F04ED5"/>
    <w:rsid w:val="00F05333"/>
    <w:rsid w:val="00F07286"/>
    <w:rsid w:val="00F14DAF"/>
    <w:rsid w:val="00F259B1"/>
    <w:rsid w:val="00F3135B"/>
    <w:rsid w:val="00F5166C"/>
    <w:rsid w:val="00F63142"/>
    <w:rsid w:val="00F653A6"/>
    <w:rsid w:val="00F66A4E"/>
    <w:rsid w:val="00F6718E"/>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rpo.dolnyslask.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zitaj@jeleniagora.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mailto:pife.walbrzych@dolnyslask.pl" TargetMode="External"/><Relationship Id="rId38"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zitaj.jeleniagora.pl" TargetMode="External"/><Relationship Id="rId29" Type="http://schemas.openxmlformats.org/officeDocument/2006/relationships/hyperlink" Target="http://www.funduszeeuropejskie.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hyperlink" Target="mailto:pife.legnica@dolnyslask.pl" TargetMode="External"/><Relationship Id="rId37" Type="http://schemas.openxmlformats.org/officeDocument/2006/relationships/hyperlink" Target="http://&#8230;&#8230;&#8230;&#8230;&#8230;&#8230;&#823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http://www.zitaj.jeleniagora.p"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itaj.jeleniagora.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l" TargetMode="External"/><Relationship Id="rId30" Type="http://schemas.openxmlformats.org/officeDocument/2006/relationships/hyperlink" Target="mailto:pife@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17FC-C104-4163-BBAB-8BBDA41F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10508</Words>
  <Characters>63050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15</cp:revision>
  <cp:lastPrinted>2016-03-22T10:03:00Z</cp:lastPrinted>
  <dcterms:created xsi:type="dcterms:W3CDTF">2016-03-12T18:43:00Z</dcterms:created>
  <dcterms:modified xsi:type="dcterms:W3CDTF">2016-03-24T08:40:00Z</dcterms:modified>
</cp:coreProperties>
</file>