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0E" w:rsidRPr="00003EBF" w:rsidRDefault="0068640E" w:rsidP="0068640E">
      <w:pPr>
        <w:jc w:val="both"/>
        <w:rPr>
          <w:b/>
          <w:u w:val="single"/>
        </w:rPr>
      </w:pPr>
      <w:r w:rsidRPr="00003EBF">
        <w:rPr>
          <w:b/>
          <w:u w:val="single"/>
        </w:rPr>
        <w:t>Szkoły zawodowe</w:t>
      </w:r>
      <w:r w:rsidR="00003EBF">
        <w:rPr>
          <w:b/>
          <w:u w:val="single"/>
        </w:rPr>
        <w:t>:</w:t>
      </w:r>
    </w:p>
    <w:p w:rsidR="0068640E" w:rsidRDefault="0068640E" w:rsidP="0068640E">
      <w:pPr>
        <w:jc w:val="both"/>
      </w:pPr>
      <w:r w:rsidRPr="0068640E">
        <w:rPr>
          <w:b/>
        </w:rPr>
        <w:t>Pyt.</w:t>
      </w:r>
      <w:r>
        <w:t xml:space="preserve"> </w:t>
      </w:r>
      <w:r w:rsidRPr="0068640E">
        <w:t>W ogłoszeniu o naborze wniosków w ramach poddziałania 7.2.1  - Infrastruktura szkól ponadgimnazjalnych zawodowych znajduje się zapis „Wszystkie przedsięwzięcia związane z poprawą warunków kształcenia będą uwzględniać konieczność dostosowania infrastruktury i wyposażenia do potrzeb osób z niepełnosprawnościami (jako obowiązkowy element projektu)”. Planujemy w ramach naboru złożyć wniosek o dofinansowanie m.in. doposażenia pracowni turystycznej. Pracownia jest zlokalizowana na drugim piętrze szkoły. Obiekt nie jest dostosowany do osób niepełnosprawnych. Proszę o informację, w jakim zakresie musielibyśmy dostosować infrastrukturę do potrzeb osób z niepełnosprawnościami w myśl powyższego zapisu?</w:t>
      </w:r>
    </w:p>
    <w:p w:rsidR="0068640E" w:rsidRDefault="0068640E" w:rsidP="0068640E">
      <w:pPr>
        <w:jc w:val="both"/>
      </w:pPr>
      <w:r w:rsidRPr="0068640E">
        <w:rPr>
          <w:b/>
        </w:rPr>
        <w:t>Odp</w:t>
      </w:r>
      <w:r>
        <w:t>. Zgodnie z zapisami Regulaminu konkursu, wszystkie przedsięwzięcia muszą uwzględniać konieczność dostosowania infrastruktury i wyposażenia do potrzeb osób z niepełnosprawnościami. Przygotowując wniosek o dofinansowanie projektu w zakresie infrastrukturalnym, należy kierować się warunkami dostępności, tak aby osoby z niepełnosprawnościami mogły korzystać z usług świadczonych w obiektach na równych zasadach z innymi użytkownikami. Przedmiot projektu powinien być realizowany zgodnie z koncepcją projektowania uniwersalnego lub racjonalnych usprawnień  (opisanych w Wytycznych w zakresie realizacji zasady równości szans i niedyskryminacji, w tym dostępności dla osób z niepełnosprawnościami oraz zasady równości szans kobiet i mężczyzn w ramach funduszy unijnych na lata 2014-2020, dostępnych na stronie MR). Przykłady dostosowania infrastruktury do potrzeb osób niepełnosprawnych: drzwi i przejścia pozbawione progów, drzwi o odpowiedniej szerokości, zastosowanie mechanizmów pozwalających ominąć schody w budynku: winda/platformy/podnośnik/pochylnie.</w:t>
      </w:r>
    </w:p>
    <w:p w:rsidR="0068640E" w:rsidRDefault="0068640E" w:rsidP="0068640E">
      <w:pPr>
        <w:jc w:val="both"/>
      </w:pPr>
      <w:r>
        <w:t>Zgodnie z powyższym, należy dostosować doposażone pracowni do potrzeb osób z niepełnosprawnościami, mając na uwadze racjonalne usprawnienia.</w:t>
      </w:r>
    </w:p>
    <w:p w:rsidR="00003EBF" w:rsidRDefault="00003EBF" w:rsidP="0068640E">
      <w:pPr>
        <w:jc w:val="both"/>
        <w:rPr>
          <w:b/>
        </w:rPr>
      </w:pPr>
    </w:p>
    <w:p w:rsidR="0068640E" w:rsidRDefault="0068640E" w:rsidP="0068640E">
      <w:pPr>
        <w:jc w:val="both"/>
      </w:pPr>
      <w:r w:rsidRPr="0068640E">
        <w:rPr>
          <w:b/>
        </w:rPr>
        <w:t>Pyt.</w:t>
      </w:r>
      <w:r>
        <w:t xml:space="preserve"> Proszę o informację, czy w ramach planowanego w ramach 7.2.1 projektu należy wskazać jedynie pozycje zgodne z katalogiem wyposażenia zalecanym przez MEN? Szkoły potrzebują więcej sprzętu, który jest im niezbędny do właściwego prowadzenia działań edukacyjnych w zakresie przedmiotów przyrodniczych. Czy zatem inne pomoce dydaktyczne (nie ujęte w katalogu MEN) także można zaplanować w ramach doposażenia pracowni chemicznej czy biologicznej?</w:t>
      </w:r>
    </w:p>
    <w:p w:rsidR="0068640E" w:rsidRDefault="0068640E" w:rsidP="0068640E">
      <w:pPr>
        <w:jc w:val="both"/>
      </w:pPr>
      <w:r w:rsidRPr="0068640E">
        <w:rPr>
          <w:b/>
        </w:rPr>
        <w:t>Odp.</w:t>
      </w:r>
      <w:r>
        <w:t xml:space="preserve"> </w:t>
      </w:r>
      <w:r w:rsidRPr="0068640E">
        <w:t>Jeżeli Państwa projekt dotyczy zakresu poddziałania 7.2 B, wydatki kwalifikowalne w ramach wyposażenia szkolnych pracowni przedmiotów przyrodniczych muszą być zgodnie z katalogiem zawartym w Standardzie wyposażenia szkolnych pracowni, stanowiącym załącznik nr 3 do Regulaminu konkursu 7.2 Inwestycje w edukację ponadgimnazjalną, w tym zawodową. Wydatki te muszą być ponadto zgodne i nie mogą wykraczać poza katalog opracowany przez MEN, udostępniany za pośrednictwem strony internetowej http://efs.men.gov.pl .</w:t>
      </w:r>
    </w:p>
    <w:p w:rsidR="0068640E" w:rsidRPr="0068640E" w:rsidRDefault="0068640E" w:rsidP="0068640E">
      <w:pPr>
        <w:jc w:val="both"/>
        <w:rPr>
          <w:b/>
        </w:rPr>
      </w:pPr>
    </w:p>
    <w:p w:rsidR="0068640E" w:rsidRDefault="0068640E" w:rsidP="0068640E">
      <w:pPr>
        <w:jc w:val="both"/>
      </w:pPr>
      <w:r w:rsidRPr="0068640E">
        <w:rPr>
          <w:b/>
        </w:rPr>
        <w:t>Pyt.</w:t>
      </w:r>
      <w:r>
        <w:t xml:space="preserve"> W</w:t>
      </w:r>
      <w:r w:rsidRPr="0068640E">
        <w:t xml:space="preserve"> jakiej formie może zostać wniesiony wkład własny? Czy dopuszczona jest możliwość wniesienia go w formie niepieniężnej, np. poprzez wynajem </w:t>
      </w:r>
      <w:proofErr w:type="spellStart"/>
      <w:r w:rsidRPr="0068640E">
        <w:t>sal</w:t>
      </w:r>
      <w:proofErr w:type="spellEnd"/>
      <w:r w:rsidRPr="0068640E">
        <w:t>?</w:t>
      </w:r>
    </w:p>
    <w:p w:rsidR="0068640E" w:rsidRDefault="0068640E" w:rsidP="0068640E">
      <w:pPr>
        <w:jc w:val="both"/>
      </w:pPr>
      <w:r w:rsidRPr="0068640E">
        <w:rPr>
          <w:b/>
        </w:rPr>
        <w:t>Odp.</w:t>
      </w:r>
      <w:r>
        <w:t xml:space="preserve"> </w:t>
      </w:r>
      <w:r w:rsidRPr="0068640E">
        <w:t xml:space="preserve">Zgodnie z zapisami Zasada kwalifikowalności wydatków w RPO WD 2014-2020 (Załącznik nr 6 do Szczegółowego Opisu Osi Priorytetowych Regionalnego Programu Operacyjnego Województwa Dolnośląskiego 2014-2020 dotyczący osi priorytetowych współfinansowanych przez EFRR), koszty operacyjne/bieżące oraz koszty bieżącego utrzymania stanowiska pracy stanowią wydatki niekwalifikowalne. Czynsz za wynajem </w:t>
      </w:r>
      <w:proofErr w:type="spellStart"/>
      <w:r w:rsidRPr="0068640E">
        <w:t>sal</w:t>
      </w:r>
      <w:proofErr w:type="spellEnd"/>
      <w:r w:rsidRPr="0068640E">
        <w:t xml:space="preserve"> nie może zatem stanowić wkładu własnego w projekcie w ramach działania 7.2.</w:t>
      </w:r>
    </w:p>
    <w:p w:rsidR="00003EBF" w:rsidRDefault="00003EBF" w:rsidP="0068640E">
      <w:pPr>
        <w:jc w:val="both"/>
        <w:rPr>
          <w:b/>
        </w:rPr>
      </w:pPr>
    </w:p>
    <w:p w:rsidR="0068640E" w:rsidRDefault="0068640E" w:rsidP="0068640E">
      <w:pPr>
        <w:jc w:val="both"/>
      </w:pPr>
      <w:r w:rsidRPr="0068640E">
        <w:rPr>
          <w:b/>
        </w:rPr>
        <w:lastRenderedPageBreak/>
        <w:t>Pyt.</w:t>
      </w:r>
      <w:r>
        <w:t xml:space="preserve"> Jak należy rozumieć zapis "</w:t>
      </w:r>
      <w:r w:rsidRPr="0068640E">
        <w:t>nie będą finansowane wydatki ponoszone na infrastrukturę oraz zakup wyposażenia wykorzystywanego do potrzeb kształcenia ustawicznego"? Czy prowadząc szkołę dla dorosłych - szkołę niepubliczną z uprawnieniami szkoły publicznej - mogę aplikować o środki w konkursie?</w:t>
      </w:r>
    </w:p>
    <w:p w:rsidR="0068640E" w:rsidRDefault="0068640E" w:rsidP="0068640E">
      <w:pPr>
        <w:jc w:val="both"/>
      </w:pPr>
      <w:r w:rsidRPr="0068640E">
        <w:rPr>
          <w:b/>
        </w:rPr>
        <w:t>Odp.</w:t>
      </w:r>
      <w:r w:rsidRPr="0068640E">
        <w:t xml:space="preserve"> </w:t>
      </w:r>
      <w:r>
        <w:t>W Działaniu 7.2 niekwalifikowalne są wydatki ponoszone na infrastrukturę oraz zakup wyposażenia wykorzystywanego na potrzeby kształcenia ustawicznego.</w:t>
      </w:r>
    </w:p>
    <w:p w:rsidR="0068640E" w:rsidRDefault="0068640E" w:rsidP="0068640E">
      <w:pPr>
        <w:jc w:val="both"/>
      </w:pPr>
      <w:r>
        <w:t>Zgodnie z "Ustawą o systemie oświaty", Art. 2a, kształcenie ustawiczne jest to kształcenie w szkołach dla dorosłych, a także uzyskiwanie i uzupełnianie wiedzy, umiejętności i kwalifikacji zawodowych w formach pozaszkolnych przez osoby, które spełniły obowiązek szkolny.</w:t>
      </w:r>
    </w:p>
    <w:p w:rsidR="0068640E" w:rsidRDefault="0068640E" w:rsidP="0068640E">
      <w:pPr>
        <w:jc w:val="both"/>
      </w:pPr>
    </w:p>
    <w:p w:rsidR="0068640E" w:rsidRDefault="0068640E" w:rsidP="0068640E">
      <w:pPr>
        <w:jc w:val="both"/>
      </w:pPr>
      <w:r w:rsidRPr="000C1385">
        <w:rPr>
          <w:b/>
        </w:rPr>
        <w:t>Pyt.</w:t>
      </w:r>
      <w:r>
        <w:t xml:space="preserve"> </w:t>
      </w:r>
      <w:r w:rsidR="000C1385">
        <w:t>W standardzie wy</w:t>
      </w:r>
      <w:r w:rsidRPr="0068640E">
        <w:t>posażenia szkolnych pracowni, do pracowni matematycznych możliwy jest zakup mebli. Czy do pozostałych pracowni można również zakupić meble? Jeżeli tak, jakie dokładnie? Czy mogą to być np. regały na odczynniki, szafy, ławki i krzesła szkolne?</w:t>
      </w:r>
    </w:p>
    <w:p w:rsidR="000C1385" w:rsidRDefault="000C1385" w:rsidP="0068640E">
      <w:pPr>
        <w:jc w:val="both"/>
      </w:pPr>
      <w:r w:rsidRPr="000C1385">
        <w:rPr>
          <w:b/>
        </w:rPr>
        <w:t>Odp.</w:t>
      </w:r>
      <w:r>
        <w:rPr>
          <w:b/>
        </w:rPr>
        <w:t xml:space="preserve"> </w:t>
      </w:r>
      <w:r w:rsidRPr="000C1385">
        <w:t xml:space="preserve">Można zakupić meble do pozostałych pracowni, nie ma zamkniętego katalogu ani </w:t>
      </w:r>
      <w:proofErr w:type="spellStart"/>
      <w:r w:rsidRPr="000C1385">
        <w:t>wykluczeń</w:t>
      </w:r>
      <w:proofErr w:type="spellEnd"/>
      <w:r w:rsidRPr="000C1385">
        <w:t xml:space="preserve"> w tym zakresie. Premiowany punktami jest rozwój infrastruktury szkoły  zwłaszcza w zakresie nauk matematyczno-przyrodniczych i cyfrowych, co nie wyklucza wyposażenia innych pracowni.</w:t>
      </w:r>
    </w:p>
    <w:p w:rsidR="00003EBF" w:rsidRPr="00371C67" w:rsidRDefault="00FA7E5A" w:rsidP="0068640E">
      <w:pPr>
        <w:jc w:val="both"/>
        <w:rPr>
          <w:color w:val="000000" w:themeColor="text1"/>
        </w:rPr>
      </w:pPr>
      <w:r w:rsidRPr="00371C67">
        <w:rPr>
          <w:color w:val="000000" w:themeColor="text1"/>
        </w:rPr>
        <w:t>Dopuszczalny jest zakup niezbędnych mebli do pracowni, jednakże biorąc pod uwagę typ projektu  „Przedsięwzięcia z zakresu wyposażenia w nowoczesny sprzęt i materiały dydaktyczne pracowni…..” zakup mebli nie powinien być znaczącym wydatkiem w projekcie. Ponadto należy pamiętać, iż aby projekt mógł być realizowany, projektodawca musi wskazać, że konieczność wydatkowania środków została potwierdzona analizą potrzeb szkoły objętej projektem.</w:t>
      </w:r>
    </w:p>
    <w:p w:rsidR="000C1385" w:rsidRDefault="000C1385" w:rsidP="0068640E">
      <w:pPr>
        <w:jc w:val="both"/>
      </w:pPr>
      <w:r w:rsidRPr="000C1385">
        <w:rPr>
          <w:b/>
        </w:rPr>
        <w:t>Pyt</w:t>
      </w:r>
      <w:r>
        <w:t xml:space="preserve">. </w:t>
      </w:r>
      <w:r w:rsidRPr="000C1385">
        <w:t>Czy w przypadku wyposażenia pracowni oraz prac modernizacyjnych wewnątrz budynku związanych z tą pracownią (np. oświetlenie, przyłącza, posadzka) konieczne jest załączenie „dokumentów środowiskowych”, a jeśli tak to których? Oświadczenie – analiza OOŚ, Deklaracja Natura 2000, Deklaracja RDW.</w:t>
      </w:r>
    </w:p>
    <w:p w:rsidR="000C1385" w:rsidRDefault="000C1385" w:rsidP="000C1385">
      <w:pPr>
        <w:jc w:val="both"/>
      </w:pPr>
      <w:r w:rsidRPr="000C1385">
        <w:rPr>
          <w:b/>
        </w:rPr>
        <w:t>Odp.</w:t>
      </w:r>
      <w:r>
        <w:t xml:space="preserve"> Jedynie w sytuacji, kiedy projekt jest projektem infrastrukturalnym i spełnia funkcję przedsięwzięcia (wymaga pozwolenia na budowę lub zgłoszenia robót budowlanych), do wniosku należy dołączyć deklarację organu odpowiedzialnego za monitorowanie obszarów Natura 2000,  deklarację właściwego organu odpowiedzialnego za gospodarkę wodną oraz formularz „Analiza oddziaływania na środowisko, z uwzględnieniem potrzeb dotyczących przystosowania się do zmiany klimatu i łagodzenia zmiany klimatu, a także odporności na klęski żywiołowe”. Przeprowadzenie prac remontowych nie stanowi przedsięwzięcia; jeżeli projekt polega na adaptacji budynku/remoncie oraz dostosowaniu wyposażenia, nie należy składać załączników środowiskowych. </w:t>
      </w:r>
    </w:p>
    <w:p w:rsidR="000C1385" w:rsidRDefault="000C1385" w:rsidP="000C1385">
      <w:pPr>
        <w:jc w:val="both"/>
      </w:pPr>
      <w:r>
        <w:t>Szczegółowe informacje w ww. zakresie zawarte są w Regulaminie konkursu, pkt. 31 Polityka ochrony środowiska.</w:t>
      </w:r>
    </w:p>
    <w:p w:rsidR="00003EBF" w:rsidRDefault="00003EBF" w:rsidP="000C1385">
      <w:pPr>
        <w:jc w:val="both"/>
        <w:rPr>
          <w:b/>
        </w:rPr>
      </w:pPr>
    </w:p>
    <w:p w:rsidR="000C1385" w:rsidRDefault="000C1385" w:rsidP="000C1385">
      <w:pPr>
        <w:jc w:val="both"/>
      </w:pPr>
      <w:r w:rsidRPr="000C1385">
        <w:rPr>
          <w:b/>
        </w:rPr>
        <w:t>Pyt.</w:t>
      </w:r>
      <w:r>
        <w:t xml:space="preserve"> </w:t>
      </w:r>
      <w:r w:rsidRPr="000C1385">
        <w:t>Czy w ramach projektu 7.2.D (Przedsięwzięcia ukierunkowane na wspieranie ukierunkowanych branżowo centrów kształcenia zawodowego oraz tworzenie w szkołach zawodowych warunków zbliżonych do rzeczywistego środowiska pracy zawodowej pod kątem wyposażenia, doposażenie warsztatów, pracowni itp. wraz z ewentualnym dostosowaniem/adaptacją pomieszczeń na potrzeby zakupionego wyposażenia) istnieje możliwość objęcia wsparciem kwalifikacyjnych form zawodowych- (w zawodzie ślusarz, dodatkowo uzyskując uprawnienia spawacza-kursy)? Czy zakup wózka widłowego należy do kosztów kwalifikowalnych?</w:t>
      </w:r>
    </w:p>
    <w:p w:rsidR="000C1385" w:rsidRDefault="000C1385" w:rsidP="000C1385">
      <w:pPr>
        <w:jc w:val="both"/>
      </w:pPr>
      <w:r w:rsidRPr="000C1385">
        <w:rPr>
          <w:b/>
        </w:rPr>
        <w:t>Odp.</w:t>
      </w:r>
      <w:r>
        <w:t xml:space="preserve"> </w:t>
      </w:r>
      <w:r w:rsidRPr="000C1385">
        <w:t>W przypadku działania 7.2  niekwalifikowalne są wydatki ponoszone na infrastrukturę oraz zakup wyposażenia wykorzystywanego na potrzeby kształcenia ustawicznego. Wyposażenie pracowni i warsztatów szkolnych powinno być zgodne z katalogiem wyposażenia wypracowanym przez Krajowy Ośrodek Wspierania Edukacji Zawodowej i Ustawicznej (</w:t>
      </w:r>
      <w:proofErr w:type="spellStart"/>
      <w:r w:rsidRPr="000C1385">
        <w:t>KOWEZiU</w:t>
      </w:r>
      <w:proofErr w:type="spellEnd"/>
      <w:r w:rsidRPr="000C1385">
        <w:t xml:space="preserve">). W sytuacji, gdy szkoła współpracuje z lokalnymi pracodawcami w zakresie praktycznej nauki </w:t>
      </w:r>
      <w:r w:rsidRPr="000C1385">
        <w:lastRenderedPageBreak/>
        <w:t>zawodu, możliwe jest uwzględnienie zakupu wyposażenia 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0C1385" w:rsidRDefault="000C1385" w:rsidP="000C1385">
      <w:pPr>
        <w:jc w:val="both"/>
      </w:pPr>
    </w:p>
    <w:p w:rsidR="00FA6C20" w:rsidRDefault="00FA6C20" w:rsidP="00FA6C20">
      <w:pPr>
        <w:autoSpaceDE w:val="0"/>
        <w:autoSpaceDN w:val="0"/>
        <w:rPr>
          <w:color w:val="000000"/>
        </w:rPr>
      </w:pPr>
      <w:r w:rsidRPr="00FA6C20">
        <w:rPr>
          <w:b/>
          <w:color w:val="000000"/>
        </w:rPr>
        <w:t>Pyt.</w:t>
      </w:r>
      <w:r>
        <w:rPr>
          <w:color w:val="000000"/>
        </w:rPr>
        <w:t xml:space="preserve"> Standardowe wyposażenie szkolnych pracowni stanowi załącznik nr 3 . W załączniku tym w pozycji - meble nie są wymienione biurka i krzesła. Czy wydatki na zakup biurek,</w:t>
      </w:r>
      <w:r>
        <w:rPr>
          <w:color w:val="000000"/>
        </w:rPr>
        <w:t xml:space="preserve"> </w:t>
      </w:r>
      <w:bookmarkStart w:id="0" w:name="_GoBack"/>
      <w:bookmarkEnd w:id="0"/>
      <w:r>
        <w:rPr>
          <w:color w:val="000000"/>
        </w:rPr>
        <w:t>stolików i krzeseł do szkolnej pracowni będzie wydatkiem kwalifikowalnym?</w:t>
      </w:r>
    </w:p>
    <w:p w:rsidR="00FA6C20" w:rsidRPr="00FA6C20" w:rsidRDefault="00FA6C20" w:rsidP="00FA6C20">
      <w:pPr>
        <w:rPr>
          <w:b/>
        </w:rPr>
      </w:pPr>
    </w:p>
    <w:p w:rsidR="00FA6C20" w:rsidRDefault="00FA6C20" w:rsidP="00FA6C20">
      <w:pPr>
        <w:jc w:val="both"/>
      </w:pPr>
      <w:r w:rsidRPr="00FA6C20">
        <w:rPr>
          <w:b/>
        </w:rPr>
        <w:t>Odp</w:t>
      </w:r>
      <w:r w:rsidRPr="00FA6C20">
        <w:rPr>
          <w:b/>
        </w:rPr>
        <w:t>.</w:t>
      </w:r>
      <w:r>
        <w:t xml:space="preserve"> W przypadku </w:t>
      </w:r>
      <w:r>
        <w:rPr>
          <w:b/>
          <w:bCs/>
          <w:u w:val="single"/>
        </w:rPr>
        <w:t>wszystkich</w:t>
      </w:r>
      <w:r>
        <w:t xml:space="preserve"> projektów dotyczących wyposażenia pracowni dopuszczalny jest zakup podstawowych, niezbędnych mebli (np. krzesła, ławki, szafy). Jednakże biorąc pod uwagę typ projektu  „Przedsięwzięcia z zakresu wyposażenia w nowoczesny sprzęt i materiały dydaktyczne pracowni, zwłaszcza matematyczno-przyrodniczych i cyfrowych” zakup mebli nie powinien być znaczącym wydatkiem w projekcie. Ponadto należy pamiętać, iż aby projekt mógł być realizowany, projektodawca musi wskazać, że konieczność wydatkowania środków została potwierdzona analizą potrzeb szkoły objętej projektem.</w:t>
      </w:r>
    </w:p>
    <w:p w:rsidR="00FA6C20" w:rsidRDefault="00FA6C20" w:rsidP="00FA6C20"/>
    <w:p w:rsidR="000C1385" w:rsidRPr="000C1385" w:rsidRDefault="000C1385" w:rsidP="0068640E">
      <w:pPr>
        <w:jc w:val="both"/>
      </w:pPr>
    </w:p>
    <w:p w:rsidR="000C1385" w:rsidRDefault="000C1385" w:rsidP="0068640E">
      <w:pPr>
        <w:jc w:val="both"/>
      </w:pPr>
    </w:p>
    <w:p w:rsidR="0068640E" w:rsidRDefault="0068640E" w:rsidP="0068640E">
      <w:pPr>
        <w:jc w:val="both"/>
      </w:pPr>
    </w:p>
    <w:p w:rsidR="0068640E" w:rsidRDefault="0068640E" w:rsidP="0068640E">
      <w:pPr>
        <w:jc w:val="both"/>
      </w:pPr>
    </w:p>
    <w:sectPr w:rsidR="0068640E" w:rsidSect="006864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0E"/>
    <w:rsid w:val="00003EBF"/>
    <w:rsid w:val="00016025"/>
    <w:rsid w:val="000C1385"/>
    <w:rsid w:val="00166B0F"/>
    <w:rsid w:val="00371C67"/>
    <w:rsid w:val="0068640E"/>
    <w:rsid w:val="00A8300B"/>
    <w:rsid w:val="00FA6C20"/>
    <w:rsid w:val="00FA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A7E5A"/>
    <w:rPr>
      <w:sz w:val="16"/>
      <w:szCs w:val="16"/>
    </w:rPr>
  </w:style>
  <w:style w:type="paragraph" w:styleId="Tekstkomentarza">
    <w:name w:val="annotation text"/>
    <w:basedOn w:val="Normalny"/>
    <w:link w:val="TekstkomentarzaZnak"/>
    <w:uiPriority w:val="99"/>
    <w:semiHidden/>
    <w:unhideWhenUsed/>
    <w:rsid w:val="00FA7E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7E5A"/>
    <w:rPr>
      <w:sz w:val="20"/>
      <w:szCs w:val="20"/>
    </w:rPr>
  </w:style>
  <w:style w:type="paragraph" w:styleId="Tematkomentarza">
    <w:name w:val="annotation subject"/>
    <w:basedOn w:val="Tekstkomentarza"/>
    <w:next w:val="Tekstkomentarza"/>
    <w:link w:val="TematkomentarzaZnak"/>
    <w:uiPriority w:val="99"/>
    <w:semiHidden/>
    <w:unhideWhenUsed/>
    <w:rsid w:val="00FA7E5A"/>
    <w:rPr>
      <w:b/>
      <w:bCs/>
    </w:rPr>
  </w:style>
  <w:style w:type="character" w:customStyle="1" w:styleId="TematkomentarzaZnak">
    <w:name w:val="Temat komentarza Znak"/>
    <w:basedOn w:val="TekstkomentarzaZnak"/>
    <w:link w:val="Tematkomentarza"/>
    <w:uiPriority w:val="99"/>
    <w:semiHidden/>
    <w:rsid w:val="00FA7E5A"/>
    <w:rPr>
      <w:b/>
      <w:bCs/>
      <w:sz w:val="20"/>
      <w:szCs w:val="20"/>
    </w:rPr>
  </w:style>
  <w:style w:type="paragraph" w:styleId="Tekstdymka">
    <w:name w:val="Balloon Text"/>
    <w:basedOn w:val="Normalny"/>
    <w:link w:val="TekstdymkaZnak"/>
    <w:uiPriority w:val="99"/>
    <w:semiHidden/>
    <w:unhideWhenUsed/>
    <w:rsid w:val="00FA7E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7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A7E5A"/>
    <w:rPr>
      <w:sz w:val="16"/>
      <w:szCs w:val="16"/>
    </w:rPr>
  </w:style>
  <w:style w:type="paragraph" w:styleId="Tekstkomentarza">
    <w:name w:val="annotation text"/>
    <w:basedOn w:val="Normalny"/>
    <w:link w:val="TekstkomentarzaZnak"/>
    <w:uiPriority w:val="99"/>
    <w:semiHidden/>
    <w:unhideWhenUsed/>
    <w:rsid w:val="00FA7E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7E5A"/>
    <w:rPr>
      <w:sz w:val="20"/>
      <w:szCs w:val="20"/>
    </w:rPr>
  </w:style>
  <w:style w:type="paragraph" w:styleId="Tematkomentarza">
    <w:name w:val="annotation subject"/>
    <w:basedOn w:val="Tekstkomentarza"/>
    <w:next w:val="Tekstkomentarza"/>
    <w:link w:val="TematkomentarzaZnak"/>
    <w:uiPriority w:val="99"/>
    <w:semiHidden/>
    <w:unhideWhenUsed/>
    <w:rsid w:val="00FA7E5A"/>
    <w:rPr>
      <w:b/>
      <w:bCs/>
    </w:rPr>
  </w:style>
  <w:style w:type="character" w:customStyle="1" w:styleId="TematkomentarzaZnak">
    <w:name w:val="Temat komentarza Znak"/>
    <w:basedOn w:val="TekstkomentarzaZnak"/>
    <w:link w:val="Tematkomentarza"/>
    <w:uiPriority w:val="99"/>
    <w:semiHidden/>
    <w:rsid w:val="00FA7E5A"/>
    <w:rPr>
      <w:b/>
      <w:bCs/>
      <w:sz w:val="20"/>
      <w:szCs w:val="20"/>
    </w:rPr>
  </w:style>
  <w:style w:type="paragraph" w:styleId="Tekstdymka">
    <w:name w:val="Balloon Text"/>
    <w:basedOn w:val="Normalny"/>
    <w:link w:val="TekstdymkaZnak"/>
    <w:uiPriority w:val="99"/>
    <w:semiHidden/>
    <w:unhideWhenUsed/>
    <w:rsid w:val="00FA7E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7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1238</Words>
  <Characters>7430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Pardela</dc:creator>
  <cp:lastModifiedBy>Joanna Pardela</cp:lastModifiedBy>
  <cp:revision>4</cp:revision>
  <dcterms:created xsi:type="dcterms:W3CDTF">2016-04-25T09:52:00Z</dcterms:created>
  <dcterms:modified xsi:type="dcterms:W3CDTF">2016-05-04T06:58:00Z</dcterms:modified>
</cp:coreProperties>
</file>