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A43011" w:rsidRPr="00A4301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</w:p>
    <w:p w:rsidR="007C46DB" w:rsidRPr="00DA62AB" w:rsidRDefault="007C46DB" w:rsidP="007C46DB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4247C0" w:rsidRPr="00E873C4" w:rsidRDefault="004247C0" w:rsidP="004247C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Oś priorytetowa 7 </w:t>
      </w:r>
      <w:r w:rsidRPr="00E75A4F">
        <w:rPr>
          <w:rFonts w:cs="Arial"/>
          <w:b/>
          <w:sz w:val="32"/>
          <w:szCs w:val="32"/>
        </w:rPr>
        <w:t>Infrastruktura edukacyjna</w:t>
      </w:r>
    </w:p>
    <w:p w:rsidR="004247C0" w:rsidRPr="00E873C4" w:rsidRDefault="004247C0" w:rsidP="004247C0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142C81" w:rsidRPr="00A74C6A" w:rsidRDefault="00142C81" w:rsidP="00142C8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A74C6A">
        <w:rPr>
          <w:rFonts w:cs="Arial"/>
          <w:b/>
          <w:sz w:val="32"/>
          <w:szCs w:val="32"/>
        </w:rPr>
        <w:t>Działanie 7.2 Inwestycje w edukację ponadgimnazjalną, w tym zawodową</w:t>
      </w:r>
    </w:p>
    <w:p w:rsidR="00142C81" w:rsidRDefault="00142C81" w:rsidP="00142C8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74C6A">
        <w:rPr>
          <w:rFonts w:cs="Arial"/>
          <w:b/>
          <w:sz w:val="32"/>
          <w:szCs w:val="32"/>
        </w:rPr>
        <w:t>Poddziałanie 7.2.1 Inwestycje w edukację ponadgimnazjalną, w tym zawodową – konkursy horyzontalne</w:t>
      </w:r>
    </w:p>
    <w:p w:rsidR="00142C81" w:rsidRPr="006754E3" w:rsidRDefault="00142C81" w:rsidP="00142C81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142C81" w:rsidRPr="00FC3B1E" w:rsidRDefault="00142C81" w:rsidP="00142C81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FC3B1E">
        <w:rPr>
          <w:b/>
          <w:sz w:val="28"/>
          <w:szCs w:val="28"/>
          <w:u w:val="single"/>
        </w:rPr>
        <w:t xml:space="preserve">(Infrastruktura </w:t>
      </w:r>
      <w:r>
        <w:rPr>
          <w:b/>
          <w:sz w:val="28"/>
          <w:szCs w:val="28"/>
          <w:u w:val="single"/>
        </w:rPr>
        <w:t>szkół ponadgimnazjalnych zawodowych</w:t>
      </w:r>
      <w:r w:rsidRPr="00FC3B1E">
        <w:rPr>
          <w:b/>
          <w:sz w:val="28"/>
          <w:szCs w:val="28"/>
          <w:u w:val="single"/>
        </w:rPr>
        <w:t>)</w:t>
      </w:r>
    </w:p>
    <w:p w:rsidR="00142C81" w:rsidRPr="006754E3" w:rsidRDefault="00142C81" w:rsidP="00142C81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142C81" w:rsidRPr="00390D9C" w:rsidRDefault="00142C81" w:rsidP="00142C81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Pr="0001134F">
        <w:rPr>
          <w:b/>
          <w:sz w:val="28"/>
          <w:szCs w:val="28"/>
        </w:rPr>
        <w:t>RPDS.07.02.01-IZ.00-02-090/16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80411" w:rsidRDefault="00480411" w:rsidP="00921011">
      <w:pPr>
        <w:spacing w:line="240" w:lineRule="auto"/>
        <w:ind w:right="1"/>
        <w:rPr>
          <w:b/>
          <w:bCs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A161C" w:rsidRPr="00BA161C" w:rsidRDefault="007C46DB" w:rsidP="007B7614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BA161C" w:rsidRPr="00BA161C">
              <w:rPr>
                <w:rFonts w:cs="Arial"/>
              </w:rPr>
              <w:t>Oś priorytetowa 7 Infrast</w:t>
            </w:r>
            <w:r w:rsidR="004247C0">
              <w:rPr>
                <w:rFonts w:cs="Arial"/>
              </w:rPr>
              <w:t xml:space="preserve">ruktura edukacyjna </w:t>
            </w:r>
            <w:r w:rsidR="00142C81">
              <w:rPr>
                <w:rFonts w:cs="Arial"/>
              </w:rPr>
              <w:t xml:space="preserve">Działanie </w:t>
            </w:r>
            <w:r w:rsidR="00142C81" w:rsidRPr="00185792">
              <w:rPr>
                <w:rFonts w:ascii="Calibri" w:eastAsia="Droid Sans Fallback" w:hAnsi="Calibri" w:cs="Calibri"/>
                <w:color w:val="00000A"/>
              </w:rPr>
              <w:t>7.2 Inwestycje w edukację ponadgimnazja</w:t>
            </w:r>
            <w:r w:rsidR="00142C81">
              <w:rPr>
                <w:rFonts w:ascii="Calibri" w:eastAsia="Droid Sans Fallback" w:hAnsi="Calibri" w:cs="Calibri"/>
                <w:color w:val="00000A"/>
              </w:rPr>
              <w:t>lną, w tym zawodową Poddziałanie</w:t>
            </w:r>
            <w:r w:rsidR="00142C81" w:rsidRPr="00185792">
              <w:rPr>
                <w:rFonts w:ascii="Calibri" w:eastAsia="Droid Sans Fallback" w:hAnsi="Calibri" w:cs="Calibri"/>
                <w:color w:val="00000A"/>
              </w:rPr>
              <w:t xml:space="preserve"> 7.2.1 Inwestycje w edukację ponadgimnazjalną, w tym zawodową  </w:t>
            </w:r>
            <w:r w:rsidR="007C3465">
              <w:rPr>
                <w:rFonts w:cs="Arial"/>
              </w:rPr>
              <w:t>– konkursy horyzontalne</w:t>
            </w:r>
          </w:p>
          <w:p w:rsidR="00FB53DA" w:rsidRPr="007C3465" w:rsidRDefault="007C3465" w:rsidP="007C34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>Przez konkurs horyzontalny rozumie się prowadzony w trybie konkursowym nabór wniosków o dofinansowanie ogłaszany na projekty o znaczeniu/zasięgu wykraczającym poza obszar ZIT lub poza obszar OSI.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142C81" w:rsidRPr="00151119" w:rsidRDefault="00142C81" w:rsidP="00142C81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działania </w:t>
            </w:r>
            <w:r w:rsidRPr="00C33DA2">
              <w:rPr>
                <w:rFonts w:cs="Calibri"/>
                <w:color w:val="000000"/>
              </w:rPr>
              <w:t xml:space="preserve">7.2 Inwestycje w edukację ponadgimnazjalną, w tym zawodową Poddziałania 7.2.1 Inwestycje w edukację ponadgimnazjalną, w tym zawodową </w:t>
            </w:r>
            <w:r w:rsidR="00FA5104">
              <w:rPr>
                <w:rFonts w:cs="Arial"/>
              </w:rPr>
              <w:t>– konkursy horyzontalne</w:t>
            </w:r>
            <w:r w:rsidRPr="00C33DA2">
              <w:rPr>
                <w:rFonts w:cs="Calibri"/>
                <w:color w:val="000000"/>
              </w:rPr>
              <w:t xml:space="preserve"> </w:t>
            </w:r>
            <w:r w:rsidR="00FA5104">
              <w:rPr>
                <w:rFonts w:cs="Calibri"/>
                <w:color w:val="000000"/>
              </w:rPr>
              <w:t>(</w:t>
            </w:r>
            <w:r w:rsidRPr="00C33DA2">
              <w:rPr>
                <w:rFonts w:cs="Calibri"/>
                <w:color w:val="000000"/>
              </w:rPr>
              <w:t>Infrastruktura szkół ponadgimnazjalnych zawodowych):</w:t>
            </w: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t>7.2.A</w:t>
            </w:r>
            <w:r w:rsidRPr="00E63FE4">
              <w:t xml:space="preserve"> Przedsięwzięcia prowadzące bezpośrednio do poprawy warunków nauczania zwłaszcza w zakresie zajęć matematyczno-przyrodniczych i cyfrowych realizowane poprzez przebudowę, rozbudowę</w:t>
            </w:r>
            <w:r w:rsidRPr="00E63FE4">
              <w:rPr>
                <w:vertAlign w:val="superscript"/>
              </w:rPr>
              <w:footnoteReference w:id="1"/>
            </w:r>
            <w:r w:rsidRPr="00E63FE4">
              <w:t xml:space="preserve"> lub adaptację (w tym także zakup wyposażenia) placówek i szkół ponadgimnazjalnych, w tym zawodowych i specjalnych.</w:t>
            </w: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rPr>
                <w:sz w:val="24"/>
                <w:szCs w:val="24"/>
              </w:rPr>
            </w:pP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7.2.B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nowoczesny sprzęt i materiały dydaktyczne pracowni, zwłaszcza matematyczno-przyrodniczych i cyfrowych.</w:t>
            </w:r>
          </w:p>
          <w:p w:rsidR="00142C81" w:rsidRPr="00E63FE4" w:rsidRDefault="00142C81" w:rsidP="00142C81">
            <w:pPr>
              <w:spacing w:before="30" w:after="3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7.2.C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sprzęt specjalistyczny i pomoce dydaktyczne do wspomagania rozwoju uczniów ze specjalnymi potrzebami edukacyjnymi, np. uczniów niepełnosprawnych, uczniów szczególnie uzdolnionych.</w:t>
            </w:r>
            <w:r w:rsidRPr="00E63FE4">
              <w:t xml:space="preserve"> </w:t>
            </w: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142C81" w:rsidRPr="00E63FE4" w:rsidRDefault="00142C81" w:rsidP="00142C81">
            <w:pPr>
              <w:spacing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b/>
              </w:rPr>
              <w:t>7.2.D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ukierunkowane na wspieranie ukierunkowanych branżowo centrów kształcenia zawodowego oraz tworzenie w szkołach zawodowych warunków zbliżonych do rzeczywistego środowiska pracy zawodowej pod kątem wyposażenia, doposażenie warsztatów, pracowni itp.</w:t>
            </w:r>
            <w:r w:rsidR="00FA5104">
              <w:rPr>
                <w:rFonts w:eastAsia="Times New Roman" w:cs="Arial"/>
                <w:lang w:eastAsia="pl-PL"/>
              </w:rPr>
              <w:t xml:space="preserve"> wraz z ewentualnym  </w:t>
            </w:r>
            <w:r w:rsidR="00FA5104">
              <w:t>dostosowaniem/adaptacją pomieszczeń</w:t>
            </w:r>
            <w:r w:rsidR="00FA5104" w:rsidRPr="00546669">
              <w:t xml:space="preserve"> </w:t>
            </w:r>
            <w:r w:rsidR="00FA5104">
              <w:t xml:space="preserve">na potrzeby zakupionego </w:t>
            </w:r>
            <w:r w:rsidR="00FA5104" w:rsidRPr="00546669">
              <w:t>wyposażenia</w:t>
            </w:r>
            <w:r w:rsidR="00FA5104">
              <w:t>.</w:t>
            </w:r>
          </w:p>
          <w:p w:rsidR="00142C81" w:rsidRPr="00E63FE4" w:rsidRDefault="00142C81" w:rsidP="00142C81">
            <w:pPr>
              <w:spacing w:before="30" w:after="30" w:line="240" w:lineRule="auto"/>
              <w:ind w:left="720"/>
              <w:contextualSpacing/>
              <w:rPr>
                <w:sz w:val="24"/>
                <w:szCs w:val="24"/>
              </w:rPr>
            </w:pP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t>7.2.E</w:t>
            </w:r>
            <w:r w:rsidRPr="00E63FE4">
              <w:t xml:space="preserve"> Przedsięwzięcia z zakresu budowy nowych obiektów służących praktycznej nauce zawodu. </w:t>
            </w: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</w:pP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0B0A42">
              <w:rPr>
                <w:rFonts w:eastAsia="Times New Roman" w:cs="Arial"/>
                <w:lang w:eastAsia="pl-PL"/>
              </w:rPr>
              <w:t xml:space="preserve">Budowa nowych obiektów służących praktycznej nauce zawodu jest możliwa </w:t>
            </w:r>
            <w:r w:rsidRPr="000B0A42">
              <w:rPr>
                <w:rFonts w:eastAsia="Times New Roman" w:cs="Arial"/>
                <w:lang w:eastAsia="pl-PL"/>
              </w:rPr>
              <w:lastRenderedPageBreak/>
              <w:t>wyłącznie w sytuacji, gdy przebudowa, rozbudowa lub adaptacja istniejących budynków nie jest możliwa lub jest nieuzasadniona ekonomicznie oraz musi uwzględniać trendy demograficzne zachodzące na danym obszarze.</w:t>
            </w: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  <w:rPr>
                <w:b/>
                <w:u w:val="single"/>
              </w:rPr>
            </w:pPr>
          </w:p>
          <w:p w:rsidR="00142C81" w:rsidRPr="0042119F" w:rsidRDefault="00142C81" w:rsidP="00142C8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142C81" w:rsidRPr="0042119F" w:rsidRDefault="00142C81" w:rsidP="00142C81">
            <w:pPr>
              <w:spacing w:before="30" w:after="30" w:line="240" w:lineRule="auto"/>
              <w:ind w:left="35"/>
              <w:contextualSpacing/>
              <w:rPr>
                <w:rFonts w:cs="Calibri"/>
                <w:color w:val="000000"/>
              </w:rPr>
            </w:pPr>
          </w:p>
          <w:p w:rsidR="00142C81" w:rsidRDefault="00142C81" w:rsidP="00142C81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Wszystkie przedsięwzięcia związane z poprawą warunków kształcenia będą uwzględniać konieczność dostosowaniem infrastruktury i wyposażenia do potrzeb osób z niepełnosprawnościami (jako obowiązkowy element projektu).</w:t>
            </w:r>
          </w:p>
          <w:p w:rsidR="00142C81" w:rsidRDefault="00142C81" w:rsidP="00142C81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142C81" w:rsidRPr="0042119F" w:rsidRDefault="00142C81" w:rsidP="00142C81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135960">
              <w:rPr>
                <w:rFonts w:cs="Calibri"/>
                <w:color w:val="000000"/>
              </w:rPr>
              <w:t xml:space="preserve">Możliwe są działania poprawiające efektywność energetyczną, analogiczne do działania 3.3 </w:t>
            </w:r>
            <w:r>
              <w:rPr>
                <w:rFonts w:cs="Calibri"/>
                <w:color w:val="000000"/>
              </w:rPr>
              <w:t xml:space="preserve">RPO WD </w:t>
            </w:r>
            <w:r w:rsidRPr="00135960">
              <w:rPr>
                <w:rFonts w:cs="Calibri"/>
                <w:color w:val="000000"/>
              </w:rPr>
              <w:t>„Efektywność energetyczna w budynkach użyteczności publicznej i sektorze mieszkaniowym” (schematy 3.3 A i 3.3 B). Wartość takich inwestycji nie może przekraczać 49% wartości  wydatków kwalifikowalnych na pojedynczy budynek w projekcie.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142C81" w:rsidRPr="00D21FE1" w:rsidRDefault="00142C81" w:rsidP="00142C81">
            <w:pPr>
              <w:spacing w:after="120" w:line="240" w:lineRule="auto"/>
              <w:jc w:val="both"/>
              <w:rPr>
                <w:rFonts w:cs="Calibri"/>
                <w:b/>
                <w:color w:val="000000"/>
              </w:rPr>
            </w:pPr>
            <w:r w:rsidRPr="00804497">
              <w:rPr>
                <w:rFonts w:cs="Calibri"/>
                <w:b/>
                <w:color w:val="000000"/>
              </w:rPr>
              <w:t>Preferowane będą projekty:</w:t>
            </w:r>
          </w:p>
          <w:p w:rsidR="00142C81" w:rsidRPr="0042119F" w:rsidRDefault="00142C81" w:rsidP="00142C81">
            <w:pPr>
              <w:spacing w:after="120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dostosowujące szkoły do pracy z uczniem o specjalnych potrzebach edukacyjnych;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zapewniające rozwój infrastruktury w zakresie nauk matematyczno-przyrodniczych i cyfrowych (wyposażenie pracowni);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komplementarne z przedsięwzięciami realizowanymi w obszarze ed</w:t>
            </w:r>
            <w:r>
              <w:rPr>
                <w:rFonts w:cs="Calibri"/>
                <w:color w:val="000000"/>
              </w:rPr>
              <w:t>ukacji współfinansowanymi z EFS.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142C81" w:rsidRDefault="00142C81" w:rsidP="00142C81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804497">
              <w:rPr>
                <w:rFonts w:cs="Calibri"/>
                <w:b/>
                <w:color w:val="000000"/>
              </w:rPr>
              <w:t>Nie będą finansowane: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związane z termomodernizacją przekraczające 49% wartości całkowitych wydatków kwalifikowalnych projektu.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infrastrukturę oraz zakup wyposażenia wykorzystywanego na potrzeby kształcenia ustawicznego.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na infrastrukturę szkolnict</w:t>
            </w:r>
            <w:r w:rsidR="00FA5104">
              <w:rPr>
                <w:rFonts w:eastAsia="Times New Roman" w:cs="Arial"/>
                <w:lang w:eastAsia="pl-PL"/>
              </w:rPr>
              <w:t>wa ponadgimnazjalnego ogólnego</w:t>
            </w:r>
            <w:r w:rsidRPr="00F84390">
              <w:rPr>
                <w:vertAlign w:val="superscript"/>
              </w:rPr>
              <w:footnoteReference w:id="2"/>
            </w:r>
            <w:r w:rsidRPr="00F84390">
              <w:rPr>
                <w:sz w:val="24"/>
                <w:szCs w:val="24"/>
              </w:rPr>
              <w:t>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budowę nowych obiektów nie służących praktycznej nauce zawodu oraz rozbudowę obiektów nie służących praktycznej nauce zawodu o budynki trwale nie połączone z istniejącym już obiektem.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Koszty zagospodarowania terenu wokół szkół i placówek oraz budowa dróg dojazdowych, wewnętrznych i parkingów.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 xml:space="preserve">- </w:t>
            </w:r>
            <w:r w:rsidRPr="00F84390">
              <w:rPr>
                <w:rFonts w:cs="Arial"/>
              </w:rPr>
              <w:t>Wydatki na zakup używanych środków trwałych.</w:t>
            </w:r>
          </w:p>
          <w:p w:rsidR="00142C81" w:rsidRDefault="00142C81" w:rsidP="00142C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4247C0" w:rsidRDefault="00142C81" w:rsidP="00142C81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Kategorią interwencji (zakresem interwencji dominującym) dla niniejszego konkursu jest kategoria </w:t>
            </w:r>
            <w:r w:rsidRPr="00142C81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050 Infrastruktura edukacyjna na potrzeby kształcenia i szkolenia zawodowego</w:t>
            </w: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oraz kształcenia osób dorosłych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4247C0" w:rsidRPr="00151119" w:rsidRDefault="004247C0" w:rsidP="0042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>następujące typy beneficjentów: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4247C0" w:rsidRDefault="004247C0" w:rsidP="004247C0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9D3B9B" w:rsidRPr="004247C0" w:rsidRDefault="009D3B9B" w:rsidP="004247C0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CA6EA5">
              <w:rPr>
                <w:rFonts w:ascii="Calibri" w:eastAsia="Droid Sans Fallback" w:hAnsi="Calibri" w:cs="Calibri"/>
                <w:color w:val="00000A"/>
              </w:rPr>
              <w:t>lokacja przeznaczona na konkurs wynosi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D12266">
              <w:rPr>
                <w:rFonts w:ascii="Calibri" w:eastAsia="Droid Sans Fallback" w:hAnsi="Calibri" w:cs="Calibri"/>
                <w:b/>
                <w:color w:val="00000A"/>
              </w:rPr>
              <w:t>3 061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 </w:t>
            </w:r>
            <w:r w:rsidRPr="00D12266">
              <w:rPr>
                <w:rFonts w:ascii="Calibri" w:eastAsia="Droid Sans Fallback" w:hAnsi="Calibri" w:cs="Calibri"/>
                <w:b/>
                <w:color w:val="00000A"/>
              </w:rPr>
              <w:t>714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Pr="0098538F">
              <w:rPr>
                <w:rFonts w:ascii="Calibri" w:eastAsia="Droid Sans Fallback" w:hAnsi="Calibri" w:cs="Calibri"/>
                <w:b/>
                <w:color w:val="00000A"/>
              </w:rPr>
              <w:t>EUR, tj. 13 358 564 zł</w:t>
            </w:r>
          </w:p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74650">
              <w:rPr>
                <w:rFonts w:cs="MS Sans Serif"/>
              </w:rPr>
              <w:t xml:space="preserve">Alokacja przeliczona po kursie Europejskiego Banku Centralnego (EBC) obowiązującym w </w:t>
            </w:r>
            <w:r>
              <w:rPr>
                <w:rFonts w:cs="MS Sans Serif"/>
              </w:rPr>
              <w:t>marcu</w:t>
            </w:r>
            <w:r w:rsidRPr="00974650">
              <w:rPr>
                <w:rFonts w:cs="MS Sans Serif"/>
              </w:rPr>
              <w:t xml:space="preserve"> 2016  r., 1 euro = </w:t>
            </w:r>
            <w:r>
              <w:rPr>
                <w:rFonts w:cs="MS Sans Serif"/>
              </w:rPr>
              <w:t xml:space="preserve">4, </w:t>
            </w:r>
            <w:r w:rsidRPr="00AC7908">
              <w:rPr>
                <w:rFonts w:cs="MS Sans Serif"/>
              </w:rPr>
              <w:t>3631</w:t>
            </w:r>
            <w:r>
              <w:rPr>
                <w:rFonts w:cs="MS Sans Serif"/>
              </w:rPr>
              <w:t xml:space="preserve"> zł</w:t>
            </w:r>
            <w:r w:rsidRPr="00974650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142C81" w:rsidRDefault="00142C81" w:rsidP="00142C81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Pr="005E776A">
              <w:t xml:space="preserve">zatwierdzania Listy ocenionych projektów </w:t>
            </w:r>
            <w:r>
              <w:t>.</w:t>
            </w:r>
          </w:p>
          <w:p w:rsidR="00891DBA" w:rsidRDefault="00891DBA" w:rsidP="00891DBA">
            <w:pPr>
              <w:spacing w:after="0" w:line="240" w:lineRule="auto"/>
              <w:jc w:val="both"/>
            </w:pP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891DBA" w:rsidRPr="00F975C3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</w:t>
            </w:r>
            <w:r>
              <w:rPr>
                <w:rFonts w:cs="Arial"/>
              </w:rPr>
              <w:t xml:space="preserve">rtość wydatków kwalifikowalnych </w:t>
            </w:r>
            <w:r w:rsidRPr="00D35F5D">
              <w:rPr>
                <w:rFonts w:cs="Arial"/>
              </w:rPr>
              <w:t>dotyczy</w:t>
            </w:r>
            <w:r w:rsidR="005616FF">
              <w:rPr>
                <w:rFonts w:cs="Arial"/>
              </w:rPr>
              <w:t xml:space="preserve"> </w:t>
            </w:r>
            <w:r w:rsidRPr="00D35F5D">
              <w:rPr>
                <w:rFonts w:cs="Arial"/>
              </w:rPr>
              <w:t>jednej szkoły/placówki.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92452" w:rsidRPr="00AB5956" w:rsidRDefault="00E92452" w:rsidP="00FA5104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764E1A" w:rsidRDefault="00DA002C" w:rsidP="00DA0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DA002C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E36FFD" w:rsidRPr="00942DF1" w:rsidRDefault="00E36FFD" w:rsidP="00E36FFD">
            <w:pPr>
              <w:autoSpaceDE w:val="0"/>
              <w:autoSpaceDN w:val="0"/>
              <w:spacing w:before="120" w:after="120" w:line="240" w:lineRule="auto"/>
              <w:jc w:val="both"/>
              <w:rPr>
                <w:bCs/>
              </w:rPr>
            </w:pPr>
            <w:bookmarkStart w:id="2" w:name="_GoBack"/>
            <w:r w:rsidRPr="001D6F18">
              <w:t xml:space="preserve">Wnioskodawca wypełnia wniosek o dofinansowanie za pośrednictwem aplikacji – generator wniosków o dofinansowanie EFRR – dostępny na stronie snow-umwd.dolnyslask.pl i przesyła do IOK w ramach niniejszego konkursu w terminie </w:t>
            </w:r>
            <w:r w:rsidR="00E9065A" w:rsidRPr="00E9065A">
              <w:rPr>
                <w:b/>
                <w:bCs/>
              </w:rPr>
              <w:t xml:space="preserve">od godz. 8.00 dnia </w:t>
            </w:r>
            <w:r w:rsidR="00E9065A">
              <w:rPr>
                <w:b/>
                <w:bCs/>
              </w:rPr>
              <w:t>6</w:t>
            </w:r>
            <w:r w:rsidRPr="002D7EF1">
              <w:rPr>
                <w:b/>
                <w:bCs/>
              </w:rPr>
              <w:t xml:space="preserve"> maja 2016 r. do godz. 15.00 dnia 24 czerwca 2016 r.</w:t>
            </w:r>
            <w:r w:rsidRPr="00942DF1">
              <w:rPr>
                <w:bCs/>
              </w:rPr>
              <w:t xml:space="preserve">  </w:t>
            </w:r>
          </w:p>
          <w:p w:rsidR="00E36FFD" w:rsidRDefault="00E36FFD" w:rsidP="00E36F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Cs/>
              </w:rPr>
            </w:pPr>
            <w:r w:rsidRPr="001D6F18">
              <w:t>Ponadto do siedziby IOK należy dostarczyć jeden egzemplarz wydrukowanej z aplikacji generator wniosków papierowej wersji wniosku, opatrzonej czytelnym podpisem/</w:t>
            </w:r>
            <w:proofErr w:type="spellStart"/>
            <w:r w:rsidRPr="001D6F18">
              <w:t>ami</w:t>
            </w:r>
            <w:proofErr w:type="spellEnd"/>
            <w:r w:rsidRPr="001D6F18">
              <w:t xml:space="preserve"> lub parafą i z pieczęcią imienną osoby/</w:t>
            </w:r>
            <w:proofErr w:type="spellStart"/>
            <w:r w:rsidRPr="001D6F18">
              <w:t>ób</w:t>
            </w:r>
            <w:proofErr w:type="spellEnd"/>
            <w:r w:rsidRPr="001D6F18">
              <w:t xml:space="preserve"> uprawnionej/</w:t>
            </w:r>
            <w:proofErr w:type="spellStart"/>
            <w:r w:rsidRPr="001D6F18">
              <w:t>ych</w:t>
            </w:r>
            <w:proofErr w:type="spellEnd"/>
            <w:r w:rsidRPr="001D6F18">
              <w:t xml:space="preserve"> do reprezentowania Wnioskodawcy (wraz z podpisanymi załącznikami) w terminie </w:t>
            </w:r>
            <w:r w:rsidRPr="002D7EF1">
              <w:rPr>
                <w:b/>
                <w:bCs/>
              </w:rPr>
              <w:t>do godz. 15.00 dnia 24 czerwca  2016 r.</w:t>
            </w:r>
            <w:r w:rsidR="009249DF">
              <w:rPr>
                <w:b/>
                <w:bCs/>
              </w:rPr>
              <w:t xml:space="preserve"> </w:t>
            </w:r>
            <w:r w:rsidR="009249DF" w:rsidRPr="002D7EF1">
              <w:rPr>
                <w:bCs/>
              </w:rPr>
              <w:t xml:space="preserve">Jednocześnie, wymaganą analizę </w:t>
            </w:r>
            <w:r w:rsidR="009249DF" w:rsidRPr="002D7EF1">
              <w:rPr>
                <w:bCs/>
              </w:rPr>
              <w:lastRenderedPageBreak/>
              <w:t>finansową (w postaci arkuszy kalkulacyjnych w formacie Excel z aktywnymi formułami) przedłożyć należy na nośniku CD.</w:t>
            </w:r>
          </w:p>
          <w:bookmarkEnd w:id="2"/>
          <w:p w:rsidR="008031CC" w:rsidRPr="00891DBA" w:rsidRDefault="008031CC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2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69"/>
      <w:docPartObj>
        <w:docPartGallery w:val="Page Numbers (Bottom of Page)"/>
        <w:docPartUnique/>
      </w:docPartObj>
    </w:sdtPr>
    <w:sdtEndPr/>
    <w:sdtContent>
      <w:p w:rsidR="00C504E8" w:rsidRDefault="00A5514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4E8" w:rsidRDefault="00C504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142C81" w:rsidRDefault="00142C81" w:rsidP="00142C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2447">
        <w:t>Pod pojęciem rozbudowy rozumie się sytuację w której, rozbudowywana część obiektu będzie funkcjonalnie i rzeczywiście połączona z istniejącą częścią szkoły</w:t>
      </w:r>
    </w:p>
  </w:footnote>
  <w:footnote w:id="2">
    <w:p w:rsidR="00142C81" w:rsidRDefault="00142C81" w:rsidP="00142C81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24"/>
  </w:num>
  <w:num w:numId="5">
    <w:abstractNumId w:val="5"/>
  </w:num>
  <w:num w:numId="6">
    <w:abstractNumId w:val="29"/>
  </w:num>
  <w:num w:numId="7">
    <w:abstractNumId w:val="9"/>
  </w:num>
  <w:num w:numId="8">
    <w:abstractNumId w:val="13"/>
  </w:num>
  <w:num w:numId="9">
    <w:abstractNumId w:val="26"/>
  </w:num>
  <w:num w:numId="10">
    <w:abstractNumId w:val="16"/>
  </w:num>
  <w:num w:numId="11">
    <w:abstractNumId w:val="2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"/>
  </w:num>
  <w:num w:numId="17">
    <w:abstractNumId w:val="31"/>
  </w:num>
  <w:num w:numId="18">
    <w:abstractNumId w:val="19"/>
  </w:num>
  <w:num w:numId="19">
    <w:abstractNumId w:val="2"/>
  </w:num>
  <w:num w:numId="20">
    <w:abstractNumId w:val="17"/>
  </w:num>
  <w:num w:numId="21">
    <w:abstractNumId w:val="20"/>
  </w:num>
  <w:num w:numId="22">
    <w:abstractNumId w:val="30"/>
  </w:num>
  <w:num w:numId="23">
    <w:abstractNumId w:val="14"/>
  </w:num>
  <w:num w:numId="24">
    <w:abstractNumId w:val="25"/>
  </w:num>
  <w:num w:numId="25">
    <w:abstractNumId w:val="28"/>
  </w:num>
  <w:num w:numId="26">
    <w:abstractNumId w:val="15"/>
  </w:num>
  <w:num w:numId="27">
    <w:abstractNumId w:val="18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269AA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2C81"/>
    <w:rsid w:val="001442E1"/>
    <w:rsid w:val="0015088A"/>
    <w:rsid w:val="00151119"/>
    <w:rsid w:val="00163B95"/>
    <w:rsid w:val="00163C1F"/>
    <w:rsid w:val="001741B3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91B94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D7EF1"/>
    <w:rsid w:val="002E2658"/>
    <w:rsid w:val="002E5984"/>
    <w:rsid w:val="002E5B1F"/>
    <w:rsid w:val="002F2511"/>
    <w:rsid w:val="002F3568"/>
    <w:rsid w:val="00300E2C"/>
    <w:rsid w:val="00302591"/>
    <w:rsid w:val="00303BCB"/>
    <w:rsid w:val="00314B94"/>
    <w:rsid w:val="00320901"/>
    <w:rsid w:val="0032333D"/>
    <w:rsid w:val="0033092B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7C0"/>
    <w:rsid w:val="00424DF6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6015A"/>
    <w:rsid w:val="005616FF"/>
    <w:rsid w:val="00565A63"/>
    <w:rsid w:val="00571FD0"/>
    <w:rsid w:val="00574632"/>
    <w:rsid w:val="00575541"/>
    <w:rsid w:val="00585063"/>
    <w:rsid w:val="005A6588"/>
    <w:rsid w:val="005B34B9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182E"/>
    <w:rsid w:val="006C3F4E"/>
    <w:rsid w:val="006D7C1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A70AD"/>
    <w:rsid w:val="007B042A"/>
    <w:rsid w:val="007B0A0A"/>
    <w:rsid w:val="007B7525"/>
    <w:rsid w:val="007B7614"/>
    <w:rsid w:val="007C05FA"/>
    <w:rsid w:val="007C3465"/>
    <w:rsid w:val="007C46DB"/>
    <w:rsid w:val="007D19B0"/>
    <w:rsid w:val="007D5F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31CC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1DBA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9DF"/>
    <w:rsid w:val="00924E91"/>
    <w:rsid w:val="009337A7"/>
    <w:rsid w:val="00936001"/>
    <w:rsid w:val="009367C2"/>
    <w:rsid w:val="009455A4"/>
    <w:rsid w:val="00947B71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41980"/>
    <w:rsid w:val="00A428C1"/>
    <w:rsid w:val="00A43011"/>
    <w:rsid w:val="00A52334"/>
    <w:rsid w:val="00A5514B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3A7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A6C94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504E8"/>
    <w:rsid w:val="00C62904"/>
    <w:rsid w:val="00C652F8"/>
    <w:rsid w:val="00C72B9C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04770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36FFD"/>
    <w:rsid w:val="00E51525"/>
    <w:rsid w:val="00E5371F"/>
    <w:rsid w:val="00E630E4"/>
    <w:rsid w:val="00E75A4F"/>
    <w:rsid w:val="00E766EE"/>
    <w:rsid w:val="00E820F5"/>
    <w:rsid w:val="00E873C4"/>
    <w:rsid w:val="00E9065A"/>
    <w:rsid w:val="00E92452"/>
    <w:rsid w:val="00EC0DC4"/>
    <w:rsid w:val="00EC6F8D"/>
    <w:rsid w:val="00ED56A0"/>
    <w:rsid w:val="00ED6C8D"/>
    <w:rsid w:val="00EE0117"/>
    <w:rsid w:val="00EE291C"/>
    <w:rsid w:val="00EE4E41"/>
    <w:rsid w:val="00EF3E21"/>
    <w:rsid w:val="00EF749B"/>
    <w:rsid w:val="00F013EF"/>
    <w:rsid w:val="00F05333"/>
    <w:rsid w:val="00F14DAF"/>
    <w:rsid w:val="00F259B1"/>
    <w:rsid w:val="00F373AC"/>
    <w:rsid w:val="00F37B47"/>
    <w:rsid w:val="00F61802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510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3F8C-8227-40BE-A747-558982C7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2</cp:revision>
  <cp:lastPrinted>2016-03-22T08:39:00Z</cp:lastPrinted>
  <dcterms:created xsi:type="dcterms:W3CDTF">2016-04-29T07:18:00Z</dcterms:created>
  <dcterms:modified xsi:type="dcterms:W3CDTF">2016-04-29T07:18:00Z</dcterms:modified>
</cp:coreProperties>
</file>