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AB5D43" w:rsidP="00480411">
      <w:pPr>
        <w:pStyle w:val="Nagwek"/>
        <w:tabs>
          <w:tab w:val="clear" w:pos="4536"/>
        </w:tabs>
        <w:spacing w:before="120" w:after="120"/>
        <w:rPr>
          <w:sz w:val="24"/>
          <w:szCs w:val="24"/>
        </w:rPr>
      </w:pPr>
      <w:bookmarkStart w:id="0" w:name="_GoBack"/>
      <w:bookmarkEnd w:id="0"/>
      <w:r>
        <w:rPr>
          <w:sz w:val="24"/>
          <w:szCs w:val="24"/>
        </w:rPr>
        <w:t xml:space="preserve">   </w:t>
      </w:r>
      <w:r w:rsidR="00E873C4">
        <w:rPr>
          <w:sz w:val="24"/>
          <w:szCs w:val="24"/>
        </w:rPr>
        <w:tab/>
      </w:r>
      <w:r w:rsidR="00582A00" w:rsidRPr="00582A00">
        <w:rPr>
          <w:noProof/>
          <w:lang w:eastAsia="pl-PL"/>
        </w:rPr>
        <w:drawing>
          <wp:anchor distT="0" distB="0" distL="114300" distR="114300" simplePos="0" relativeHeight="251659264" behindDoc="1" locked="0" layoutInCell="1" allowOverlap="1" wp14:anchorId="76CF3847" wp14:editId="06AEF94D">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Pr>
          <w:sz w:val="24"/>
          <w:szCs w:val="24"/>
        </w:rPr>
        <w:tab/>
      </w:r>
    </w:p>
    <w:p w:rsidR="00582A00" w:rsidRDefault="00E1750F" w:rsidP="00E1750F">
      <w:pPr>
        <w:pStyle w:val="Gwka"/>
        <w:spacing w:before="120" w:line="240" w:lineRule="auto"/>
        <w:ind w:left="4963"/>
        <w:rPr>
          <w:sz w:val="24"/>
          <w:szCs w:val="24"/>
        </w:rPr>
      </w:pPr>
      <w:r>
        <w:rPr>
          <w:sz w:val="24"/>
          <w:szCs w:val="24"/>
        </w:rPr>
        <w:t xml:space="preserve">                                                                          </w:t>
      </w:r>
      <w:r w:rsidR="007D3AFA">
        <w:rPr>
          <w:sz w:val="24"/>
          <w:szCs w:val="24"/>
        </w:rPr>
        <w:t xml:space="preserve">                 </w:t>
      </w:r>
    </w:p>
    <w:p w:rsidR="00582A00" w:rsidRDefault="00582A00" w:rsidP="00E1750F">
      <w:pPr>
        <w:pStyle w:val="Gwka"/>
        <w:spacing w:before="120" w:line="240" w:lineRule="auto"/>
        <w:ind w:left="4963"/>
        <w:rPr>
          <w:sz w:val="24"/>
          <w:szCs w:val="24"/>
        </w:rPr>
      </w:pPr>
    </w:p>
    <w:p w:rsidR="00E1750F" w:rsidRDefault="007D3AFA" w:rsidP="00E1750F">
      <w:pPr>
        <w:pStyle w:val="Gwka"/>
        <w:spacing w:before="120" w:line="240" w:lineRule="auto"/>
        <w:ind w:left="4963"/>
        <w:rPr>
          <w:sz w:val="24"/>
          <w:szCs w:val="24"/>
        </w:rPr>
      </w:pPr>
      <w:r>
        <w:rPr>
          <w:sz w:val="24"/>
          <w:szCs w:val="24"/>
        </w:rPr>
        <w:t xml:space="preserve">Załącznik nr        do Uchwały nr </w:t>
      </w:r>
      <w:r w:rsidR="00E1750F">
        <w:rPr>
          <w:sz w:val="24"/>
          <w:szCs w:val="24"/>
        </w:rPr>
        <w:t xml:space="preserve">                                                                </w:t>
      </w:r>
      <w:r w:rsidR="00E1750F">
        <w:rPr>
          <w:sz w:val="24"/>
          <w:szCs w:val="24"/>
        </w:rPr>
        <w:br/>
        <w:t xml:space="preserve">Zarządu Województwa Dolnośląskiego                                               </w:t>
      </w:r>
    </w:p>
    <w:p w:rsidR="00E1750F" w:rsidRDefault="00E1750F" w:rsidP="00E1750F">
      <w:pPr>
        <w:pStyle w:val="Gwka"/>
        <w:spacing w:after="120" w:line="240" w:lineRule="auto"/>
        <w:ind w:left="4962"/>
        <w:rPr>
          <w:sz w:val="24"/>
          <w:szCs w:val="24"/>
        </w:rPr>
      </w:pPr>
      <w:r>
        <w:rPr>
          <w:sz w:val="24"/>
          <w:szCs w:val="24"/>
        </w:rPr>
        <w:t>z dnia ....................................</w:t>
      </w:r>
    </w:p>
    <w:p w:rsidR="00E873C4" w:rsidRPr="00E873C4" w:rsidRDefault="00E873C4" w:rsidP="00E1750F">
      <w:pPr>
        <w:pStyle w:val="Nagwek"/>
        <w:jc w:val="center"/>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Default="00E75A4F" w:rsidP="00480411">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A74C6A" w:rsidRPr="00E873C4" w:rsidRDefault="00A74C6A" w:rsidP="00480411">
      <w:pPr>
        <w:pStyle w:val="Nagwek"/>
        <w:spacing w:before="120" w:after="120"/>
        <w:jc w:val="center"/>
        <w:rPr>
          <w:rFonts w:cs="Arial"/>
          <w:b/>
          <w:sz w:val="32"/>
          <w:szCs w:val="32"/>
        </w:rPr>
      </w:pPr>
    </w:p>
    <w:p w:rsidR="00A74C6A" w:rsidRPr="00A74C6A" w:rsidRDefault="00A74C6A" w:rsidP="00A74C6A">
      <w:pPr>
        <w:pStyle w:val="Nagwek"/>
        <w:spacing w:before="120" w:after="120"/>
        <w:jc w:val="center"/>
        <w:rPr>
          <w:rFonts w:cs="Arial"/>
          <w:b/>
          <w:sz w:val="32"/>
          <w:szCs w:val="32"/>
        </w:rPr>
      </w:pPr>
      <w:bookmarkStart w:id="1" w:name="_Toc422949625"/>
      <w:bookmarkStart w:id="2" w:name="_Toc430826812"/>
      <w:r w:rsidRPr="00A74C6A">
        <w:rPr>
          <w:rFonts w:cs="Arial"/>
          <w:b/>
          <w:sz w:val="32"/>
          <w:szCs w:val="32"/>
        </w:rPr>
        <w:t>Działanie 7.2 Inwestycje w edukację ponadgimnazjalną, w tym zawodową</w:t>
      </w:r>
    </w:p>
    <w:p w:rsidR="006754E3" w:rsidRDefault="00A74C6A" w:rsidP="00A74C6A">
      <w:pPr>
        <w:pStyle w:val="Nagwek"/>
        <w:spacing w:before="120" w:after="120"/>
        <w:jc w:val="center"/>
        <w:rPr>
          <w:rFonts w:cs="Arial"/>
          <w:b/>
          <w:sz w:val="32"/>
          <w:szCs w:val="32"/>
        </w:rPr>
      </w:pPr>
      <w:r w:rsidRPr="00A74C6A">
        <w:rPr>
          <w:rFonts w:cs="Arial"/>
          <w:b/>
          <w:sz w:val="32"/>
          <w:szCs w:val="32"/>
        </w:rPr>
        <w:t>Poddziałanie 7.2.1 Inwestycje w edukację ponadgimnazjalną, w tym zawodową – konkursy horyzontalne</w:t>
      </w:r>
    </w:p>
    <w:p w:rsidR="00A522D6" w:rsidRPr="006754E3" w:rsidRDefault="00A522D6" w:rsidP="00A74C6A">
      <w:pPr>
        <w:pStyle w:val="Nagwek"/>
        <w:spacing w:before="120" w:after="120"/>
        <w:jc w:val="center"/>
        <w:rPr>
          <w:rFonts w:cs="Arial"/>
          <w:b/>
          <w:sz w:val="24"/>
          <w:szCs w:val="24"/>
        </w:rPr>
      </w:pPr>
    </w:p>
    <w:bookmarkEnd w:id="1"/>
    <w:bookmarkEnd w:id="2"/>
    <w:p w:rsidR="00E873C4" w:rsidRPr="00FC3B1E" w:rsidRDefault="006754E3" w:rsidP="006754E3">
      <w:pPr>
        <w:tabs>
          <w:tab w:val="left" w:pos="2835"/>
        </w:tabs>
        <w:spacing w:line="240" w:lineRule="auto"/>
        <w:jc w:val="center"/>
        <w:rPr>
          <w:b/>
          <w:sz w:val="28"/>
          <w:szCs w:val="28"/>
          <w:u w:val="single"/>
        </w:rPr>
      </w:pPr>
      <w:r w:rsidRPr="00FC3B1E">
        <w:rPr>
          <w:b/>
          <w:sz w:val="28"/>
          <w:szCs w:val="28"/>
          <w:u w:val="single"/>
        </w:rPr>
        <w:t xml:space="preserve">(Infrastruktura </w:t>
      </w:r>
      <w:r w:rsidR="00A22D86">
        <w:rPr>
          <w:b/>
          <w:sz w:val="28"/>
          <w:szCs w:val="28"/>
          <w:u w:val="single"/>
        </w:rPr>
        <w:t xml:space="preserve">szkół </w:t>
      </w:r>
      <w:r w:rsidR="00A74C6A">
        <w:rPr>
          <w:b/>
          <w:sz w:val="28"/>
          <w:szCs w:val="28"/>
          <w:u w:val="single"/>
        </w:rPr>
        <w:t>ponadgimnazjalnych zawodowych</w:t>
      </w:r>
      <w:r w:rsidRPr="00FC3B1E">
        <w:rPr>
          <w:b/>
          <w:sz w:val="28"/>
          <w:szCs w:val="28"/>
          <w:u w:val="single"/>
        </w:rPr>
        <w:t>)</w:t>
      </w:r>
    </w:p>
    <w:p w:rsidR="006754E3" w:rsidRPr="006754E3" w:rsidRDefault="006754E3" w:rsidP="006754E3">
      <w:pPr>
        <w:tabs>
          <w:tab w:val="left" w:pos="2835"/>
        </w:tabs>
        <w:spacing w:line="240" w:lineRule="auto"/>
        <w:jc w:val="center"/>
        <w:rPr>
          <w:b/>
          <w:u w:val="single"/>
        </w:rPr>
      </w:pPr>
    </w:p>
    <w:p w:rsidR="00E873C4" w:rsidRPr="00390D9C" w:rsidRDefault="00390D9C" w:rsidP="00480411">
      <w:pPr>
        <w:spacing w:line="240" w:lineRule="auto"/>
        <w:jc w:val="center"/>
        <w:rPr>
          <w:b/>
          <w:sz w:val="28"/>
          <w:szCs w:val="28"/>
        </w:rPr>
      </w:pPr>
      <w:r w:rsidRPr="00D755E9">
        <w:rPr>
          <w:b/>
          <w:sz w:val="28"/>
          <w:szCs w:val="28"/>
        </w:rPr>
        <w:t xml:space="preserve">Nr </w:t>
      </w:r>
      <w:r w:rsidR="004E1A59" w:rsidRPr="00D755E9">
        <w:rPr>
          <w:b/>
          <w:sz w:val="28"/>
          <w:szCs w:val="28"/>
        </w:rPr>
        <w:t xml:space="preserve">naboru </w:t>
      </w:r>
      <w:r w:rsidR="0001134F" w:rsidRPr="0001134F">
        <w:rPr>
          <w:b/>
          <w:sz w:val="28"/>
          <w:szCs w:val="28"/>
        </w:rPr>
        <w:t>RPDS.07.02.01-IZ.00-02-090/16</w:t>
      </w: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r w:rsidRPr="00E873C4">
        <w:rPr>
          <w:sz w:val="28"/>
          <w:szCs w:val="28"/>
        </w:rPr>
        <w:t xml:space="preserve">Wrocław, </w:t>
      </w:r>
      <w:r w:rsidR="00FC0B97">
        <w:rPr>
          <w:sz w:val="28"/>
          <w:szCs w:val="28"/>
        </w:rPr>
        <w:t xml:space="preserve">kwiecień </w:t>
      </w:r>
      <w:r w:rsidR="009A0630">
        <w:rPr>
          <w:sz w:val="28"/>
          <w:szCs w:val="28"/>
        </w:rPr>
        <w:t>2016</w:t>
      </w:r>
    </w:p>
    <w:p w:rsidR="00480411" w:rsidRDefault="00480411" w:rsidP="00921011">
      <w:pPr>
        <w:spacing w:line="240" w:lineRule="auto"/>
        <w:ind w:right="1"/>
        <w:rPr>
          <w:b/>
          <w:bCs/>
        </w:rPr>
      </w:pPr>
    </w:p>
    <w:p w:rsidR="00A74C6A" w:rsidRDefault="00A74C6A" w:rsidP="00921011">
      <w:pPr>
        <w:spacing w:line="240" w:lineRule="auto"/>
        <w:ind w:right="1"/>
        <w:rPr>
          <w:b/>
          <w:bCs/>
        </w:rPr>
      </w:pPr>
    </w:p>
    <w:p w:rsidR="00582A00" w:rsidRDefault="00582A00" w:rsidP="00921011">
      <w:pPr>
        <w:spacing w:line="240" w:lineRule="auto"/>
        <w:ind w:right="1"/>
        <w:rPr>
          <w:b/>
          <w:bCs/>
        </w:rPr>
      </w:pPr>
    </w:p>
    <w:p w:rsidR="00E873C4" w:rsidRDefault="008F4AAF" w:rsidP="00480411">
      <w:pPr>
        <w:spacing w:line="240" w:lineRule="auto"/>
        <w:ind w:left="-142" w:right="1"/>
        <w:rPr>
          <w:sz w:val="28"/>
          <w:szCs w:val="28"/>
        </w:rPr>
      </w:pPr>
      <w:r>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66E9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r w:rsidRPr="00761383">
              <w:rPr>
                <w:rFonts w:ascii="Calibri" w:hAnsi="Calibri" w:cs="Calibri"/>
                <w:color w:val="000000"/>
              </w:rPr>
              <w:t xml:space="preserve">Uooś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8B79E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w:t>
            </w:r>
            <w:r w:rsidR="000E004A" w:rsidRPr="000E004A">
              <w:rPr>
                <w:rFonts w:ascii="Calibri" w:hAnsi="Calibri" w:cs="Calibri"/>
                <w:color w:val="000000"/>
              </w:rPr>
              <w:t>tj. Dz. U. z 2016 r. poz. 217)</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805E31">
              <w:rPr>
                <w:rFonts w:asciiTheme="minorHAnsi" w:hAnsiTheme="minorHAnsi"/>
                <w:sz w:val="22"/>
                <w:szCs w:val="22"/>
              </w:rPr>
              <w:t>Regulamin konkursu</w:t>
            </w:r>
            <w:bookmarkEnd w:id="3"/>
            <w:bookmarkEnd w:id="4"/>
            <w:bookmarkEnd w:id="5"/>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185792" w:rsidRDefault="005F764E" w:rsidP="005F764E">
            <w:pPr>
              <w:suppressAutoHyphens/>
              <w:spacing w:before="120" w:after="120" w:line="240" w:lineRule="auto"/>
              <w:ind w:left="33"/>
              <w:jc w:val="both"/>
              <w:rPr>
                <w:rFonts w:ascii="Calibri" w:eastAsia="Droid Sans Fallback" w:hAnsi="Calibri" w:cs="Calibri"/>
                <w:color w:val="00000A"/>
              </w:rPr>
            </w:pPr>
            <w:r w:rsidRPr="00A22D86">
              <w:rPr>
                <w:rFonts w:ascii="Calibri" w:eastAsia="Droid Sans Fallback" w:hAnsi="Calibri" w:cs="Calibri"/>
                <w:color w:val="00000A"/>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w:t>
            </w:r>
            <w:r w:rsidR="00136192">
              <w:rPr>
                <w:rFonts w:ascii="Calibri" w:eastAsia="Droid Sans Fallback" w:hAnsi="Calibri" w:cs="Calibri"/>
                <w:color w:val="00000A"/>
              </w:rPr>
              <w:t>ś</w:t>
            </w:r>
            <w:r w:rsidRPr="00A22D86">
              <w:rPr>
                <w:rFonts w:ascii="Calibri" w:eastAsia="Droid Sans Fallback" w:hAnsi="Calibri" w:cs="Calibri"/>
                <w:color w:val="00000A"/>
              </w:rPr>
              <w:t xml:space="preserve"> Priorytetow</w:t>
            </w:r>
            <w:r w:rsidR="00136192">
              <w:rPr>
                <w:rFonts w:ascii="Calibri" w:eastAsia="Droid Sans Fallback" w:hAnsi="Calibri" w:cs="Calibri"/>
                <w:color w:val="00000A"/>
              </w:rPr>
              <w:t>a</w:t>
            </w:r>
            <w:r w:rsidRPr="00A22D86">
              <w:rPr>
                <w:rFonts w:ascii="Calibri" w:eastAsia="Droid Sans Fallback" w:hAnsi="Calibri" w:cs="Calibri"/>
                <w:color w:val="00000A"/>
              </w:rPr>
              <w:t xml:space="preserve"> 7 Infrastruktura edukacyjna </w:t>
            </w:r>
            <w:r w:rsidR="00A22D86" w:rsidRPr="00A22D86">
              <w:rPr>
                <w:rFonts w:ascii="Calibri" w:eastAsia="Droid Sans Fallback" w:hAnsi="Calibri" w:cs="Calibri"/>
                <w:color w:val="00000A"/>
              </w:rPr>
              <w:t xml:space="preserve">Działanie </w:t>
            </w:r>
            <w:r w:rsidR="00185792" w:rsidRPr="00185792">
              <w:rPr>
                <w:rFonts w:ascii="Calibri" w:eastAsia="Droid Sans Fallback" w:hAnsi="Calibri" w:cs="Calibri"/>
                <w:color w:val="00000A"/>
              </w:rPr>
              <w:t>7.2 Inwestycje w edukację ponadgimnazja</w:t>
            </w:r>
            <w:r w:rsidR="000359CC">
              <w:rPr>
                <w:rFonts w:ascii="Calibri" w:eastAsia="Droid Sans Fallback" w:hAnsi="Calibri" w:cs="Calibri"/>
                <w:color w:val="00000A"/>
              </w:rPr>
              <w:t>lną, w tym zawodową Poddziałanie</w:t>
            </w:r>
            <w:r w:rsidR="00185792" w:rsidRPr="00185792">
              <w:rPr>
                <w:rFonts w:ascii="Calibri" w:eastAsia="Droid Sans Fallback" w:hAnsi="Calibri" w:cs="Calibri"/>
                <w:color w:val="00000A"/>
              </w:rPr>
              <w:t xml:space="preserve"> 7.2.1 Inwestycje w edukację ponadgimnazjalną, w tym zawodową  – konkurs horyzontalny.</w:t>
            </w:r>
          </w:p>
          <w:p w:rsidR="005F764E" w:rsidRPr="005F764E" w:rsidRDefault="005F764E" w:rsidP="005F764E">
            <w:pPr>
              <w:suppressAutoHyphens/>
              <w:spacing w:before="120" w:after="120" w:line="240" w:lineRule="auto"/>
              <w:ind w:left="33"/>
              <w:jc w:val="both"/>
              <w:rPr>
                <w:rFonts w:ascii="Calibri" w:eastAsia="Times New Roman" w:hAnsi="Calibri" w:cs="Calibri"/>
                <w:b/>
                <w:color w:val="000000"/>
                <w:szCs w:val="20"/>
                <w:lang w:eastAsia="pl-PL"/>
              </w:rPr>
            </w:pPr>
            <w:r w:rsidRPr="005F764E">
              <w:rPr>
                <w:rFonts w:ascii="Calibri" w:eastAsia="Times New Roman" w:hAnsi="Calibri" w:cs="Calibri"/>
                <w:b/>
                <w:color w:val="000000"/>
                <w:szCs w:val="20"/>
                <w:lang w:eastAsia="pl-PL"/>
              </w:rPr>
              <w:t>Nabór w trybie konkursowym – horyzontalny.</w:t>
            </w:r>
          </w:p>
          <w:p w:rsidR="005F764E" w:rsidRDefault="005F764E" w:rsidP="005F764E">
            <w:pPr>
              <w:suppressAutoHyphens/>
              <w:spacing w:after="0" w:line="240" w:lineRule="auto"/>
              <w:jc w:val="both"/>
              <w:rPr>
                <w:rFonts w:ascii="Calibri" w:eastAsia="Droid Sans Fallback" w:hAnsi="Calibri" w:cs="Calibri"/>
              </w:rPr>
            </w:pPr>
            <w:r w:rsidRPr="005F764E">
              <w:rPr>
                <w:rFonts w:ascii="Calibri" w:eastAsia="Droid Sans Fallback" w:hAnsi="Calibri" w:cs="Calibri"/>
                <w:color w:val="00000A"/>
              </w:rPr>
              <w:t>Przez konkurs horyzontalny rozumie się prowadzony w trybie konkursowym nabór wniosków o dofinansowanie ogłaszany na projekty o znacz</w:t>
            </w:r>
            <w:r w:rsidRPr="005F764E">
              <w:rPr>
                <w:rFonts w:ascii="Calibri" w:eastAsia="Droid Sans Fallback" w:hAnsi="Calibri" w:cs="Calibri"/>
              </w:rPr>
              <w:t xml:space="preserve">eniu/zasięgu wykraczającym poza obszar ZIT lub poza obszar OSI, np.: </w:t>
            </w:r>
          </w:p>
          <w:p w:rsidR="00A22D86" w:rsidRPr="005F764E" w:rsidRDefault="00A22D86" w:rsidP="005F764E">
            <w:pPr>
              <w:suppressAutoHyphens/>
              <w:spacing w:after="0" w:line="240" w:lineRule="auto"/>
              <w:jc w:val="both"/>
              <w:rPr>
                <w:rFonts w:ascii="Calibri" w:eastAsia="Droid Sans Fallback" w:hAnsi="Calibri" w:cs="Calibri"/>
              </w:rPr>
            </w:pPr>
          </w:p>
          <w:p w:rsidR="005F764E" w:rsidRPr="00BC0942" w:rsidRDefault="005F764E" w:rsidP="005F764E">
            <w:pPr>
              <w:numPr>
                <w:ilvl w:val="0"/>
                <w:numId w:val="38"/>
              </w:numPr>
              <w:suppressAutoHyphens/>
              <w:spacing w:after="0" w:line="240" w:lineRule="auto"/>
              <w:jc w:val="both"/>
              <w:rPr>
                <w:rFonts w:eastAsia="Times New Roman" w:cs="Times New Roman"/>
                <w:szCs w:val="20"/>
                <w:lang w:eastAsia="pl-PL"/>
              </w:rPr>
            </w:pPr>
            <w:r w:rsidRPr="00BC0942">
              <w:rPr>
                <w:rFonts w:eastAsia="Times New Roman" w:cs="Times New Roman"/>
                <w:szCs w:val="20"/>
                <w:lang w:eastAsia="pl-PL"/>
              </w:rPr>
              <w:t>projekty partnerskie z udziałem beneficjentów z obszaru ZIT/OSI oraz beneficjentów spoza tego obszaru,</w:t>
            </w:r>
          </w:p>
          <w:p w:rsidR="005F764E" w:rsidRPr="00CD42AC" w:rsidRDefault="005F764E" w:rsidP="00CD42AC">
            <w:pPr>
              <w:numPr>
                <w:ilvl w:val="0"/>
                <w:numId w:val="38"/>
              </w:numPr>
              <w:suppressAutoHyphens/>
              <w:spacing w:after="0" w:line="240" w:lineRule="auto"/>
              <w:jc w:val="both"/>
              <w:rPr>
                <w:rFonts w:eastAsia="Times New Roman" w:cs="Times New Roman"/>
                <w:szCs w:val="20"/>
                <w:lang w:eastAsia="pl-PL"/>
              </w:rPr>
            </w:pPr>
            <w:r w:rsidRPr="00BC0942">
              <w:rPr>
                <w:rFonts w:eastAsia="Times New Roman" w:cs="Times New Roman"/>
                <w:szCs w:val="20"/>
                <w:lang w:eastAsia="pl-PL"/>
              </w:rPr>
              <w:t>projekty realizowane przez powiat o zasięgu obejmującym cały powiat – w sytuacji gdy w  skład powiatu wchodzą zarówno gminy zlokalizowane na obszarze ZIT/O</w:t>
            </w:r>
            <w:r w:rsidR="007E0033">
              <w:rPr>
                <w:rFonts w:eastAsia="Times New Roman" w:cs="Times New Roman"/>
                <w:szCs w:val="20"/>
                <w:lang w:eastAsia="pl-PL"/>
              </w:rPr>
              <w:t xml:space="preserve">SI, jak i poza obszarem ZIT/OSI </w:t>
            </w:r>
            <w:r w:rsidR="008F0FC5" w:rsidRPr="008F0FC5">
              <w:rPr>
                <w:rFonts w:eastAsia="Times New Roman" w:cs="Times New Roman"/>
                <w:szCs w:val="20"/>
                <w:lang w:eastAsia="pl-PL"/>
              </w:rPr>
              <w:t>(np. wskazany zasięg będzie mierzony liczbą uczniów uczęszczających do danej szkoły - odsetek uczniów z gminy nie wchodzących w skład danego ZIT/OSI nie jest marginalny)</w:t>
            </w:r>
            <w:r w:rsidR="007E0033">
              <w:rPr>
                <w:rFonts w:eastAsia="Times New Roman" w:cs="Times New Roman"/>
                <w:szCs w:val="20"/>
                <w:lang w:eastAsia="pl-PL"/>
              </w:rPr>
              <w:t>,</w:t>
            </w:r>
          </w:p>
          <w:p w:rsidR="005F764E" w:rsidRPr="00BC0942" w:rsidRDefault="005F764E" w:rsidP="005F764E">
            <w:pPr>
              <w:numPr>
                <w:ilvl w:val="0"/>
                <w:numId w:val="38"/>
              </w:numPr>
              <w:suppressAutoHyphens/>
              <w:spacing w:after="0" w:line="240" w:lineRule="auto"/>
              <w:jc w:val="both"/>
              <w:rPr>
                <w:rFonts w:eastAsia="Times New Roman" w:cs="Times New Roman"/>
                <w:szCs w:val="20"/>
                <w:lang w:eastAsia="pl-PL"/>
              </w:rPr>
            </w:pPr>
            <w:r w:rsidRPr="00BC0942">
              <w:rPr>
                <w:rFonts w:eastAsia="Times New Roman" w:cs="Times New Roman"/>
                <w:szCs w:val="20"/>
                <w:lang w:eastAsia="pl-PL"/>
              </w:rPr>
              <w:t>projekty Wnioskodawców o znaczeniu wykraczającym poza obszar/y ZIT/OSI np. projekty Województwa Dolnośląskiego.</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5F764E">
                <w:rPr>
                  <w:rFonts w:ascii="Calibri" w:eastAsia="Times New Roman" w:hAnsi="Calibri" w:cs="Calibri"/>
                  <w:color w:val="0000FF"/>
                  <w:szCs w:val="20"/>
                  <w:u w:val="single"/>
                  <w:lang w:eastAsia="pl-PL"/>
                </w:rPr>
                <w:t>www.rpo.dolnyslask.pl</w:t>
              </w:r>
            </w:hyperlink>
            <w:r w:rsidRPr="005F764E">
              <w:rPr>
                <w:rFonts w:ascii="Calibri" w:eastAsia="Times New Roman" w:hAnsi="Calibri" w:cs="Calibri"/>
                <w:color w:val="000000"/>
                <w:szCs w:val="20"/>
                <w:lang w:eastAsia="pl-PL"/>
              </w:rPr>
              <w:t xml:space="preserve">  oraz </w:t>
            </w:r>
            <w:hyperlink r:id="rId11">
              <w:r w:rsidRPr="005F764E">
                <w:rPr>
                  <w:rFonts w:ascii="Calibri" w:eastAsia="Times New Roman" w:hAnsi="Calibri" w:cs="Calibri"/>
                  <w:color w:val="0000FF"/>
                  <w:szCs w:val="20"/>
                  <w:u w:val="single"/>
                  <w:lang w:eastAsia="pl-PL"/>
                </w:rPr>
                <w:t>www.funduszeeuropejskie.gov.pl</w:t>
              </w:r>
            </w:hyperlink>
            <w:r w:rsidRPr="005F764E">
              <w:rPr>
                <w:rFonts w:ascii="Calibri" w:eastAsia="Times New Roman" w:hAnsi="Calibri" w:cs="Calibri"/>
                <w:color w:val="000000"/>
                <w:szCs w:val="20"/>
                <w:lang w:eastAsia="pl-PL"/>
              </w:rPr>
              <w:t xml:space="preserve">. </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Przystąpienie do konkursu jest równoznaczne z akceptacją przez Wnioskodawcę postanowień regulaminu.</w:t>
            </w:r>
          </w:p>
          <w:p w:rsidR="005F764E" w:rsidRPr="005F764E" w:rsidRDefault="005F764E" w:rsidP="005F764E">
            <w:pPr>
              <w:suppressAutoHyphens/>
              <w:spacing w:before="120" w:after="120" w:line="240" w:lineRule="auto"/>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5F764E" w:rsidP="005F764E">
            <w:pPr>
              <w:spacing w:before="120" w:after="120" w:line="240" w:lineRule="auto"/>
              <w:jc w:val="both"/>
              <w:rPr>
                <w:rFonts w:cs="Calibri"/>
                <w:sz w:val="24"/>
                <w:szCs w:val="24"/>
              </w:rPr>
            </w:pPr>
            <w:r w:rsidRPr="005F764E">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80411">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Pr="00151119" w:rsidRDefault="003B6C9D" w:rsidP="00480411">
            <w:pPr>
              <w:pStyle w:val="Akapitzlist"/>
              <w:spacing w:before="120" w:after="120" w:line="240" w:lineRule="auto"/>
              <w:ind w:left="0"/>
              <w:jc w:val="both"/>
              <w:rPr>
                <w:rFonts w:cs="Calibri"/>
                <w:color w:val="000000"/>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 xml:space="preserve">ul. Mazowiecka 17, </w:t>
            </w:r>
            <w:r w:rsidR="00FD6EC7" w:rsidRPr="00FD6EC7">
              <w:rPr>
                <w:rFonts w:asciiTheme="minorHAnsi" w:hAnsiTheme="minorHAnsi"/>
                <w:bCs/>
              </w:rPr>
              <w:lastRenderedPageBreak/>
              <w:t>50-412 Wrocław</w:t>
            </w:r>
            <w:r w:rsidRPr="00FD6EC7">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lastRenderedPageBreak/>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dokumenty</w:t>
            </w:r>
            <w:r w:rsidRPr="008C3515">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9C532E" w:rsidRPr="009C532E" w:rsidRDefault="009C532E" w:rsidP="009C532E">
            <w:pPr>
              <w:pStyle w:val="Akapitzlist"/>
              <w:spacing w:before="120" w:after="120" w:line="240" w:lineRule="auto"/>
              <w:ind w:left="720"/>
              <w:jc w:val="both"/>
              <w:rPr>
                <w:rFonts w:asciiTheme="minorHAnsi" w:eastAsiaTheme="minorHAnsi" w:hAnsiTheme="minorHAnsi" w:cs="Calibri"/>
                <w:color w:val="000000"/>
                <w:szCs w:val="22"/>
                <w:lang w:eastAsia="en-US"/>
              </w:rPr>
            </w:pPr>
          </w:p>
          <w:p w:rsidR="00FD6EC7" w:rsidRPr="00151FBA" w:rsidRDefault="00FD6EC7" w:rsidP="00480411">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Traktat o funkcjonowaniu Unii Europejskiej</w:t>
            </w:r>
            <w:r w:rsidR="00AC43B1" w:rsidRPr="00151FBA">
              <w:rPr>
                <w:rFonts w:ascii="Calibri" w:hAnsi="Calibri"/>
                <w:color w:val="000000"/>
              </w:rPr>
              <w:t>;</w:t>
            </w:r>
            <w:r w:rsidRPr="00151FBA">
              <w:rPr>
                <w:rFonts w:ascii="Calibri" w:hAnsi="Calibri"/>
                <w:color w:val="000000"/>
              </w:rPr>
              <w:t xml:space="preserve"> </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r w:rsidRPr="00151FBA">
              <w:rPr>
                <w:rFonts w:ascii="Calibri" w:hAnsi="Calibri"/>
                <w:color w:val="000000"/>
              </w:rPr>
              <w:t xml:space="preserve"> </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Komisji (UE) nr 651/2014 z 17 czerwca 2014 r. uznające niektóre rodzaje pomocy za zgodne z rynkiem wewnętrznym </w:t>
            </w:r>
            <w:r w:rsidRPr="009C532E">
              <w:rPr>
                <w:rFonts w:ascii="Calibri" w:hAnsi="Calibri"/>
                <w:color w:val="000000"/>
              </w:rPr>
              <w:br/>
              <w:t>w zastosowaniu art. 107 i 108 Traktatu (Dz. Urz. UE L 187 z 26.06.2014, s. 1) [GBER];</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Komisji (UE) nr 1407/2013 z dnia 18 grudnia 2013 r. w sprawie stosowania art. 107 i 108 Traktatu o funkcjonowaniu Unii Europejskiej do pomocy </w:t>
            </w:r>
            <w:r w:rsidRPr="00151FBA">
              <w:rPr>
                <w:rFonts w:ascii="Calibri" w:hAnsi="Calibri"/>
                <w:color w:val="000000"/>
              </w:rPr>
              <w:t>de minimis</w:t>
            </w:r>
            <w:r w:rsidRPr="009C532E">
              <w:rPr>
                <w:rFonts w:ascii="Calibri" w:hAnsi="Calibri"/>
                <w:color w:val="000000"/>
              </w:rPr>
              <w:t xml:space="preserve"> (Dz. Urz. UE L 352 z 24.12.2013, s. 1);</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30 kwietnia 2004 r. o postępowaniu w sprawach dotyczących pomocy publicznej (tekst. jedn.: Dz. U. z 2007 r. Nr 59, poz. 404 z późn. zm.);</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Ministra Infrastruktury i Rozwoju z dnia 19 marca 2015 r. w sprawie udzielania pomocy de minimis w ramach regionalnych </w:t>
            </w:r>
            <w:r w:rsidRPr="009C532E">
              <w:rPr>
                <w:rFonts w:ascii="Calibri" w:hAnsi="Calibri"/>
                <w:color w:val="000000"/>
              </w:rPr>
              <w:lastRenderedPageBreak/>
              <w:t xml:space="preserve">programów operacyjnych na lata 2014–2020 (Dz. U. poz. 488); </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11 lipca 2014 r. o zasadach realizacji programów w zakresie polityki spójności finansowanych w perspektywie finansowej 2014–2020 (</w:t>
            </w:r>
            <w:r w:rsidRPr="00151FBA">
              <w:rPr>
                <w:rFonts w:ascii="Calibri" w:hAnsi="Calibri"/>
                <w:color w:val="000000"/>
              </w:rPr>
              <w:t>tekst jedn.: Dz. U. z 2016 r. poz. 217) [ustawa wdrożeniowa];</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29 stycznia 2004 r. Prawo zamówień publicznych (tekst jedn.: Dz. U. z 2015 r. poz. 2164);</w:t>
            </w:r>
          </w:p>
          <w:p w:rsidR="001E6CC9" w:rsidRPr="00151FBA" w:rsidRDefault="001E6CC9" w:rsidP="001E6CC9">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Ustawa o systemie oświaty z dnia 7 września 1991 r. (Dz. U. z 2004 r., Nr 256, poz. 2572 z późniejszymi zmianami);</w:t>
            </w:r>
          </w:p>
          <w:p w:rsidR="001E6CC9" w:rsidRPr="00151FBA" w:rsidRDefault="001E6CC9" w:rsidP="001E6CC9">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Ustawa z dnia 7 lipca 1994 r. Prawo budowlane (tekst jednolity: Dz.U. 2016 poz. 290);</w:t>
            </w:r>
          </w:p>
          <w:p w:rsidR="00151FBA"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Ustawa z dnia 27 sierpnia 2009 r. o finansach publicznych (tekst. jedn.: Dz. U. z 2013 r. poz. 885, z późn. zm.);</w:t>
            </w:r>
          </w:p>
          <w:p w:rsidR="00151FBA"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Ustawa z dnia 29 września 1994 r. o rachunkowości (tekst. jedn.: DZ. U. z 2013 r., poz. 330, z późn. zm.);</w:t>
            </w:r>
            <w:r w:rsidRPr="00151FBA">
              <w:rPr>
                <w:rFonts w:ascii="Calibri" w:hAnsi="Calibri"/>
                <w:color w:val="000000"/>
              </w:rPr>
              <w:t xml:space="preserve"> </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11 marca 2004 r. o podatku od towarów i usług (tekst. jedn.: Dz. U. z 2011 r. Nr 177, poz. 1054 z późn. zm.);</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6 września 2001 r. o dostępie do informacji publicznej (tekst. jedn.: Dz. U. z 2015 r., poz. 2058.);</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14 czerwca 1960 r. Kodeks postępowania administracyjnego (tekst jedn.: Dz. U. z 2016 r. poz. 23);</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30 sierpnia 2002 r. – Prawo o postępowaniu przed sądami administracyjnymi (tekst. jedn.: Dz. U. z 2012 r. poz. 270, z późn. zm.);</w:t>
            </w:r>
          </w:p>
          <w:p w:rsidR="00151FBA" w:rsidRDefault="009C532E" w:rsidP="00151FBA">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Strategia Rozwoju Województwa Dolnośląskiego 2020;</w:t>
            </w:r>
          </w:p>
          <w:p w:rsidR="00151FBA" w:rsidRPr="00151FBA" w:rsidRDefault="00151FBA" w:rsidP="00151FBA">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Regionalna Strategia Innowacji dla Województwa Dolnoślą</w:t>
            </w:r>
            <w:r>
              <w:rPr>
                <w:rFonts w:ascii="Calibri" w:hAnsi="Calibri"/>
                <w:color w:val="000000"/>
              </w:rPr>
              <w:t>skiego na lata 2011-2020</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Regionalny Program Operacyjny Województwa Dolnośląskiego 2014-2020 przyjęty przez Komisję Europejską w dniu 18 grudnia 2014 r.;</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Szczegółowy opis osi priorytetowych Regionalnego Programu Operacyjnego Województwa Dolnośląskiego 2014-2020 z dnia 29 marca 2016 r. </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Kryteria wyboru projektów w ramach Regionalnego Programu Operacyjnego Województwa Dolnośląskiego 2014-2020, zatwierdzone Uchwałą nr 2/15 z dnia 6 maja 2015 r. Komitetu Monitorującego RPO WD 2014-2020 z późn. zmianami;</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trybów wyboru projektów na lata 2014-2020”</w:t>
            </w:r>
            <w:r w:rsidRPr="009C532E">
              <w:rPr>
                <w:rFonts w:ascii="Calibri" w:hAnsi="Calibri"/>
                <w:color w:val="000000"/>
              </w:rPr>
              <w:t xml:space="preserve"> z dnia 31 marca 2015 r., wydane przez Ministra Infrastruktury i Rozwoju; </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kwalifikowalności wydatków w ramach Europejskiego Funduszu Rozwoju Regionalnego, Europejskiego Funduszu Społecznego oraz Funduszu Spójności na lata 2014-2020”</w:t>
            </w:r>
            <w:r w:rsidRPr="009C532E">
              <w:rPr>
                <w:rFonts w:ascii="Calibri" w:hAnsi="Calibri"/>
                <w:color w:val="000000"/>
              </w:rPr>
              <w:t xml:space="preserve"> z dnia 10 kwietnia 2015 r., wydane przez Ministra Infrastruktury i Rozwoju;</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realizacji przedsięwzięć w obszarze włączenia społecznego i zwalczania ubóstwa z wykorzystaniem środków Europejskiego Funduszu Społecznego i Europejskiego Funduszu Rozwoju Regionalnego na lata 2014-2020</w:t>
            </w:r>
            <w:r w:rsidRPr="009C532E">
              <w:rPr>
                <w:rFonts w:ascii="Calibri" w:hAnsi="Calibri"/>
                <w:color w:val="000000"/>
              </w:rPr>
              <w:t xml:space="preserve">” z dnia 3 marca 2016 r., wydane przez Ministra Infrastruktury i Rozwoju </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lastRenderedPageBreak/>
              <w:t xml:space="preserve"> „Wytyczne w zakresie realizacji zasady równości szans i niedyskryminacji, w tym dostępności dla osób z niepełnosprawnościami oraz zasady równości szans kobiet i mężczyzn w ramach funduszy unijnych na lata 2014-2020”</w:t>
            </w:r>
            <w:r w:rsidRPr="009C532E">
              <w:rPr>
                <w:rFonts w:ascii="Calibri" w:hAnsi="Calibri"/>
                <w:color w:val="000000"/>
              </w:rPr>
              <w:t xml:space="preserve"> z dnia 8 maja 2015 r., wydane przez Ministra Infrastruktury i Rozwoju;</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warunków gromadzenia i przekazywania danych w postaci elektronicznej na lata 2014-2020”</w:t>
            </w:r>
            <w:r w:rsidRPr="009C532E">
              <w:rPr>
                <w:rFonts w:ascii="Calibri" w:hAnsi="Calibri"/>
                <w:color w:val="000000"/>
              </w:rPr>
              <w:t xml:space="preserve"> z dnia 3 marca 2015 r., wydane przez Ministra Infrastruktury i Rozwoju;</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„Wytyczne w zakresie informacji i promocji programów operacyjnych polityki spójności na lata 2014-2020”</w:t>
            </w:r>
            <w:r w:rsidRPr="009C532E">
              <w:rPr>
                <w:rFonts w:ascii="Calibri" w:hAnsi="Calibri"/>
                <w:color w:val="000000"/>
              </w:rPr>
              <w:t xml:space="preserve"> z dnia 30 kwietnia 2015 r., wydane przez Ministra Infrastruktury i Rozwoju; </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dokumentowania postępowania w sprawie oceny  oddziaływania na środowisko dla przedsięwzięć współfinansowanych z krajowych lub regionalnych programów operacyjnych”</w:t>
            </w:r>
            <w:r w:rsidRPr="009C532E">
              <w:rPr>
                <w:rFonts w:ascii="Calibri" w:hAnsi="Calibri"/>
                <w:color w:val="000000"/>
              </w:rPr>
              <w:t xml:space="preserve"> z dnia 19 października 2015 r., wydane przez Ministra Infrastruktury i Rozwoju;</w:t>
            </w:r>
          </w:p>
          <w:p w:rsidR="001E6CC9" w:rsidRPr="00151FBA" w:rsidRDefault="009C532E" w:rsidP="001E6CC9">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zagadnień związanych z przygotowaniem projektów inwestycyjnych, w tym projektów generujących dochód i projektów hybrydowych na lata 2014-2020” z dnia 31 marca 2015 r., wydane przez Ministra Infrastruktury i Rozwoju.</w:t>
            </w:r>
          </w:p>
          <w:p w:rsidR="000C7233" w:rsidRPr="00151FBA" w:rsidRDefault="001E6CC9" w:rsidP="00151FBA">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realizacji przedsięwzięć z udziałem środków Europejskiego Funduszu Społecznego w obszarze edukacji na lata 2014-2020</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984533" w:rsidRPr="00151119" w:rsidRDefault="00984533" w:rsidP="0042119F">
            <w:pPr>
              <w:tabs>
                <w:tab w:val="left" w:pos="2835"/>
              </w:tabs>
              <w:spacing w:line="240" w:lineRule="auto"/>
              <w:jc w:val="both"/>
              <w:rPr>
                <w:rFonts w:cs="Calibri"/>
                <w:color w:val="000000"/>
              </w:rPr>
            </w:pPr>
            <w:r w:rsidRPr="00151119">
              <w:rPr>
                <w:rFonts w:cs="Calibri"/>
                <w:color w:val="000000"/>
              </w:rPr>
              <w:t xml:space="preserve">Przedmiotem konkursu są </w:t>
            </w:r>
            <w:r w:rsidR="00716ADF" w:rsidRPr="00716ADF">
              <w:rPr>
                <w:rFonts w:cs="Calibri"/>
                <w:color w:val="000000"/>
              </w:rPr>
              <w:t>następujące typy projektów</w:t>
            </w:r>
            <w:r w:rsidR="002D4095">
              <w:rPr>
                <w:rFonts w:cs="Calibri"/>
                <w:color w:val="000000"/>
              </w:rPr>
              <w:t xml:space="preserve"> </w:t>
            </w:r>
            <w:r w:rsidR="0042119F">
              <w:rPr>
                <w:rFonts w:cs="Calibri"/>
                <w:color w:val="000000"/>
              </w:rPr>
              <w:t xml:space="preserve">określone dla działania </w:t>
            </w:r>
            <w:r w:rsidR="00C33DA2" w:rsidRPr="00C33DA2">
              <w:rPr>
                <w:rFonts w:cs="Calibri"/>
                <w:color w:val="000000"/>
              </w:rPr>
              <w:t>7.2 Inwestycje w edukację ponadgimnazjalną, w tym zawodową Poddziałania 7.2.1 Inwestycje w edukację ponadgimnazjalną, w tym zawodową  Inwestycje w edukację ponadgimnazjalną, w tym zawodową (Infrastruktura szkół ponadgimnazjalnych zawodowych):</w:t>
            </w:r>
          </w:p>
          <w:p w:rsidR="00E63FE4" w:rsidRDefault="00E63FE4" w:rsidP="00E63FE4">
            <w:pPr>
              <w:spacing w:before="30" w:after="30" w:line="240" w:lineRule="auto"/>
              <w:contextualSpacing/>
              <w:jc w:val="both"/>
            </w:pPr>
            <w:r w:rsidRPr="00E63FE4">
              <w:rPr>
                <w:b/>
              </w:rPr>
              <w:t>7.2.A</w:t>
            </w:r>
            <w:r w:rsidRPr="00E63FE4">
              <w:t xml:space="preserve"> Przedsięwzięcia prowadzące bezpośrednio do poprawy warunków nauczania zwłaszcza w zakresie zajęć matematyczno-przyrodniczych i cyfrowych realizowane poprzez przebudowę, rozbudowę</w:t>
            </w:r>
            <w:r w:rsidRPr="00E63FE4">
              <w:rPr>
                <w:vertAlign w:val="superscript"/>
              </w:rPr>
              <w:footnoteReference w:id="1"/>
            </w:r>
            <w:r w:rsidRPr="00E63FE4">
              <w:t xml:space="preserve"> lub adaptację (w tym także zakup wyposażenia) placówek i szkół ponadgimnazjalnych, w tym zawodowych i specjalnych.</w:t>
            </w:r>
          </w:p>
          <w:p w:rsidR="000B0A42" w:rsidRPr="00E63FE4" w:rsidRDefault="000B0A42" w:rsidP="000B0A42">
            <w:pPr>
              <w:spacing w:before="30" w:after="30" w:line="240" w:lineRule="auto"/>
              <w:contextualSpacing/>
              <w:rPr>
                <w:sz w:val="24"/>
                <w:szCs w:val="24"/>
              </w:rPr>
            </w:pPr>
          </w:p>
          <w:p w:rsidR="00E63FE4" w:rsidRPr="00E63FE4" w:rsidRDefault="00E63FE4" w:rsidP="00E63FE4">
            <w:pPr>
              <w:spacing w:before="30" w:after="30" w:line="240" w:lineRule="auto"/>
              <w:contextualSpacing/>
              <w:jc w:val="both"/>
              <w:rPr>
                <w:rFonts w:eastAsia="Times New Roman" w:cs="Arial"/>
                <w:sz w:val="24"/>
                <w:szCs w:val="24"/>
                <w:lang w:eastAsia="pl-PL"/>
              </w:rPr>
            </w:pPr>
            <w:r w:rsidRPr="00E63FE4">
              <w:rPr>
                <w:rFonts w:eastAsia="Times New Roman" w:cs="Arial"/>
                <w:b/>
                <w:lang w:eastAsia="pl-PL"/>
              </w:rPr>
              <w:t>7.2.B</w:t>
            </w:r>
            <w:r w:rsidRPr="00E63FE4">
              <w:rPr>
                <w:rFonts w:eastAsia="Times New Roman" w:cs="Arial"/>
                <w:lang w:eastAsia="pl-PL"/>
              </w:rPr>
              <w:t xml:space="preserve"> Przedsięwzięcia z zakresu wyposażenia w nowoczesny sprzęt i materiały dydaktyczne pracowni, zwłaszcza matematyczno-przyrodniczych i cyfrowych.</w:t>
            </w:r>
          </w:p>
          <w:p w:rsidR="00E63FE4" w:rsidRPr="00E63FE4" w:rsidRDefault="00E63FE4" w:rsidP="00E63FE4">
            <w:pPr>
              <w:spacing w:before="30" w:after="30" w:line="240" w:lineRule="auto"/>
              <w:rPr>
                <w:rFonts w:eastAsia="Times New Roman" w:cs="Arial"/>
                <w:sz w:val="24"/>
                <w:szCs w:val="24"/>
                <w:lang w:eastAsia="pl-PL"/>
              </w:rPr>
            </w:pPr>
          </w:p>
          <w:p w:rsidR="00E63FE4" w:rsidRPr="00E63FE4" w:rsidRDefault="00E63FE4" w:rsidP="00E63FE4">
            <w:pPr>
              <w:spacing w:before="30" w:after="30" w:line="240" w:lineRule="auto"/>
              <w:contextualSpacing/>
              <w:jc w:val="both"/>
              <w:rPr>
                <w:sz w:val="24"/>
                <w:szCs w:val="24"/>
              </w:rPr>
            </w:pPr>
            <w:r w:rsidRPr="00E63FE4">
              <w:rPr>
                <w:rFonts w:eastAsia="Times New Roman" w:cs="Arial"/>
                <w:b/>
                <w:lang w:eastAsia="pl-PL"/>
              </w:rPr>
              <w:t>7.2.C</w:t>
            </w:r>
            <w:r w:rsidRPr="00E63FE4">
              <w:rPr>
                <w:rFonts w:eastAsia="Times New Roman" w:cs="Arial"/>
                <w:lang w:eastAsia="pl-PL"/>
              </w:rPr>
              <w:t xml:space="preserve"> Przedsięwzięcia z zakresu wyposażenia w sprzęt specjalistyczny i pomoce dydaktyczne do wspomagania rozwoju uczniów ze specjalnymi potrzebami edukacyjnymi, np. uczniów niepełnosprawnych, uczniów szczególnie uzdolnionych.</w:t>
            </w:r>
            <w:r w:rsidRPr="00E63FE4">
              <w:t xml:space="preserve"> </w:t>
            </w:r>
          </w:p>
          <w:p w:rsidR="00E63FE4" w:rsidRPr="00E63FE4" w:rsidRDefault="00E63FE4" w:rsidP="00E63FE4">
            <w:pPr>
              <w:spacing w:before="30" w:after="30" w:line="240" w:lineRule="auto"/>
              <w:contextualSpacing/>
              <w:jc w:val="both"/>
              <w:rPr>
                <w:sz w:val="24"/>
                <w:szCs w:val="24"/>
              </w:rPr>
            </w:pPr>
          </w:p>
          <w:p w:rsidR="00E63FE4" w:rsidRPr="00E63FE4" w:rsidRDefault="00E63FE4" w:rsidP="00E63FE4">
            <w:pPr>
              <w:spacing w:line="240" w:lineRule="auto"/>
              <w:contextualSpacing/>
              <w:jc w:val="both"/>
              <w:rPr>
                <w:rFonts w:eastAsia="Times New Roman" w:cs="Arial"/>
                <w:sz w:val="24"/>
                <w:szCs w:val="24"/>
                <w:lang w:eastAsia="pl-PL"/>
              </w:rPr>
            </w:pPr>
            <w:r w:rsidRPr="00E63FE4">
              <w:rPr>
                <w:b/>
              </w:rPr>
              <w:t>7.2.D</w:t>
            </w:r>
            <w:r w:rsidRPr="00E63FE4">
              <w:rPr>
                <w:rFonts w:eastAsia="Times New Roman" w:cs="Arial"/>
                <w:lang w:eastAsia="pl-PL"/>
              </w:rPr>
              <w:t xml:space="preserve"> Przedsięwzięcia ukierunkowane na wspieranie ukierunkowanych branżowo centrów kształcenia zawodowego oraz tworzenie w szkołach zawodowych warunków zbliżonych do rzeczywistego środowiska pracy zawodowej pod kątem </w:t>
            </w:r>
            <w:r w:rsidRPr="00E63FE4">
              <w:rPr>
                <w:rFonts w:eastAsia="Times New Roman" w:cs="Arial"/>
                <w:lang w:eastAsia="pl-PL"/>
              </w:rPr>
              <w:lastRenderedPageBreak/>
              <w:t>wyposażenia, doposażenie warsztatów, pracowni itp.</w:t>
            </w:r>
            <w:r w:rsidR="003746F7">
              <w:rPr>
                <w:rFonts w:eastAsia="Times New Roman" w:cs="Arial"/>
                <w:lang w:eastAsia="pl-PL"/>
              </w:rPr>
              <w:t xml:space="preserve"> wraz z ewentualnym  </w:t>
            </w:r>
            <w:r w:rsidR="003746F7">
              <w:t>dostosowaniem/adaptacją pomieszczeń</w:t>
            </w:r>
            <w:r w:rsidR="003746F7" w:rsidRPr="00546669">
              <w:t xml:space="preserve"> </w:t>
            </w:r>
            <w:r w:rsidR="003746F7">
              <w:t xml:space="preserve">na potrzeby zakupionego </w:t>
            </w:r>
            <w:r w:rsidR="003746F7" w:rsidRPr="00546669">
              <w:t>wyposażenia</w:t>
            </w:r>
            <w:r w:rsidR="003746F7">
              <w:t>.</w:t>
            </w:r>
          </w:p>
          <w:p w:rsidR="00E63FE4" w:rsidRPr="00E63FE4" w:rsidRDefault="003746F7" w:rsidP="00E63FE4">
            <w:pPr>
              <w:spacing w:before="30" w:after="30" w:line="240" w:lineRule="auto"/>
              <w:ind w:left="720"/>
              <w:contextualSpacing/>
              <w:rPr>
                <w:sz w:val="24"/>
                <w:szCs w:val="24"/>
              </w:rPr>
            </w:pPr>
            <w:r>
              <w:rPr>
                <w:sz w:val="24"/>
                <w:szCs w:val="24"/>
              </w:rPr>
              <w:t xml:space="preserve"> </w:t>
            </w:r>
          </w:p>
          <w:p w:rsidR="00E63FE4" w:rsidRDefault="00E63FE4" w:rsidP="00E63FE4">
            <w:pPr>
              <w:spacing w:before="30" w:after="30" w:line="240" w:lineRule="auto"/>
              <w:contextualSpacing/>
              <w:jc w:val="both"/>
            </w:pPr>
            <w:r w:rsidRPr="00E63FE4">
              <w:rPr>
                <w:b/>
              </w:rPr>
              <w:t>7.2.E</w:t>
            </w:r>
            <w:r w:rsidRPr="00E63FE4">
              <w:t xml:space="preserve"> Przedsięwzięcia z zakresu budowy nowych obiektów służących praktycznej nauce zawodu. </w:t>
            </w:r>
          </w:p>
          <w:p w:rsidR="000B0A42" w:rsidRDefault="000B0A42" w:rsidP="00E63FE4">
            <w:pPr>
              <w:spacing w:before="30" w:after="30" w:line="240" w:lineRule="auto"/>
              <w:contextualSpacing/>
              <w:jc w:val="both"/>
            </w:pPr>
          </w:p>
          <w:p w:rsidR="000B0A42" w:rsidRDefault="000B0A42" w:rsidP="00E63FE4">
            <w:pPr>
              <w:spacing w:before="30" w:after="30" w:line="240" w:lineRule="auto"/>
              <w:contextualSpacing/>
              <w:jc w:val="both"/>
              <w:rPr>
                <w:rFonts w:eastAsia="Times New Roman" w:cs="Arial"/>
                <w:lang w:eastAsia="pl-PL"/>
              </w:rPr>
            </w:pPr>
            <w:r w:rsidRPr="000B0A42">
              <w:rPr>
                <w:rFonts w:eastAsia="Times New Roman" w:cs="Arial"/>
                <w:lang w:eastAsia="pl-PL"/>
              </w:rPr>
              <w:t>Budowa nowych obiektów służących praktycznej nauce zawodu jest możliwa wyłącznie w sytuacji, gdy przebudowa, rozbudowa lub adaptacja istniejących budynków nie jest możliwa lub jest nieuzasadniona ekonomicznie oraz musi uwzględniać trendy demograficzne zachodzące na danym obszarze.</w:t>
            </w:r>
          </w:p>
          <w:p w:rsidR="000B0A42" w:rsidRDefault="000B0A42" w:rsidP="00E63FE4">
            <w:pPr>
              <w:spacing w:before="30" w:after="30" w:line="240" w:lineRule="auto"/>
              <w:contextualSpacing/>
              <w:jc w:val="both"/>
              <w:rPr>
                <w:rFonts w:eastAsia="Times New Roman" w:cs="Arial"/>
                <w:lang w:eastAsia="pl-PL"/>
              </w:rPr>
            </w:pPr>
          </w:p>
          <w:p w:rsidR="000B0A42" w:rsidRPr="000B0A42" w:rsidRDefault="000B0A42" w:rsidP="000B0A42">
            <w:pPr>
              <w:spacing w:before="30" w:after="30" w:line="240" w:lineRule="auto"/>
              <w:contextualSpacing/>
              <w:jc w:val="both"/>
              <w:rPr>
                <w:rFonts w:eastAsia="Times New Roman" w:cs="Arial"/>
                <w:lang w:eastAsia="pl-PL"/>
              </w:rPr>
            </w:pPr>
            <w:r w:rsidRPr="000B0A42">
              <w:rPr>
                <w:rFonts w:eastAsia="Times New Roman" w:cs="Arial"/>
                <w:lang w:eastAsia="pl-PL"/>
              </w:rPr>
              <w:t>Wymogi dotyczące przedsięwzięć z zakresu kształcenia zawodowego:</w:t>
            </w:r>
          </w:p>
          <w:p w:rsidR="000B0A42" w:rsidRPr="000B0A42" w:rsidRDefault="000B0A42" w:rsidP="000B0A42">
            <w:pPr>
              <w:spacing w:before="30" w:after="30" w:line="240" w:lineRule="auto"/>
              <w:contextualSpacing/>
              <w:jc w:val="both"/>
              <w:rPr>
                <w:rFonts w:eastAsia="Times New Roman" w:cs="Arial"/>
                <w:lang w:eastAsia="pl-PL"/>
              </w:rPr>
            </w:pPr>
            <w:r w:rsidRPr="000B0A42">
              <w:rPr>
                <w:rFonts w:eastAsia="Times New Roman" w:cs="Arial"/>
                <w:lang w:eastAsia="pl-PL"/>
              </w:rPr>
              <w:t>a)</w:t>
            </w:r>
            <w:r w:rsidRPr="000B0A42">
              <w:rPr>
                <w:rFonts w:eastAsia="Times New Roman" w:cs="Arial"/>
                <w:lang w:eastAsia="pl-PL"/>
              </w:rPr>
              <w:tab/>
              <w:t xml:space="preserve">wsparta w wyniku realizacji projektu infrastruktura powinna być dostosowana do warunków zbliżonych do rzeczywistego środowiska pracy zawodowej; </w:t>
            </w:r>
          </w:p>
          <w:p w:rsidR="000B0A42" w:rsidRPr="000B0A42" w:rsidRDefault="000B0A42" w:rsidP="000B0A42">
            <w:pPr>
              <w:spacing w:before="30" w:after="30" w:line="240" w:lineRule="auto"/>
              <w:contextualSpacing/>
              <w:jc w:val="both"/>
              <w:rPr>
                <w:rFonts w:eastAsia="Times New Roman" w:cs="Arial"/>
                <w:lang w:eastAsia="pl-PL"/>
              </w:rPr>
            </w:pPr>
            <w:r w:rsidRPr="000B0A42">
              <w:rPr>
                <w:rFonts w:eastAsia="Times New Roman" w:cs="Arial"/>
                <w:lang w:eastAsia="pl-PL"/>
              </w:rPr>
              <w:t>b)</w:t>
            </w:r>
            <w:r w:rsidRPr="000B0A42">
              <w:rPr>
                <w:rFonts w:eastAsia="Times New Roman" w:cs="Arial"/>
                <w:lang w:eastAsia="pl-PL"/>
              </w:rPr>
              <w:tab/>
              <w:t>działania mające na celu poprawę infrastruktury szkół zawodowych powinny być realizowane z zaangażowaniem pracodawców tak, aby w jak największym stopniu stworzone warunki kształcenia odpowiadały na potrzeby rynku i zaowocowały wykształceniem wysokiej klasy specjalistów, poszukiwanych na rynku pracy;</w:t>
            </w:r>
          </w:p>
          <w:p w:rsidR="000B0A42" w:rsidRPr="00E63FE4" w:rsidRDefault="000B0A42" w:rsidP="000B0A42">
            <w:pPr>
              <w:spacing w:before="30" w:after="30" w:line="240" w:lineRule="auto"/>
              <w:contextualSpacing/>
              <w:jc w:val="both"/>
              <w:rPr>
                <w:rFonts w:eastAsia="Times New Roman" w:cs="Arial"/>
                <w:lang w:eastAsia="pl-PL"/>
              </w:rPr>
            </w:pPr>
            <w:r w:rsidRPr="000B0A42">
              <w:rPr>
                <w:rFonts w:eastAsia="Times New Roman" w:cs="Arial"/>
                <w:lang w:eastAsia="pl-PL"/>
              </w:rPr>
              <w:t>c)</w:t>
            </w:r>
            <w:r w:rsidRPr="000B0A42">
              <w:rPr>
                <w:rFonts w:eastAsia="Times New Roman" w:cs="Arial"/>
                <w:lang w:eastAsia="pl-PL"/>
              </w:rPr>
              <w:tab/>
              <w:t>rezultatem projektu powinno być dostosowywanie oferty edukacyjnej do potrzeb rynku pracy, uwzględniające minimalne standardy zawarte w podstawie programowej.</w:t>
            </w:r>
          </w:p>
          <w:p w:rsidR="007D3AFA" w:rsidRDefault="007D3AFA" w:rsidP="007D3AFA">
            <w:pPr>
              <w:spacing w:before="30" w:after="30" w:line="240" w:lineRule="auto"/>
              <w:contextualSpacing/>
              <w:rPr>
                <w:rFonts w:cs="Calibri"/>
                <w:color w:val="000000"/>
              </w:rPr>
            </w:pPr>
          </w:p>
          <w:p w:rsidR="00EC3F78" w:rsidRDefault="00EC3F78" w:rsidP="00EC3F78">
            <w:pPr>
              <w:spacing w:before="30" w:after="30" w:line="240" w:lineRule="auto"/>
              <w:contextualSpacing/>
              <w:jc w:val="both"/>
              <w:rPr>
                <w:rFonts w:cs="Calibri"/>
                <w:color w:val="000000"/>
              </w:rPr>
            </w:pPr>
            <w:r>
              <w:rPr>
                <w:rFonts w:cs="Calibri"/>
                <w:color w:val="000000"/>
              </w:rPr>
              <w:t>W</w:t>
            </w:r>
            <w:r w:rsidRPr="00EC3F78">
              <w:rPr>
                <w:rFonts w:cs="Calibri"/>
                <w:color w:val="000000"/>
              </w:rPr>
              <w:t>yposażenie pracowni i warsztatów szkolnych powinno być zgodne z katalogiem wyposażenia, wypracowanym przez Krajowy Ośrodek Wspierania Edukacji Zawodowej i Ustawicznej (KOWEZiU).</w:t>
            </w:r>
          </w:p>
          <w:p w:rsidR="00EC3F78" w:rsidRPr="00EC3F78" w:rsidRDefault="00EC3F78" w:rsidP="00EC3F78">
            <w:pPr>
              <w:spacing w:before="30" w:after="30" w:line="240" w:lineRule="auto"/>
              <w:contextualSpacing/>
              <w:jc w:val="both"/>
              <w:rPr>
                <w:rFonts w:cs="Calibri"/>
                <w:color w:val="000000"/>
              </w:rPr>
            </w:pPr>
          </w:p>
          <w:p w:rsidR="00EC3F78" w:rsidRPr="00EC3F78" w:rsidRDefault="00EC3F78" w:rsidP="00EC3F78">
            <w:pPr>
              <w:spacing w:before="30" w:after="30" w:line="240" w:lineRule="auto"/>
              <w:contextualSpacing/>
              <w:jc w:val="both"/>
              <w:rPr>
                <w:rFonts w:cs="Calibri"/>
                <w:color w:val="000000"/>
              </w:rPr>
            </w:pPr>
            <w:r w:rsidRPr="00EC3F78">
              <w:rPr>
                <w:rFonts w:cs="Calibri"/>
                <w:color w:val="000000"/>
              </w:rPr>
              <w:t xml:space="preserve">W sytuacji, gdy szkoła współpracuje z lokalnymi pracodawcami w zakresie praktycznej nauki zawodu, możliwe jest uwzględnienie zakupu wyposażenia </w:t>
            </w:r>
            <w:r w:rsidR="00085B94">
              <w:rPr>
                <w:rFonts w:cs="Calibri"/>
                <w:color w:val="000000"/>
              </w:rPr>
              <w:br/>
            </w:r>
            <w:r w:rsidRPr="00EC3F78">
              <w:rPr>
                <w:rFonts w:cs="Calibri"/>
                <w:color w:val="000000"/>
              </w:rPr>
              <w:t>w oparciu o wyposażenie 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programowej kształcenia w zawodzie.</w:t>
            </w:r>
          </w:p>
          <w:p w:rsidR="00EC3F78" w:rsidRDefault="00EC3F78" w:rsidP="00FA689A">
            <w:pPr>
              <w:spacing w:before="30" w:after="30" w:line="240" w:lineRule="auto"/>
              <w:contextualSpacing/>
              <w:jc w:val="both"/>
              <w:rPr>
                <w:b/>
                <w:u w:val="single"/>
              </w:rPr>
            </w:pPr>
          </w:p>
          <w:p w:rsidR="007D3AFA" w:rsidRPr="007C0B4C" w:rsidRDefault="007D3AFA" w:rsidP="00FA689A">
            <w:pPr>
              <w:spacing w:before="30" w:after="30" w:line="240" w:lineRule="auto"/>
              <w:contextualSpacing/>
              <w:jc w:val="both"/>
            </w:pPr>
            <w:r w:rsidRPr="007C0B4C">
              <w:t>Standard wyposaż</w:t>
            </w:r>
            <w:r w:rsidR="00FA689A" w:rsidRPr="007C0B4C">
              <w:t xml:space="preserve">enia szkolnych pracowni </w:t>
            </w:r>
            <w:r w:rsidR="002B6A0F">
              <w:t>(do nauczania przedmiotów przyrodniczych, matematycznych, w</w:t>
            </w:r>
            <w:r w:rsidR="002B6A0F" w:rsidRPr="002B6A0F">
              <w:t xml:space="preserve">ymagania dotyczące pomocy dydaktycznych oraz narzędzi TIK w tym infrastruktury sieciowo </w:t>
            </w:r>
            <w:r w:rsidR="00085B94">
              <w:t>–</w:t>
            </w:r>
            <w:r w:rsidR="002B6A0F" w:rsidRPr="002B6A0F">
              <w:t xml:space="preserve"> usługowe</w:t>
            </w:r>
            <w:r w:rsidR="00085B94">
              <w:t xml:space="preserve">j) </w:t>
            </w:r>
            <w:r w:rsidR="00FA689A" w:rsidRPr="007C0B4C">
              <w:t xml:space="preserve">stanowi załącznik nr 3 do </w:t>
            </w:r>
            <w:r w:rsidRPr="007C0B4C">
              <w:t>Regulaminu.</w:t>
            </w:r>
          </w:p>
          <w:p w:rsidR="008178E8" w:rsidRDefault="008178E8" w:rsidP="00FA689A">
            <w:pPr>
              <w:spacing w:before="30" w:after="30" w:line="240" w:lineRule="auto"/>
              <w:contextualSpacing/>
              <w:jc w:val="both"/>
              <w:rPr>
                <w:b/>
                <w:u w:val="single"/>
              </w:rPr>
            </w:pPr>
          </w:p>
          <w:p w:rsidR="00516363" w:rsidRPr="0042119F" w:rsidRDefault="00516363" w:rsidP="00516363">
            <w:pPr>
              <w:spacing w:after="0" w:line="240" w:lineRule="auto"/>
              <w:jc w:val="both"/>
              <w:rPr>
                <w:rFonts w:cs="Calibri"/>
                <w:color w:val="000000"/>
              </w:rPr>
            </w:pPr>
            <w:r w:rsidRPr="0042119F">
              <w:rPr>
                <w:rFonts w:cs="Calibri"/>
                <w:color w:val="000000"/>
              </w:rPr>
              <w:t xml:space="preserve">Możliwe jest łączenie ww. typów projektów – o wyborze typu decyduje struktura wydatków kwalifikowalnych (ich większościowy udział). </w:t>
            </w:r>
          </w:p>
          <w:p w:rsidR="00516363" w:rsidRPr="0042119F" w:rsidRDefault="00516363" w:rsidP="00FA03C1">
            <w:pPr>
              <w:spacing w:before="30" w:after="30" w:line="240" w:lineRule="auto"/>
              <w:ind w:left="35"/>
              <w:contextualSpacing/>
              <w:rPr>
                <w:rFonts w:cs="Calibri"/>
                <w:color w:val="000000"/>
              </w:rPr>
            </w:pPr>
          </w:p>
          <w:p w:rsidR="005D2A02" w:rsidRDefault="00A22D86" w:rsidP="00A22D86">
            <w:pPr>
              <w:pStyle w:val="Default"/>
              <w:jc w:val="both"/>
              <w:rPr>
                <w:rFonts w:asciiTheme="minorHAnsi" w:hAnsiTheme="minorHAnsi"/>
                <w:sz w:val="22"/>
                <w:szCs w:val="22"/>
              </w:rPr>
            </w:pPr>
            <w:r w:rsidRPr="0042119F">
              <w:rPr>
                <w:rFonts w:asciiTheme="minorHAnsi" w:hAnsiTheme="minorHAnsi"/>
                <w:sz w:val="22"/>
                <w:szCs w:val="22"/>
              </w:rPr>
              <w:t>Aby projekt mógł być realizowany, projektodawca musi wskazać</w:t>
            </w:r>
            <w:r w:rsidR="005D2A02">
              <w:rPr>
                <w:rFonts w:asciiTheme="minorHAnsi" w:hAnsiTheme="minorHAnsi"/>
                <w:sz w:val="22"/>
                <w:szCs w:val="22"/>
              </w:rPr>
              <w:t>:</w:t>
            </w:r>
          </w:p>
          <w:p w:rsidR="00D62A91" w:rsidRDefault="00D62A91" w:rsidP="00A22D86">
            <w:pPr>
              <w:pStyle w:val="Default"/>
              <w:jc w:val="both"/>
              <w:rPr>
                <w:rFonts w:asciiTheme="minorHAnsi" w:hAnsiTheme="minorHAnsi"/>
                <w:sz w:val="22"/>
                <w:szCs w:val="22"/>
              </w:rPr>
            </w:pPr>
          </w:p>
          <w:p w:rsidR="005D2A02" w:rsidRDefault="005D2A02" w:rsidP="00A22D86">
            <w:pPr>
              <w:pStyle w:val="Default"/>
              <w:jc w:val="both"/>
              <w:rPr>
                <w:rFonts w:asciiTheme="minorHAnsi" w:hAnsiTheme="minorHAnsi"/>
                <w:sz w:val="22"/>
                <w:szCs w:val="22"/>
              </w:rPr>
            </w:pPr>
            <w:r>
              <w:rPr>
                <w:rFonts w:asciiTheme="minorHAnsi" w:hAnsiTheme="minorHAnsi"/>
                <w:sz w:val="22"/>
                <w:szCs w:val="22"/>
              </w:rPr>
              <w:t xml:space="preserve">- </w:t>
            </w:r>
            <w:r w:rsidR="00A22D86" w:rsidRPr="0042119F">
              <w:rPr>
                <w:rFonts w:asciiTheme="minorHAnsi" w:hAnsiTheme="minorHAnsi"/>
                <w:sz w:val="22"/>
                <w:szCs w:val="22"/>
              </w:rPr>
              <w:t>wizję</w:t>
            </w:r>
            <w:r>
              <w:rPr>
                <w:rFonts w:asciiTheme="minorHAnsi" w:hAnsiTheme="minorHAnsi"/>
                <w:sz w:val="22"/>
                <w:szCs w:val="22"/>
              </w:rPr>
              <w:t xml:space="preserve"> </w:t>
            </w:r>
            <w:r w:rsidR="00A22D86" w:rsidRPr="0042119F">
              <w:rPr>
                <w:rFonts w:asciiTheme="minorHAnsi" w:hAnsiTheme="minorHAnsi"/>
                <w:sz w:val="22"/>
                <w:szCs w:val="22"/>
              </w:rPr>
              <w:t>i kompleksowy plan wykorzystania wspartej w wyniku realiz</w:t>
            </w:r>
            <w:r>
              <w:rPr>
                <w:rFonts w:asciiTheme="minorHAnsi" w:hAnsiTheme="minorHAnsi"/>
                <w:sz w:val="22"/>
                <w:szCs w:val="22"/>
              </w:rPr>
              <w:t>acji projektu infrastruktury i/</w:t>
            </w:r>
            <w:r w:rsidR="00A22D86" w:rsidRPr="0042119F">
              <w:rPr>
                <w:rFonts w:asciiTheme="minorHAnsi" w:hAnsiTheme="minorHAnsi"/>
                <w:sz w:val="22"/>
                <w:szCs w:val="22"/>
              </w:rPr>
              <w:t xml:space="preserve">lub zakupionego wyposażenia (konieczność uwzględnienia </w:t>
            </w:r>
            <w:r w:rsidR="009C6C82" w:rsidRPr="009C6C82">
              <w:rPr>
                <w:rFonts w:asciiTheme="minorHAnsi" w:hAnsiTheme="minorHAnsi"/>
                <w:sz w:val="22"/>
                <w:szCs w:val="22"/>
              </w:rPr>
              <w:t xml:space="preserve">oraz dopasowanie projektu do potrzeb rynku pracy i/lub smart specialisation w </w:t>
            </w:r>
            <w:r w:rsidR="009C6C82" w:rsidRPr="009C6C82">
              <w:rPr>
                <w:rFonts w:asciiTheme="minorHAnsi" w:hAnsiTheme="minorHAnsi"/>
                <w:sz w:val="22"/>
                <w:szCs w:val="22"/>
              </w:rPr>
              <w:lastRenderedPageBreak/>
              <w:t>Województwie Dolnośląskim</w:t>
            </w:r>
            <w:r w:rsidR="009C6C82">
              <w:rPr>
                <w:rFonts w:asciiTheme="minorHAnsi" w:hAnsiTheme="minorHAnsi"/>
                <w:sz w:val="22"/>
                <w:szCs w:val="22"/>
              </w:rPr>
              <w:t>,</w:t>
            </w:r>
            <w:r w:rsidR="009C6C82" w:rsidRPr="009C6C82">
              <w:rPr>
                <w:rFonts w:asciiTheme="minorHAnsi" w:hAnsiTheme="minorHAnsi"/>
                <w:sz w:val="22"/>
                <w:szCs w:val="22"/>
              </w:rPr>
              <w:t xml:space="preserve"> </w:t>
            </w:r>
            <w:r w:rsidR="00A22D86" w:rsidRPr="0042119F">
              <w:rPr>
                <w:rFonts w:asciiTheme="minorHAnsi" w:hAnsiTheme="minorHAnsi"/>
                <w:sz w:val="22"/>
                <w:szCs w:val="22"/>
              </w:rPr>
              <w:t>kwestii demograficznych, analizy ekonomicznej inwestycji po zakończeniu projektu)</w:t>
            </w:r>
            <w:r>
              <w:rPr>
                <w:rFonts w:asciiTheme="minorHAnsi" w:hAnsiTheme="minorHAnsi"/>
                <w:sz w:val="22"/>
                <w:szCs w:val="22"/>
              </w:rPr>
              <w:t>;</w:t>
            </w:r>
            <w:r w:rsidR="009C6C82">
              <w:t xml:space="preserve"> </w:t>
            </w:r>
          </w:p>
          <w:p w:rsidR="005D2A02" w:rsidRPr="00D62A91" w:rsidRDefault="005D2A02" w:rsidP="00A22D86">
            <w:pPr>
              <w:pStyle w:val="Default"/>
              <w:jc w:val="both"/>
              <w:rPr>
                <w:rFonts w:asciiTheme="minorHAnsi" w:hAnsiTheme="minorHAnsi"/>
                <w:sz w:val="22"/>
                <w:szCs w:val="22"/>
              </w:rPr>
            </w:pPr>
            <w:r>
              <w:rPr>
                <w:rFonts w:asciiTheme="minorHAnsi" w:hAnsiTheme="minorHAnsi"/>
                <w:sz w:val="22"/>
                <w:szCs w:val="22"/>
              </w:rPr>
              <w:t xml:space="preserve">- że </w:t>
            </w:r>
            <w:r w:rsidRPr="00D62A91">
              <w:rPr>
                <w:rFonts w:asciiTheme="minorHAnsi" w:hAnsiTheme="minorHAnsi"/>
                <w:sz w:val="22"/>
                <w:szCs w:val="22"/>
              </w:rPr>
              <w:t>projekt przyczynia się do osiągnięcia celów RPO WD finansowanych ze środków EFS;</w:t>
            </w:r>
          </w:p>
          <w:p w:rsidR="00A22D86" w:rsidRPr="0042119F" w:rsidRDefault="005D2A02" w:rsidP="00A22D86">
            <w:pPr>
              <w:pStyle w:val="Default"/>
              <w:jc w:val="both"/>
              <w:rPr>
                <w:rFonts w:asciiTheme="minorHAnsi" w:hAnsiTheme="minorHAnsi"/>
                <w:sz w:val="22"/>
                <w:szCs w:val="22"/>
              </w:rPr>
            </w:pPr>
            <w:r w:rsidRPr="00D62A91">
              <w:rPr>
                <w:rFonts w:asciiTheme="minorHAnsi" w:hAnsiTheme="minorHAnsi"/>
                <w:sz w:val="22"/>
                <w:szCs w:val="22"/>
              </w:rPr>
              <w:t>- że konieczność wydatkowania środków została potwierdzona analizą potrzeb szkoły objętej projektem</w:t>
            </w:r>
            <w:r w:rsidR="009D7FD1">
              <w:t xml:space="preserve"> </w:t>
            </w:r>
            <w:r w:rsidR="00E63998">
              <w:rPr>
                <w:rFonts w:asciiTheme="minorHAnsi" w:hAnsiTheme="minorHAnsi"/>
                <w:sz w:val="22"/>
                <w:szCs w:val="22"/>
              </w:rPr>
              <w:t>(</w:t>
            </w:r>
            <w:r w:rsidR="009D7FD1" w:rsidRPr="009D7FD1">
              <w:rPr>
                <w:rFonts w:asciiTheme="minorHAnsi" w:hAnsiTheme="minorHAnsi"/>
                <w:sz w:val="22"/>
                <w:szCs w:val="22"/>
              </w:rPr>
              <w:t>diagnoza powinna zawierać m.in. inwentaryzację sprzętu, ze szczególnym uwzględnieniem sprzętu zakupionego ze środków UE, we wcześniej</w:t>
            </w:r>
            <w:r w:rsidR="00E63998">
              <w:rPr>
                <w:rFonts w:asciiTheme="minorHAnsi" w:hAnsiTheme="minorHAnsi"/>
                <w:sz w:val="22"/>
                <w:szCs w:val="22"/>
              </w:rPr>
              <w:t>szych perspektywach finansowych).</w:t>
            </w:r>
          </w:p>
          <w:p w:rsidR="00FA03C1" w:rsidRPr="0042119F" w:rsidRDefault="00FA03C1" w:rsidP="00FA03C1">
            <w:pPr>
              <w:spacing w:before="30" w:after="30" w:line="240" w:lineRule="auto"/>
              <w:ind w:left="35"/>
              <w:contextualSpacing/>
              <w:rPr>
                <w:rFonts w:cs="Calibri"/>
                <w:color w:val="000000"/>
              </w:rPr>
            </w:pPr>
          </w:p>
          <w:p w:rsidR="00FA03C1" w:rsidRDefault="00FA03C1" w:rsidP="00FA03C1">
            <w:pPr>
              <w:spacing w:after="120" w:line="240" w:lineRule="auto"/>
              <w:contextualSpacing/>
              <w:jc w:val="both"/>
              <w:rPr>
                <w:rFonts w:cs="Calibri"/>
                <w:color w:val="000000"/>
              </w:rPr>
            </w:pPr>
            <w:r w:rsidRPr="0042119F">
              <w:rPr>
                <w:rFonts w:cs="Calibri"/>
                <w:color w:val="000000"/>
              </w:rPr>
              <w:t>Wszystkie przedsięwzięcia związane z poprawą warunków kształcenia będą uwzględniać konieczność dostosowaniem infrastruktury i wyposażenia do potrzeb osób z niepełnosprawnościami (jako obowiązkowy element projektu).</w:t>
            </w:r>
          </w:p>
          <w:p w:rsidR="00727ADD" w:rsidRDefault="00727ADD" w:rsidP="00FA03C1">
            <w:pPr>
              <w:spacing w:after="120" w:line="240" w:lineRule="auto"/>
              <w:contextualSpacing/>
              <w:jc w:val="both"/>
              <w:rPr>
                <w:rFonts w:cs="Calibri"/>
                <w:color w:val="000000"/>
              </w:rPr>
            </w:pPr>
          </w:p>
          <w:p w:rsidR="00135960" w:rsidRPr="0042119F" w:rsidRDefault="00135960" w:rsidP="00FA03C1">
            <w:pPr>
              <w:spacing w:after="120" w:line="240" w:lineRule="auto"/>
              <w:contextualSpacing/>
              <w:jc w:val="both"/>
              <w:rPr>
                <w:rFonts w:cs="Calibri"/>
                <w:color w:val="000000"/>
              </w:rPr>
            </w:pPr>
            <w:r w:rsidRPr="00135960">
              <w:rPr>
                <w:rFonts w:cs="Calibri"/>
                <w:color w:val="000000"/>
              </w:rPr>
              <w:t xml:space="preserve">Możliwe są działania poprawiające efektywność energetyczną, analogiczne do działania 3.3 </w:t>
            </w:r>
            <w:r>
              <w:rPr>
                <w:rFonts w:cs="Calibri"/>
                <w:color w:val="000000"/>
              </w:rPr>
              <w:t xml:space="preserve">RPO WD </w:t>
            </w:r>
            <w:r w:rsidRPr="00135960">
              <w:rPr>
                <w:rFonts w:cs="Calibri"/>
                <w:color w:val="000000"/>
              </w:rPr>
              <w:t>„Efektywność energetyczna w budynkach użyteczności publicznej i sektorze mieszkaniowym” (schematy 3.3 A i 3.3 B). Wartość takich inwestycji nie może przekraczać 49% wartości  wydatków kwalifikowalnych na pojedynczy budynek w projekcie.</w:t>
            </w:r>
          </w:p>
          <w:p w:rsidR="00FA03C1" w:rsidRPr="0042119F" w:rsidRDefault="00FA03C1" w:rsidP="001035AE">
            <w:pPr>
              <w:spacing w:before="30" w:after="30" w:line="240" w:lineRule="auto"/>
              <w:contextualSpacing/>
              <w:jc w:val="both"/>
              <w:rPr>
                <w:rFonts w:cs="Calibri"/>
                <w:color w:val="000000"/>
              </w:rPr>
            </w:pPr>
          </w:p>
          <w:p w:rsidR="00FA03C1" w:rsidRPr="00D21FE1" w:rsidRDefault="00804497" w:rsidP="00FA03C1">
            <w:pPr>
              <w:spacing w:after="120" w:line="240" w:lineRule="auto"/>
              <w:jc w:val="both"/>
              <w:rPr>
                <w:rFonts w:cs="Calibri"/>
                <w:b/>
                <w:color w:val="000000"/>
              </w:rPr>
            </w:pPr>
            <w:r w:rsidRPr="00804497">
              <w:rPr>
                <w:rFonts w:cs="Calibri"/>
                <w:b/>
                <w:color w:val="000000"/>
              </w:rPr>
              <w:t>Preferowane będą projekty:</w:t>
            </w:r>
          </w:p>
          <w:p w:rsidR="00FA03C1" w:rsidRPr="0042119F" w:rsidRDefault="00FA03C1" w:rsidP="00FA03C1">
            <w:pPr>
              <w:spacing w:after="120"/>
              <w:contextualSpacing/>
              <w:jc w:val="both"/>
              <w:rPr>
                <w:rFonts w:cs="Calibri"/>
                <w:color w:val="000000"/>
              </w:rPr>
            </w:pPr>
            <w:r w:rsidRPr="0042119F">
              <w:rPr>
                <w:rFonts w:cs="Calibri"/>
                <w:color w:val="000000"/>
              </w:rPr>
              <w:t>- dostosowujące szkoły do pracy z uczniem o specjalnych potrzebach edukacyjnych;</w:t>
            </w:r>
          </w:p>
          <w:p w:rsidR="00FA03C1" w:rsidRPr="0042119F" w:rsidRDefault="00FA03C1" w:rsidP="00FA03C1">
            <w:pPr>
              <w:spacing w:before="30" w:after="30" w:line="240" w:lineRule="auto"/>
              <w:contextualSpacing/>
              <w:jc w:val="both"/>
              <w:rPr>
                <w:rFonts w:cs="Calibri"/>
                <w:color w:val="000000"/>
              </w:rPr>
            </w:pPr>
            <w:r w:rsidRPr="0042119F">
              <w:rPr>
                <w:rFonts w:cs="Calibri"/>
                <w:color w:val="000000"/>
              </w:rPr>
              <w:t>- zapewniające rozwój infrastruktury w zakresie nauk matematyczno-przyrodniczych i cyfrowych (wyposażenie pracowni);</w:t>
            </w:r>
          </w:p>
          <w:p w:rsidR="00FA03C1" w:rsidRPr="0042119F" w:rsidRDefault="00FA03C1" w:rsidP="00FA03C1">
            <w:pPr>
              <w:spacing w:before="30" w:after="30" w:line="240" w:lineRule="auto"/>
              <w:contextualSpacing/>
              <w:jc w:val="both"/>
              <w:rPr>
                <w:rFonts w:cs="Calibri"/>
                <w:color w:val="000000"/>
              </w:rPr>
            </w:pPr>
            <w:r w:rsidRPr="0042119F">
              <w:rPr>
                <w:rFonts w:cs="Calibri"/>
                <w:color w:val="000000"/>
              </w:rPr>
              <w:t>- komplementarne z przedsięwzięciami realizowanymi w obszarze ed</w:t>
            </w:r>
            <w:r w:rsidR="00185792">
              <w:rPr>
                <w:rFonts w:cs="Calibri"/>
                <w:color w:val="000000"/>
              </w:rPr>
              <w:t>ukacji współfinansowanymi z EFS.</w:t>
            </w:r>
          </w:p>
          <w:p w:rsidR="00C95C5F" w:rsidRPr="0042119F" w:rsidRDefault="00C95C5F" w:rsidP="00A22D86">
            <w:pPr>
              <w:spacing w:before="30" w:after="30" w:line="240" w:lineRule="auto"/>
              <w:contextualSpacing/>
              <w:jc w:val="both"/>
              <w:rPr>
                <w:rFonts w:cs="Calibri"/>
                <w:color w:val="000000"/>
              </w:rPr>
            </w:pPr>
          </w:p>
          <w:p w:rsidR="00CB791B" w:rsidRDefault="00804497">
            <w:pPr>
              <w:autoSpaceDE w:val="0"/>
              <w:autoSpaceDN w:val="0"/>
              <w:adjustRightInd w:val="0"/>
              <w:spacing w:line="240" w:lineRule="auto"/>
              <w:rPr>
                <w:b/>
              </w:rPr>
            </w:pPr>
            <w:r w:rsidRPr="00804497">
              <w:rPr>
                <w:rFonts w:cs="Calibri"/>
                <w:b/>
                <w:color w:val="000000"/>
              </w:rPr>
              <w:t>Nie będą finansowane:</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Wydatki związane z termomodernizacją przekraczające 49% wartości całkowitych wydatków kwalifikowalnych projektu.</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Wydatki ponoszone na infrastrukturę oraz zakup wyposażenia wykorzystywanego na potrzeby kształcenia ustawicznego.</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xml:space="preserve">- Wydatki na infrastrukturę szkolnictwa ponadgimnazjalnego ogólnego </w:t>
            </w:r>
            <w:r w:rsidRPr="00F84390">
              <w:rPr>
                <w:rFonts w:eastAsia="Times New Roman" w:cs="Arial"/>
                <w:lang w:eastAsia="pl-PL"/>
              </w:rPr>
              <w:br/>
            </w:r>
            <w:r w:rsidRPr="00F84390">
              <w:rPr>
                <w:vertAlign w:val="superscript"/>
              </w:rPr>
              <w:footnoteReference w:id="2"/>
            </w:r>
            <w:r w:rsidRPr="00F84390">
              <w:rPr>
                <w:sz w:val="24"/>
                <w:szCs w:val="24"/>
              </w:rPr>
              <w:t>.</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Wydatki ponoszone na budowę nowych obiektów nie służących praktycznej nauce zawodu oraz rozbudowę obiektów nie służących praktycznej nauce zawodu o budynki trwale nie połączone z istniejącym już obiektem.</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Koszty zagospodarowania terenu wokół szkół i placówek oraz budowa dróg dojazdowych, wewnętrznych i parkingów.</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xml:space="preserve">- </w:t>
            </w:r>
            <w:r w:rsidRPr="00F84390">
              <w:rPr>
                <w:rFonts w:cs="Arial"/>
              </w:rPr>
              <w:t>Wydatki na zakup używanych środków trwałych.</w:t>
            </w:r>
          </w:p>
          <w:p w:rsidR="003846E2" w:rsidRDefault="003846E2" w:rsidP="00480411">
            <w:pPr>
              <w:pStyle w:val="Default"/>
              <w:jc w:val="both"/>
              <w:rPr>
                <w:rFonts w:asciiTheme="minorHAnsi" w:hAnsiTheme="minorHAnsi"/>
                <w:sz w:val="22"/>
                <w:szCs w:val="22"/>
              </w:rPr>
            </w:pPr>
          </w:p>
          <w:p w:rsidR="002368A3" w:rsidRPr="00C95C5F" w:rsidRDefault="002368A3" w:rsidP="00516363">
            <w:pPr>
              <w:spacing w:line="240" w:lineRule="auto"/>
              <w:jc w:val="both"/>
              <w:rPr>
                <w:rFonts w:cs="Calibri"/>
                <w:color w:val="000000"/>
              </w:rPr>
            </w:pPr>
            <w:r w:rsidRPr="00C95C5F">
              <w:rPr>
                <w:rFonts w:cs="Calibri"/>
                <w:color w:val="000000"/>
              </w:rPr>
              <w:t>Kategorią interwencji</w:t>
            </w:r>
            <w:r w:rsidR="00EC0DC4" w:rsidRPr="00C95C5F">
              <w:rPr>
                <w:rFonts w:cs="Calibri"/>
                <w:color w:val="000000"/>
              </w:rPr>
              <w:t xml:space="preserve"> (zakres</w:t>
            </w:r>
            <w:r w:rsidR="0028267C" w:rsidRPr="00C95C5F">
              <w:rPr>
                <w:rFonts w:cs="Calibri"/>
                <w:color w:val="000000"/>
              </w:rPr>
              <w:t>em</w:t>
            </w:r>
            <w:r w:rsidR="00EC0DC4" w:rsidRPr="00C95C5F">
              <w:rPr>
                <w:rFonts w:cs="Calibri"/>
                <w:color w:val="000000"/>
              </w:rPr>
              <w:t xml:space="preserve"> interwencji</w:t>
            </w:r>
            <w:r w:rsidR="0028267C" w:rsidRPr="00C95C5F">
              <w:rPr>
                <w:rFonts w:cs="Calibri"/>
                <w:color w:val="000000"/>
              </w:rPr>
              <w:t xml:space="preserve"> dominującym</w:t>
            </w:r>
            <w:r w:rsidR="00EC0DC4" w:rsidRPr="00C95C5F">
              <w:rPr>
                <w:rFonts w:cs="Calibri"/>
                <w:color w:val="000000"/>
              </w:rPr>
              <w:t>)</w:t>
            </w:r>
            <w:r w:rsidRPr="00C95C5F">
              <w:rPr>
                <w:rFonts w:cs="Calibri"/>
                <w:color w:val="000000"/>
              </w:rPr>
              <w:t xml:space="preserve"> dla niniejszego konkursu jest kategoria</w:t>
            </w:r>
            <w:r w:rsidRPr="00D43F95">
              <w:rPr>
                <w:rFonts w:cs="Calibri"/>
                <w:b/>
                <w:color w:val="000000"/>
              </w:rPr>
              <w:t xml:space="preserve"> </w:t>
            </w:r>
            <w:r w:rsidR="00F84390" w:rsidRPr="00D43F95">
              <w:rPr>
                <w:rFonts w:cs="Calibri"/>
                <w:b/>
                <w:color w:val="000000"/>
              </w:rPr>
              <w:t xml:space="preserve">050 Infrastruktura edukacyjna na potrzeby kształcenia i </w:t>
            </w:r>
            <w:r w:rsidR="00F84390" w:rsidRPr="00D43F95">
              <w:rPr>
                <w:rFonts w:cs="Calibri"/>
                <w:b/>
                <w:color w:val="000000"/>
              </w:rPr>
              <w:lastRenderedPageBreak/>
              <w:t xml:space="preserve">szkolenia zawodowego </w:t>
            </w:r>
            <w:r w:rsidR="00F84390" w:rsidRPr="00F84390">
              <w:rPr>
                <w:rFonts w:cs="Calibri"/>
                <w:color w:val="000000"/>
              </w:rPr>
              <w:t>oraz kształcenia osób dorosłych</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w:t>
            </w:r>
            <w:r w:rsidR="00CA6EA5">
              <w:rPr>
                <w:rFonts w:cs="Calibri"/>
                <w:color w:val="000000"/>
              </w:rPr>
              <w:t>następujące typy beneficjentów:</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organizacyjne jst;</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sidR="00FA03C1">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D3B9B" w:rsidRDefault="000F50FE" w:rsidP="009D3B9B">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r w:rsidR="009D3B9B">
              <w:rPr>
                <w:rFonts w:asciiTheme="minorHAnsi" w:eastAsia="TTE1ABE920t00" w:hAnsiTheme="minorHAnsi" w:cs="Arial"/>
                <w:szCs w:val="22"/>
              </w:rPr>
              <w:t>;</w:t>
            </w:r>
          </w:p>
          <w:p w:rsidR="009D3B9B" w:rsidRPr="009D3B9B" w:rsidRDefault="009D3B9B" w:rsidP="007A3277">
            <w:pPr>
              <w:spacing w:line="240" w:lineRule="auto"/>
              <w:contextualSpacing/>
              <w:jc w:val="both"/>
              <w:rPr>
                <w:rFonts w:eastAsia="TTE1ABE920t00"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AA0A4C" w:rsidRPr="00151119" w:rsidRDefault="00AA0A4C" w:rsidP="00480411">
            <w:pPr>
              <w:pStyle w:val="Default"/>
              <w:rPr>
                <w:rFonts w:asciiTheme="minorHAnsi" w:hAnsiTheme="minorHAnsi"/>
                <w:sz w:val="22"/>
                <w:szCs w:val="22"/>
              </w:rPr>
            </w:pPr>
          </w:p>
          <w:p w:rsidR="00984533" w:rsidRPr="00151119" w:rsidRDefault="00984533" w:rsidP="00B64FEB">
            <w:pPr>
              <w:autoSpaceDE w:val="0"/>
              <w:autoSpaceDN w:val="0"/>
              <w:adjustRightInd w:val="0"/>
              <w:spacing w:after="0" w:line="240" w:lineRule="auto"/>
              <w:rPr>
                <w:rFonts w:cs="Calibri"/>
                <w:b/>
                <w:bCs/>
                <w:color w:val="000000"/>
              </w:rPr>
            </w:pPr>
          </w:p>
        </w:tc>
        <w:tc>
          <w:tcPr>
            <w:tcW w:w="7494" w:type="dxa"/>
          </w:tcPr>
          <w:p w:rsidR="00984533" w:rsidRDefault="00D125BA" w:rsidP="00CA6EA5">
            <w:pPr>
              <w:autoSpaceDE w:val="0"/>
              <w:autoSpaceDN w:val="0"/>
              <w:adjustRightInd w:val="0"/>
              <w:spacing w:after="0" w:line="240" w:lineRule="auto"/>
              <w:jc w:val="both"/>
              <w:rPr>
                <w:rFonts w:cs="Calibri"/>
                <w:color w:val="000000"/>
              </w:rPr>
            </w:pPr>
            <w:r>
              <w:rPr>
                <w:rFonts w:ascii="Calibri" w:eastAsia="Droid Sans Fallback" w:hAnsi="Calibri" w:cs="Calibri"/>
                <w:color w:val="00000A"/>
              </w:rPr>
              <w:t>A</w:t>
            </w:r>
            <w:r w:rsidR="00CA6EA5" w:rsidRPr="00CA6EA5">
              <w:rPr>
                <w:rFonts w:ascii="Calibri" w:eastAsia="Droid Sans Fallback" w:hAnsi="Calibri" w:cs="Calibri"/>
                <w:color w:val="00000A"/>
              </w:rPr>
              <w:t>lokacja przeznaczona na konkurs wynosi</w:t>
            </w:r>
            <w:r w:rsidR="00CA6EA5">
              <w:rPr>
                <w:rFonts w:ascii="Calibri" w:eastAsia="Droid Sans Fallback" w:hAnsi="Calibri" w:cs="Calibri"/>
                <w:color w:val="00000A"/>
              </w:rPr>
              <w:t xml:space="preserve"> </w:t>
            </w:r>
            <w:r w:rsidR="00D12266" w:rsidRPr="00D12266">
              <w:rPr>
                <w:rFonts w:ascii="Calibri" w:eastAsia="Droid Sans Fallback" w:hAnsi="Calibri" w:cs="Calibri"/>
                <w:b/>
                <w:color w:val="00000A"/>
              </w:rPr>
              <w:t>3 061</w:t>
            </w:r>
            <w:r w:rsidR="00D12266">
              <w:rPr>
                <w:rFonts w:ascii="Calibri" w:eastAsia="Droid Sans Fallback" w:hAnsi="Calibri" w:cs="Calibri"/>
                <w:b/>
                <w:color w:val="00000A"/>
              </w:rPr>
              <w:t> </w:t>
            </w:r>
            <w:r w:rsidR="00D12266" w:rsidRPr="00D12266">
              <w:rPr>
                <w:rFonts w:ascii="Calibri" w:eastAsia="Droid Sans Fallback" w:hAnsi="Calibri" w:cs="Calibri"/>
                <w:b/>
                <w:color w:val="00000A"/>
              </w:rPr>
              <w:t>714</w:t>
            </w:r>
            <w:r w:rsidR="00D12266">
              <w:rPr>
                <w:rFonts w:ascii="Calibri" w:eastAsia="Droid Sans Fallback" w:hAnsi="Calibri" w:cs="Calibri"/>
                <w:b/>
                <w:color w:val="00000A"/>
              </w:rPr>
              <w:t xml:space="preserve"> </w:t>
            </w:r>
            <w:r w:rsidR="00CA6EA5" w:rsidRPr="0098538F">
              <w:rPr>
                <w:rFonts w:ascii="Calibri" w:eastAsia="Droid Sans Fallback" w:hAnsi="Calibri" w:cs="Calibri"/>
                <w:b/>
                <w:color w:val="00000A"/>
              </w:rPr>
              <w:t xml:space="preserve">EUR, tj. </w:t>
            </w:r>
            <w:r w:rsidR="0098538F" w:rsidRPr="0098538F">
              <w:rPr>
                <w:rFonts w:ascii="Calibri" w:eastAsia="Droid Sans Fallback" w:hAnsi="Calibri" w:cs="Calibri"/>
                <w:b/>
                <w:color w:val="00000A"/>
              </w:rPr>
              <w:t>13 358 564</w:t>
            </w:r>
            <w:r w:rsidR="00516363" w:rsidRPr="0098538F">
              <w:rPr>
                <w:rFonts w:ascii="Calibri" w:eastAsia="Droid Sans Fallback" w:hAnsi="Calibri" w:cs="Calibri"/>
                <w:b/>
                <w:color w:val="00000A"/>
              </w:rPr>
              <w:t xml:space="preserve"> </w:t>
            </w:r>
            <w:r w:rsidR="00360850" w:rsidRPr="0098538F">
              <w:rPr>
                <w:rFonts w:ascii="Calibri" w:eastAsia="Droid Sans Fallback" w:hAnsi="Calibri" w:cs="Calibri"/>
                <w:b/>
                <w:color w:val="00000A"/>
              </w:rPr>
              <w:t>zł</w:t>
            </w:r>
          </w:p>
          <w:p w:rsidR="00CA6EA5" w:rsidRDefault="00CA6EA5"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974650">
              <w:rPr>
                <w:rFonts w:cs="MS Sans Serif"/>
              </w:rPr>
              <w:t xml:space="preserve">Alokacja przeliczona po kursie Europejskiego Banku Centralnego (EBC) obowiązującym w </w:t>
            </w:r>
            <w:r w:rsidR="00D12266">
              <w:rPr>
                <w:rFonts w:cs="MS Sans Serif"/>
              </w:rPr>
              <w:t>marcu</w:t>
            </w:r>
            <w:r w:rsidR="007A3277" w:rsidRPr="00974650">
              <w:rPr>
                <w:rFonts w:cs="MS Sans Serif"/>
              </w:rPr>
              <w:t xml:space="preserve"> 2016 </w:t>
            </w:r>
            <w:r w:rsidRPr="00974650">
              <w:rPr>
                <w:rFonts w:cs="MS Sans Serif"/>
              </w:rPr>
              <w:t xml:space="preserve"> r., 1 euro = </w:t>
            </w:r>
            <w:r w:rsidR="00CA6245">
              <w:rPr>
                <w:rFonts w:cs="MS Sans Serif"/>
              </w:rPr>
              <w:t xml:space="preserve">4, </w:t>
            </w:r>
            <w:r w:rsidR="00AC7908" w:rsidRPr="00AC7908">
              <w:rPr>
                <w:rFonts w:cs="MS Sans Serif"/>
              </w:rPr>
              <w:t>3631</w:t>
            </w:r>
            <w:r w:rsidR="00CA6245">
              <w:rPr>
                <w:rFonts w:cs="MS Sans Serif"/>
              </w:rPr>
              <w:t xml:space="preserve"> </w:t>
            </w:r>
            <w:r w:rsidR="00A84137">
              <w:rPr>
                <w:rFonts w:cs="MS Sans Serif"/>
              </w:rPr>
              <w:t>zł</w:t>
            </w:r>
            <w:r w:rsidRPr="00974650">
              <w:rPr>
                <w:rFonts w:cs="MS Sans Serif"/>
              </w:rPr>
              <w:t>.</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5E776A" w:rsidRPr="005E776A">
              <w:t xml:space="preserve">zatwierdzania Listy ocenionych projektów </w:t>
            </w:r>
            <w:r w:rsidR="00CB5165">
              <w:t>.</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F975C3">
            <w:pPr>
              <w:autoSpaceDE w:val="0"/>
              <w:autoSpaceDN w:val="0"/>
              <w:adjustRightInd w:val="0"/>
              <w:spacing w:after="0" w:line="240" w:lineRule="auto"/>
              <w:jc w:val="both"/>
              <w:rPr>
                <w:rFonts w:cs="Arial"/>
              </w:rPr>
            </w:pPr>
            <w:r w:rsidRPr="00F975C3">
              <w:rPr>
                <w:rFonts w:cs="Arial"/>
              </w:rPr>
              <w:t>Maksymalna wartość wydatków kwalifikowalnych dotyczy jedne</w:t>
            </w:r>
            <w:r w:rsidR="00CB791B">
              <w:rPr>
                <w:rFonts w:cs="Arial"/>
              </w:rPr>
              <w:t>j szkoły/placówki</w:t>
            </w:r>
            <w:r w:rsidRPr="00F975C3">
              <w:rPr>
                <w:rFonts w:cs="Arial"/>
              </w:rPr>
              <w:t>.</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277147" w:rsidRPr="00C22C74" w:rsidRDefault="00277147" w:rsidP="00277147">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w:t>
            </w:r>
            <w:r w:rsidRPr="00E87546">
              <w:rPr>
                <w:rFonts w:eastAsia="Times New Roman" w:cs="Times New Roman"/>
                <w:lang w:eastAsia="pl-PL"/>
              </w:rPr>
              <w:t xml:space="preserve"> prawa unijnego</w:t>
            </w:r>
            <w:r w:rsidRPr="00E87546">
              <w:rPr>
                <w:rFonts w:eastAsia="Times New Roman" w:cs="Times New Roman"/>
                <w:vertAlign w:val="superscript"/>
                <w:lang w:eastAsia="pl-PL"/>
              </w:rPr>
              <w:footnoteReference w:id="3"/>
            </w:r>
            <w:r w:rsidRPr="00E87546">
              <w:rPr>
                <w:rFonts w:eastAsia="Times New Roman" w:cs="Times New Roman"/>
                <w:lang w:eastAsia="pl-PL"/>
              </w:rPr>
              <w:t>;</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5F65D9" w:rsidRPr="00DC364F" w:rsidRDefault="00D65CF5" w:rsidP="00DC364F">
            <w:pPr>
              <w:tabs>
                <w:tab w:val="left" w:pos="459"/>
              </w:tabs>
              <w:spacing w:before="40" w:after="40" w:line="240" w:lineRule="auto"/>
              <w:jc w:val="both"/>
              <w:rPr>
                <w:rFonts w:cs="Arial"/>
              </w:rPr>
            </w:pPr>
            <w:r w:rsidRPr="007C678B">
              <w:rPr>
                <w:rFonts w:cs="Arial"/>
              </w:rPr>
              <w:t>Co do zasady w</w:t>
            </w:r>
            <w:r w:rsidR="0098538F">
              <w:rPr>
                <w:rFonts w:cs="Arial"/>
              </w:rPr>
              <w:t xml:space="preserve"> przypadku działania 7.2</w:t>
            </w:r>
            <w:r w:rsidR="003A0F50" w:rsidRPr="007C678B">
              <w:rPr>
                <w:rFonts w:cs="Arial"/>
              </w:rPr>
              <w:t xml:space="preserve"> </w:t>
            </w:r>
            <w:r w:rsidR="004D3634" w:rsidRPr="007C678B">
              <w:rPr>
                <w:rFonts w:cs="Arial"/>
              </w:rPr>
              <w:t>nie</w:t>
            </w:r>
            <w:r w:rsidRPr="007C678B">
              <w:rPr>
                <w:rFonts w:cs="Arial"/>
              </w:rPr>
              <w:t xml:space="preserve"> ma przesłanek do wystąpienia pomocy publicznej. </w:t>
            </w:r>
            <w:r w:rsidR="00723CFF" w:rsidRPr="007C678B">
              <w:rPr>
                <w:rFonts w:cs="Arial"/>
              </w:rPr>
              <w:t xml:space="preserve">Do działalności mieszczącej się w ramach krajowego systemu edukacji nie mają zastosowania przepisy dotyczące pomocy publicznej </w:t>
            </w:r>
            <w:r w:rsidR="00723CFF" w:rsidRPr="007C678B">
              <w:rPr>
                <w:rFonts w:cs="Arial"/>
              </w:rPr>
              <w:lastRenderedPageBreak/>
              <w:t>(działalność ta co do zasady nie stanowi działalności gospodarczej w rozumieniu przepisów wspólnotowych)</w:t>
            </w:r>
            <w:r w:rsidR="005C6AB4" w:rsidRPr="007C678B">
              <w:rPr>
                <w:rFonts w:cs="Arial"/>
              </w:rPr>
              <w:t>.</w:t>
            </w:r>
          </w:p>
          <w:p w:rsidR="00D65CF5" w:rsidRPr="00DC364F" w:rsidRDefault="00D65CF5" w:rsidP="00DC364F">
            <w:pPr>
              <w:tabs>
                <w:tab w:val="left" w:pos="459"/>
              </w:tabs>
              <w:spacing w:before="40" w:after="40" w:line="240" w:lineRule="auto"/>
              <w:jc w:val="both"/>
              <w:rPr>
                <w:rFonts w:cs="Arial"/>
              </w:rPr>
            </w:pPr>
            <w:r w:rsidRPr="00DC364F">
              <w:rPr>
                <w:rFonts w:cs="Arial"/>
              </w:rPr>
              <w:t xml:space="preserve"> </w:t>
            </w:r>
          </w:p>
          <w:p w:rsidR="005F65D9" w:rsidRDefault="00D65CF5" w:rsidP="00DC364F">
            <w:pPr>
              <w:tabs>
                <w:tab w:val="left" w:pos="459"/>
              </w:tabs>
              <w:spacing w:before="40" w:after="40" w:line="240" w:lineRule="auto"/>
              <w:jc w:val="both"/>
              <w:rPr>
                <w:rFonts w:cs="Arial"/>
              </w:rPr>
            </w:pPr>
            <w:r w:rsidRPr="00DC364F">
              <w:rPr>
                <w:rFonts w:cs="Arial"/>
              </w:rPr>
              <w:t>Biorąc pod uwagę typy beneficjentów, które mogą otrzymać dofinansowanie</w:t>
            </w:r>
            <w:r w:rsidR="00BC5BD2" w:rsidRPr="00DC364F">
              <w:rPr>
                <w:rFonts w:cs="Arial"/>
              </w:rPr>
              <w:t xml:space="preserve"> oraz typy projektów,</w:t>
            </w:r>
            <w:r w:rsidRPr="00DC364F">
              <w:rPr>
                <w:rFonts w:cs="Arial"/>
              </w:rPr>
              <w:t xml:space="preserve"> mamy do czynienia z podmiotami, których działalność jest w głównej mierze finansowana ze środków publicznych i służy wykonywaniu zadań przypisywanych państwu, a jako takie będą mieścić się w krajowym systemie edukacji w zakresie</w:t>
            </w:r>
            <w:r w:rsidR="00BC5BD2" w:rsidRPr="00DC364F">
              <w:rPr>
                <w:rFonts w:cs="Arial"/>
              </w:rPr>
              <w:t xml:space="preserve"> </w:t>
            </w:r>
            <w:r w:rsidRPr="00DC364F">
              <w:rPr>
                <w:rFonts w:cs="Arial"/>
              </w:rPr>
              <w:t xml:space="preserve">nie skutkującym wystąpieniem pomocy publicznej. </w:t>
            </w:r>
          </w:p>
          <w:p w:rsidR="007C678B" w:rsidRPr="00DC364F" w:rsidRDefault="007C678B" w:rsidP="00DC364F">
            <w:pPr>
              <w:tabs>
                <w:tab w:val="left" w:pos="459"/>
              </w:tabs>
              <w:spacing w:before="40" w:after="40" w:line="240" w:lineRule="auto"/>
              <w:jc w:val="both"/>
              <w:rPr>
                <w:rFonts w:cs="Arial"/>
              </w:rPr>
            </w:pPr>
          </w:p>
          <w:p w:rsidR="002A7A36" w:rsidRDefault="005F65D9" w:rsidP="00DC364F">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91138E" w:rsidRPr="00DC364F" w:rsidRDefault="0091138E" w:rsidP="00DC364F">
            <w:pPr>
              <w:tabs>
                <w:tab w:val="left" w:pos="459"/>
              </w:tabs>
              <w:spacing w:before="40" w:after="40" w:line="240" w:lineRule="auto"/>
              <w:jc w:val="both"/>
              <w:rPr>
                <w:rFonts w:cs="Arial"/>
              </w:rPr>
            </w:pPr>
          </w:p>
          <w:p w:rsidR="00B618A5" w:rsidRPr="00D413DD" w:rsidRDefault="00B618A5" w:rsidP="00B618A5">
            <w:pPr>
              <w:tabs>
                <w:tab w:val="left" w:pos="459"/>
              </w:tabs>
              <w:spacing w:before="40" w:after="40" w:line="240" w:lineRule="auto"/>
              <w:jc w:val="both"/>
              <w:rPr>
                <w:rFonts w:cs="Arial"/>
              </w:rPr>
            </w:pPr>
            <w:r w:rsidRPr="00DC364F">
              <w:rPr>
                <w:rFonts w:cs="Arial"/>
              </w:rPr>
              <w:t>Jeżeli przy realizacji projektu zakłada się występowanie w projekcie zakresu/elementów wychodzących poza krajowy system edukacji</w:t>
            </w:r>
            <w:r>
              <w:rPr>
                <w:rFonts w:cs="Arial"/>
              </w:rPr>
              <w:t xml:space="preserve"> (np. komercyjne wynajmowanie pracowni komputerowej</w:t>
            </w:r>
            <w:r w:rsidR="00151FBA">
              <w:rPr>
                <w:rFonts w:cs="Arial"/>
              </w:rPr>
              <w:t>, warsztatów</w:t>
            </w:r>
            <w:r>
              <w:rPr>
                <w:rFonts w:cs="Arial"/>
              </w:rPr>
              <w:t xml:space="preserve"> czy sali gimnastycznej),</w:t>
            </w:r>
            <w:r w:rsidRPr="00DC364F">
              <w:rPr>
                <w:rFonts w:cs="Arial"/>
              </w:rPr>
              <w:t xml:space="preserve"> to </w:t>
            </w:r>
            <w:r>
              <w:rPr>
                <w:rFonts w:cs="Arial"/>
              </w:rPr>
              <w:t xml:space="preserve">w takiej sytuacji istnieje </w:t>
            </w:r>
            <w:r>
              <w:t>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w:t>
            </w:r>
            <w:r w:rsidR="00E61A5B">
              <w:t xml:space="preserve"> </w:t>
            </w:r>
            <w:r>
              <w:t xml:space="preserve">działalności edukacyjnej). </w:t>
            </w:r>
          </w:p>
          <w:p w:rsidR="00DA7814" w:rsidRDefault="00DA7814" w:rsidP="00B618A5">
            <w:pPr>
              <w:spacing w:before="120" w:after="120" w:line="240" w:lineRule="auto"/>
              <w:jc w:val="both"/>
            </w:pPr>
            <w:r>
              <w:t xml:space="preserve">W takich przypadkach wnioskodawca zobowiązany jest przedstawić metodologię wyodrębnienia elementów projektu przyporządkowanych do działalności gospodarczej i niegospodarczej wnioskodawcy. Przykładowo może to być proporcja liczoną powierzchnią, </w:t>
            </w:r>
            <w:r w:rsidR="00DC5977">
              <w:t xml:space="preserve">wielkością przychodów, </w:t>
            </w:r>
            <w:r>
              <w:t>wyodrębnienie wydatków</w:t>
            </w:r>
            <w:r w:rsidR="00DC5977">
              <w:t>.</w:t>
            </w:r>
            <w:r>
              <w:t xml:space="preserve">  </w:t>
            </w:r>
          </w:p>
          <w:p w:rsidR="007E0033" w:rsidRDefault="00B618A5" w:rsidP="007E0033">
            <w:pPr>
              <w:spacing w:before="120" w:after="120" w:line="240" w:lineRule="auto"/>
              <w:jc w:val="both"/>
            </w:pPr>
            <w:r>
              <w:t>W powyższym przypadku należy pamiętać o konieczności prowadzenia rozdzielnej rachunkowości dla działalności gospodarczej i niegospodarczej – przez cały okres realizac</w:t>
            </w:r>
            <w:r w:rsidR="007E0033">
              <w:t xml:space="preserve">ji projektu i okres trwałości. </w:t>
            </w:r>
          </w:p>
          <w:p w:rsidR="00DC5977" w:rsidRPr="007E0033" w:rsidRDefault="00DC5977" w:rsidP="007E0033">
            <w:pPr>
              <w:spacing w:before="120" w:after="120" w:line="240" w:lineRule="auto"/>
              <w:jc w:val="both"/>
            </w:pPr>
            <w:r w:rsidRPr="00BC08C5">
              <w:rPr>
                <w:rFonts w:cs="Arial"/>
              </w:rPr>
              <w:t>Konsekwencją niedochowania powyższych warunków w okresie trwałości projektu może być częściowy lub całkowity zwrot dofinansowania.</w:t>
            </w:r>
          </w:p>
          <w:p w:rsidR="00D413DD" w:rsidRDefault="00D413DD" w:rsidP="00DC364F">
            <w:pPr>
              <w:tabs>
                <w:tab w:val="left" w:pos="459"/>
              </w:tabs>
              <w:spacing w:before="40" w:after="40" w:line="240" w:lineRule="auto"/>
              <w:jc w:val="both"/>
              <w:rPr>
                <w:rFonts w:cs="Arial"/>
              </w:rPr>
            </w:pPr>
          </w:p>
          <w:p w:rsidR="007A04F9" w:rsidRDefault="007A04F9" w:rsidP="00DC364F">
            <w:pPr>
              <w:tabs>
                <w:tab w:val="left" w:pos="459"/>
              </w:tabs>
              <w:spacing w:before="40" w:after="40" w:line="240" w:lineRule="auto"/>
              <w:jc w:val="both"/>
              <w:rPr>
                <w:rFonts w:cs="Arial"/>
              </w:rPr>
            </w:pPr>
            <w:r>
              <w:rPr>
                <w:rFonts w:cs="Arial"/>
              </w:rPr>
              <w:t>Co do zasady p</w:t>
            </w:r>
            <w:r w:rsidRPr="007A04F9">
              <w:rPr>
                <w:rFonts w:cs="Arial"/>
              </w:rPr>
              <w:t>omoc publiczna nie wystąpi jeśli wynajem będzie kwestią incydentalną (bardzo rzadką i niesystematyczną)</w:t>
            </w:r>
            <w:r>
              <w:rPr>
                <w:rFonts w:cs="Arial"/>
              </w:rPr>
              <w:t>.</w:t>
            </w:r>
          </w:p>
          <w:p w:rsidR="007A04F9" w:rsidRDefault="007A04F9" w:rsidP="00DC364F">
            <w:pPr>
              <w:tabs>
                <w:tab w:val="left" w:pos="459"/>
              </w:tabs>
              <w:spacing w:before="40" w:after="40" w:line="240" w:lineRule="auto"/>
              <w:jc w:val="both"/>
              <w:rPr>
                <w:rFonts w:cs="Arial"/>
              </w:rPr>
            </w:pPr>
          </w:p>
          <w:p w:rsidR="00BB63F4" w:rsidRPr="00516363" w:rsidRDefault="00B51B27" w:rsidP="00BB63F4">
            <w:pPr>
              <w:tabs>
                <w:tab w:val="left" w:pos="459"/>
              </w:tabs>
              <w:spacing w:before="40" w:after="40" w:line="240" w:lineRule="auto"/>
              <w:jc w:val="both"/>
              <w:rPr>
                <w:rFonts w:cs="Arial"/>
                <w:b/>
              </w:rPr>
            </w:pPr>
            <w:r w:rsidRPr="00800124">
              <w:rPr>
                <w:rFonts w:cs="Arial"/>
                <w:b/>
              </w:rPr>
              <w:t xml:space="preserve">W </w:t>
            </w:r>
            <w:r w:rsidR="005B34B9">
              <w:rPr>
                <w:rFonts w:cs="Arial"/>
                <w:b/>
              </w:rPr>
              <w:t>przypadku wystąpieni</w:t>
            </w:r>
            <w:r w:rsidR="00E86FF0">
              <w:rPr>
                <w:rFonts w:cs="Arial"/>
                <w:b/>
              </w:rPr>
              <w:t>a w projekcie pomocy publicznej</w:t>
            </w:r>
            <w:r w:rsidRPr="00800124">
              <w:rPr>
                <w:rFonts w:cs="Arial"/>
                <w:b/>
              </w:rPr>
              <w:t xml:space="preserve"> będzie udzielana</w:t>
            </w:r>
            <w:r w:rsidR="004F1BA2" w:rsidRPr="00800124">
              <w:rPr>
                <w:rFonts w:cs="Arial"/>
                <w:b/>
              </w:rPr>
              <w:t xml:space="preserve"> wyłącznie</w:t>
            </w:r>
            <w:r w:rsidRPr="00800124">
              <w:rPr>
                <w:rFonts w:cs="Arial"/>
                <w:b/>
              </w:rPr>
              <w:t xml:space="preserve"> pomoc de minimis na podstawie Rozporządzenia Ministra Infrastruktury i Rozwoju z dnia 19 marca 2015 r. w sprawie udzielania pomocy de minimis w ramach regionalnych programów operacyjnych na lata 2014-2020 (Dz.U. 2015, poz. 488)</w:t>
            </w:r>
            <w:r w:rsidR="00B203D0" w:rsidRPr="00800124">
              <w:rPr>
                <w:rFonts w:cs="Arial"/>
                <w:b/>
              </w:rPr>
              <w:t xml:space="preserve"> - kwota pomocy de minimis nie może przekroczyć 200 tys. Euro na beneficjenta (jest to maksymalny limit pomocy de minimis jaki może otrzymać dany podmiot w okresie 3 lat). </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w:t>
            </w:r>
            <w:r w:rsidRPr="00083567">
              <w:rPr>
                <w:rFonts w:cs="Arial"/>
                <w:b/>
              </w:rPr>
              <w:lastRenderedPageBreak/>
              <w:t>i planowany zakres systemu zaliczek</w:t>
            </w:r>
            <w:r w:rsidRPr="00083567">
              <w:rPr>
                <w:b/>
                <w:bCs/>
              </w:rPr>
              <w:t xml:space="preserve">: </w:t>
            </w:r>
          </w:p>
        </w:tc>
        <w:tc>
          <w:tcPr>
            <w:tcW w:w="7494" w:type="dxa"/>
          </w:tcPr>
          <w:p w:rsidR="00984533" w:rsidRPr="004151FA" w:rsidRDefault="00984533" w:rsidP="00480411">
            <w:pPr>
              <w:spacing w:before="40" w:after="40" w:line="240" w:lineRule="auto"/>
              <w:jc w:val="both"/>
              <w:rPr>
                <w:rFonts w:cs="Arial"/>
              </w:rPr>
            </w:pPr>
            <w:r w:rsidRPr="004151FA">
              <w:rPr>
                <w:rFonts w:cs="Arial"/>
              </w:rPr>
              <w:lastRenderedPageBreak/>
              <w:t xml:space="preserve">Nie ma możliwości stosowania uproszczonych form rozliczania wydatków. </w:t>
            </w:r>
          </w:p>
          <w:p w:rsidR="00984533" w:rsidRPr="004151FA" w:rsidRDefault="00984533" w:rsidP="00480411">
            <w:pPr>
              <w:spacing w:before="40" w:after="40" w:line="240" w:lineRule="auto"/>
              <w:jc w:val="both"/>
              <w:rPr>
                <w:rFonts w:cs="Arial"/>
              </w:rPr>
            </w:pPr>
            <w:r w:rsidRPr="004151FA">
              <w:rPr>
                <w:rFonts w:cs="Arial"/>
              </w:rPr>
              <w:t>Wysokość zaliczek:</w:t>
            </w:r>
          </w:p>
          <w:p w:rsidR="00984533" w:rsidRPr="004151FA" w:rsidRDefault="00984533" w:rsidP="00480411">
            <w:pPr>
              <w:tabs>
                <w:tab w:val="left" w:pos="459"/>
              </w:tabs>
              <w:spacing w:before="40" w:after="40" w:line="240" w:lineRule="auto"/>
              <w:jc w:val="both"/>
              <w:rPr>
                <w:rFonts w:cs="Arial"/>
              </w:rPr>
            </w:pPr>
            <w:r w:rsidRPr="004151FA">
              <w:rPr>
                <w:rFonts w:cs="Arial"/>
              </w:rPr>
              <w:lastRenderedPageBreak/>
              <w:t>1)</w:t>
            </w:r>
            <w:r w:rsidRPr="004151FA">
              <w:rPr>
                <w:rFonts w:cs="Arial"/>
              </w:rPr>
              <w:tab/>
              <w:t>do 40% przyznanej kwoty dofinansowania, wszyscy beneficjenci RPO WD otrzymujący dofinansowanie z EFRR, z zastrzeżeniem pkt. 2);</w:t>
            </w:r>
          </w:p>
          <w:p w:rsidR="00984533" w:rsidRPr="004151FA" w:rsidRDefault="00984533" w:rsidP="00480411">
            <w:pPr>
              <w:tabs>
                <w:tab w:val="left" w:pos="459"/>
              </w:tabs>
              <w:spacing w:before="40" w:after="40" w:line="240" w:lineRule="auto"/>
              <w:jc w:val="both"/>
              <w:rPr>
                <w:rFonts w:cs="Arial"/>
              </w:rPr>
            </w:pPr>
            <w:r w:rsidRPr="004151FA">
              <w:rPr>
                <w:rFonts w:cs="Arial"/>
              </w:rPr>
              <w:t>2)</w:t>
            </w:r>
            <w:r w:rsidRPr="004151FA">
              <w:rPr>
                <w:rFonts w:cs="Arial"/>
              </w:rPr>
              <w:tab/>
              <w:t xml:space="preserve">do 100% przyznanej kwoty dofinansowania w przypadku realizacji projektu przez: </w:t>
            </w:r>
          </w:p>
          <w:p w:rsidR="00984533" w:rsidRPr="004151FA"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4151FA">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4151FA">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2A7A36" w:rsidRDefault="00EF3AAC" w:rsidP="00BF00BE">
            <w:pPr>
              <w:autoSpaceDE w:val="0"/>
              <w:autoSpaceDN w:val="0"/>
              <w:adjustRightInd w:val="0"/>
              <w:spacing w:after="0" w:line="240" w:lineRule="auto"/>
              <w:jc w:val="both"/>
            </w:pPr>
            <w:r>
              <w:t>Zgodnie z Wytycznymi w zakresie zagadnień związanych z przygotowaniem projektów inwestycyjnych, w tym projektów generujących dochód i projektów hybrydowych na lata 2014-2020 – luka finansowa.</w:t>
            </w:r>
          </w:p>
          <w:p w:rsidR="002A7A36" w:rsidRPr="00151119" w:rsidRDefault="002A7A36" w:rsidP="00502178">
            <w:pPr>
              <w:autoSpaceDE w:val="0"/>
              <w:autoSpaceDN w:val="0"/>
              <w:adjustRightInd w:val="0"/>
              <w:spacing w:after="0" w:line="240" w:lineRule="auto"/>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040467">
            <w:pPr>
              <w:pStyle w:val="Default"/>
              <w:jc w:val="both"/>
              <w:rPr>
                <w:sz w:val="22"/>
                <w:szCs w:val="22"/>
              </w:rPr>
            </w:pPr>
            <w:r>
              <w:rPr>
                <w:sz w:val="22"/>
                <w:szCs w:val="22"/>
              </w:rPr>
              <w:t>P</w:t>
            </w:r>
            <w:r w:rsidRPr="001741B3">
              <w:rPr>
                <w:sz w:val="22"/>
                <w:szCs w:val="22"/>
              </w:rPr>
              <w:t>oziom dofinansowania UE na poziomie projektu wynosi</w:t>
            </w:r>
            <w:r w:rsidR="00373A48">
              <w:rPr>
                <w:sz w:val="22"/>
                <w:szCs w:val="22"/>
              </w:rPr>
              <w:t xml:space="preserve"> </w:t>
            </w:r>
            <w:r w:rsidRPr="001741B3">
              <w:rPr>
                <w:sz w:val="22"/>
                <w:szCs w:val="22"/>
              </w:rPr>
              <w:t xml:space="preserve">85% kosztów kwalifikowalnych </w:t>
            </w:r>
          </w:p>
          <w:p w:rsidR="004151FA" w:rsidRPr="004151FA" w:rsidRDefault="004151FA" w:rsidP="004151FA">
            <w:pPr>
              <w:suppressAutoHyphens/>
              <w:spacing w:after="0" w:line="240" w:lineRule="auto"/>
              <w:jc w:val="both"/>
              <w:rPr>
                <w:rFonts w:ascii="Calibri" w:eastAsia="Droid Sans Fallback" w:hAnsi="Calibri" w:cs="Calibri"/>
                <w:color w:val="00000A"/>
                <w:highlight w:val="yellow"/>
              </w:rPr>
            </w:pPr>
          </w:p>
          <w:p w:rsidR="00E92452" w:rsidRPr="00AB5956" w:rsidRDefault="00E92452" w:rsidP="00151FB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040467">
            <w:pPr>
              <w:pStyle w:val="Default"/>
              <w:jc w:val="both"/>
              <w:rPr>
                <w:sz w:val="22"/>
                <w:szCs w:val="22"/>
              </w:rPr>
            </w:pPr>
            <w:r>
              <w:rPr>
                <w:sz w:val="22"/>
                <w:szCs w:val="22"/>
              </w:rPr>
              <w:t>Minimalny wkład własny beneficjenta na poziomie projektu wynosi</w:t>
            </w:r>
            <w:r w:rsidR="00D62E9D">
              <w:rPr>
                <w:sz w:val="22"/>
                <w:szCs w:val="22"/>
              </w:rPr>
              <w:t xml:space="preserve"> </w:t>
            </w:r>
            <w:r>
              <w:rPr>
                <w:sz w:val="22"/>
                <w:szCs w:val="22"/>
              </w:rPr>
              <w:t>15%</w:t>
            </w:r>
          </w:p>
          <w:p w:rsidR="002A7A36" w:rsidRDefault="002A7A36" w:rsidP="004151FA">
            <w:pPr>
              <w:autoSpaceDE w:val="0"/>
              <w:autoSpaceDN w:val="0"/>
              <w:adjustRightInd w:val="0"/>
              <w:spacing w:line="240" w:lineRule="auto"/>
              <w:jc w:val="both"/>
              <w:rPr>
                <w:rFonts w:cs="Calibri"/>
                <w:color w:val="000000"/>
              </w:rPr>
            </w:pPr>
          </w:p>
          <w:p w:rsidR="00984533" w:rsidRPr="002B7A29" w:rsidRDefault="00984533" w:rsidP="00480411">
            <w:pPr>
              <w:autoSpaceDE w:val="0"/>
              <w:autoSpaceDN w:val="0"/>
              <w:adjustRightInd w:val="0"/>
              <w:spacing w:line="240" w:lineRule="auto"/>
              <w:jc w:val="both"/>
              <w:rPr>
                <w:rFonts w:cs="Calibri"/>
                <w:color w:val="000000"/>
              </w:rPr>
            </w:pP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C95C5F" w:rsidRDefault="00A41980" w:rsidP="00E75A4F">
            <w:pPr>
              <w:spacing w:before="120" w:line="240" w:lineRule="auto"/>
              <w:ind w:left="33" w:hanging="33"/>
              <w:jc w:val="both"/>
              <w:rPr>
                <w:rFonts w:cs="Calibri"/>
              </w:rPr>
            </w:pPr>
            <w:r w:rsidRPr="00C95C5F">
              <w:rPr>
                <w:rFonts w:cs="Calibri"/>
              </w:rPr>
              <w:t>Konkurs jest po</w:t>
            </w:r>
            <w:r w:rsidR="004151FA" w:rsidRPr="00C95C5F">
              <w:rPr>
                <w:rFonts w:cs="Calibri"/>
              </w:rPr>
              <w:t>stę</w:t>
            </w:r>
            <w:r w:rsidRPr="00C95C5F">
              <w:rPr>
                <w:rFonts w:cs="Calibri"/>
              </w:rPr>
              <w:t>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A41980" w:rsidRPr="00C95C5F"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 xml:space="preserve">Naboru wniosków o dofinansowanie czyli składania wniosków </w:t>
            </w:r>
            <w:r w:rsidRPr="00C95C5F">
              <w:rPr>
                <w:rFonts w:ascii="Calibri" w:hAnsi="Calibri" w:cs="Calibri"/>
                <w:color w:val="000000"/>
              </w:rPr>
              <w:br/>
              <w:t>o dofinasowanie – termin składania wniosków nie może być krótszy niż 7 dni licząc od dnia rozpoczęcia naboru wniosków o dofinansowanie projektów;</w:t>
            </w:r>
          </w:p>
          <w:p w:rsidR="00A41980" w:rsidRPr="00C95C5F"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Etapu weryfikacji technicznej, w trakcie której sprawdzeniu podlega:</w:t>
            </w:r>
          </w:p>
          <w:p w:rsidR="00CB791B" w:rsidRPr="00C95C5F" w:rsidRDefault="00A41980" w:rsidP="00BF00BE">
            <w:pPr>
              <w:autoSpaceDE w:val="0"/>
              <w:autoSpaceDN w:val="0"/>
              <w:adjustRightInd w:val="0"/>
              <w:spacing w:after="0" w:line="240" w:lineRule="auto"/>
              <w:ind w:left="1310"/>
              <w:jc w:val="both"/>
              <w:rPr>
                <w:rFonts w:ascii="Calibri" w:hAnsi="Calibri" w:cs="Calibri"/>
                <w:color w:val="000000"/>
              </w:rPr>
            </w:pPr>
            <w:r w:rsidRPr="00C95C5F">
              <w:rPr>
                <w:rFonts w:ascii="Calibri" w:hAnsi="Calibri" w:cs="Calibri"/>
                <w:color w:val="000000"/>
              </w:rPr>
              <w:t xml:space="preserve"> - kompletność wypełnienia formularza wniosku (</w:t>
            </w:r>
            <w:r w:rsidR="0087288E">
              <w:rPr>
                <w:rFonts w:ascii="Calibri" w:hAnsi="Calibri" w:cs="Calibri"/>
                <w:color w:val="000000"/>
              </w:rPr>
              <w:t xml:space="preserve">czy formularz zawiera wszystkie wymagane strony oraz </w:t>
            </w:r>
            <w:r w:rsidRPr="00C95C5F">
              <w:rPr>
                <w:rFonts w:ascii="Calibri" w:hAnsi="Calibri" w:cs="Calibri"/>
                <w:color w:val="000000"/>
              </w:rPr>
              <w:t>czy wymagane pola zostały wypełnione),</w:t>
            </w:r>
          </w:p>
          <w:p w:rsidR="00543FC5" w:rsidRDefault="00A41980" w:rsidP="00543FC5">
            <w:pPr>
              <w:autoSpaceDE w:val="0"/>
              <w:autoSpaceDN w:val="0"/>
              <w:adjustRightInd w:val="0"/>
              <w:spacing w:after="0" w:line="240" w:lineRule="auto"/>
              <w:ind w:left="1310"/>
              <w:jc w:val="both"/>
              <w:rPr>
                <w:rFonts w:ascii="Calibri" w:hAnsi="Calibri" w:cs="Calibri"/>
                <w:color w:val="000000"/>
              </w:rPr>
            </w:pPr>
            <w:r w:rsidRPr="00C95C5F">
              <w:rPr>
                <w:rFonts w:ascii="Calibri" w:hAnsi="Calibri" w:cs="Calibri"/>
                <w:color w:val="000000"/>
              </w:rPr>
              <w:t>- kompletność załączników (czy wszystkie załączniki zostały załączone),</w:t>
            </w:r>
          </w:p>
          <w:p w:rsidR="00CB791B" w:rsidRPr="00C95C5F" w:rsidRDefault="00A84137" w:rsidP="00543FC5">
            <w:pPr>
              <w:autoSpaceDE w:val="0"/>
              <w:autoSpaceDN w:val="0"/>
              <w:adjustRightInd w:val="0"/>
              <w:spacing w:after="0" w:line="240" w:lineRule="auto"/>
              <w:ind w:left="1310"/>
              <w:jc w:val="both"/>
              <w:rPr>
                <w:rFonts w:ascii="Calibri" w:hAnsi="Calibri" w:cs="Calibri"/>
                <w:color w:val="000000"/>
              </w:rPr>
            </w:pPr>
            <w:r w:rsidRPr="00543FC5">
              <w:rPr>
                <w:rFonts w:ascii="Calibri" w:hAnsi="Calibri" w:cs="Calibri"/>
                <w:color w:val="000000"/>
              </w:rPr>
              <w:t xml:space="preserve">- </w:t>
            </w:r>
            <w:r w:rsidR="00543FC5" w:rsidRPr="00543FC5">
              <w:t>czytelność załączonych skanów,</w:t>
            </w:r>
          </w:p>
          <w:p w:rsidR="00153A52" w:rsidRDefault="00A41980" w:rsidP="00BF00BE">
            <w:pPr>
              <w:autoSpaceDE w:val="0"/>
              <w:autoSpaceDN w:val="0"/>
              <w:adjustRightInd w:val="0"/>
              <w:spacing w:after="0" w:line="240" w:lineRule="auto"/>
              <w:ind w:left="1310"/>
              <w:jc w:val="both"/>
              <w:rPr>
                <w:rFonts w:ascii="Calibri" w:hAnsi="Calibri" w:cs="Calibri"/>
                <w:color w:val="000000"/>
              </w:rPr>
            </w:pPr>
            <w:r w:rsidRPr="00C95C5F">
              <w:rPr>
                <w:rFonts w:ascii="Calibri" w:hAnsi="Calibri" w:cs="Calibri"/>
                <w:color w:val="000000"/>
              </w:rPr>
              <w:t>- kompletność podpisów i pieczęci</w:t>
            </w:r>
            <w:r w:rsidR="001248C7">
              <w:rPr>
                <w:rFonts w:ascii="Calibri" w:hAnsi="Calibri" w:cs="Calibri"/>
                <w:color w:val="000000"/>
              </w:rPr>
              <w:t>,</w:t>
            </w:r>
          </w:p>
          <w:p w:rsidR="00153A52" w:rsidRPr="00153A52" w:rsidRDefault="00153A52" w:rsidP="00153A52">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w:t>
            </w:r>
            <w:r>
              <w:t xml:space="preserve"> </w:t>
            </w:r>
            <w:r w:rsidRPr="00153A52">
              <w:rPr>
                <w:rFonts w:ascii="Calibri" w:hAnsi="Calibri" w:cs="Calibri"/>
                <w:color w:val="000000"/>
              </w:rPr>
              <w:t>zgodność sumy kontrolnej w wersji papierowej i elektronicznej</w:t>
            </w:r>
            <w:r w:rsidR="009A31F4">
              <w:rPr>
                <w:rFonts w:ascii="Calibri" w:hAnsi="Calibri" w:cs="Calibri"/>
                <w:color w:val="000000"/>
              </w:rPr>
              <w:t>.</w:t>
            </w:r>
          </w:p>
          <w:p w:rsidR="00CB791B" w:rsidRPr="00C95C5F" w:rsidRDefault="00CB791B" w:rsidP="00BF00BE">
            <w:pPr>
              <w:autoSpaceDE w:val="0"/>
              <w:autoSpaceDN w:val="0"/>
              <w:adjustRightInd w:val="0"/>
              <w:spacing w:after="0" w:line="240" w:lineRule="auto"/>
              <w:ind w:left="1310"/>
              <w:jc w:val="both"/>
              <w:rPr>
                <w:rFonts w:ascii="Calibri" w:hAnsi="Calibri" w:cs="Calibri"/>
                <w:color w:val="000000"/>
              </w:rPr>
            </w:pPr>
          </w:p>
          <w:p w:rsidR="002965D5" w:rsidRPr="00C95C5F" w:rsidRDefault="00BB6BFC" w:rsidP="002965D5">
            <w:p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w:t>
            </w:r>
            <w:r w:rsidR="002965D5" w:rsidRPr="00C95C5F">
              <w:rPr>
                <w:rFonts w:ascii="Calibri" w:hAnsi="Calibri" w:cs="Calibri"/>
                <w:color w:val="000000"/>
              </w:rPr>
              <w:t>W</w:t>
            </w:r>
            <w:r w:rsidR="00A41980" w:rsidRPr="00C95C5F">
              <w:rPr>
                <w:rFonts w:ascii="Calibri" w:hAnsi="Calibri" w:cs="Calibri"/>
                <w:color w:val="000000"/>
              </w:rPr>
              <w:t>eryfikacja techniczna ni</w:t>
            </w:r>
            <w:r w:rsidR="002965D5" w:rsidRPr="00C95C5F">
              <w:rPr>
                <w:rFonts w:ascii="Calibri" w:hAnsi="Calibri" w:cs="Calibri"/>
                <w:color w:val="000000"/>
              </w:rPr>
              <w:t>e stanowi etapu oceny wniosków. Zgodnie z art.43 ust. 1 w przypadku stwierdzenia we wniosku o dofinansowanie braków formalnych lub oczywistych omyłek IOK wzywa wnioskodawcę do uzupełnienia wniosku lub poprawienia w nim omyłki</w:t>
            </w:r>
            <w:r w:rsidRPr="00C95C5F">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p>
          <w:p w:rsidR="00A41980" w:rsidRPr="00C95C5F" w:rsidRDefault="009A7256" w:rsidP="002965D5">
            <w:p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 xml:space="preserve">Weryfikacja techniczna </w:t>
            </w:r>
            <w:r w:rsidR="00A41980" w:rsidRPr="00C95C5F">
              <w:rPr>
                <w:rFonts w:ascii="Calibri" w:hAnsi="Calibri" w:cs="Calibri"/>
                <w:color w:val="000000"/>
              </w:rPr>
              <w:t>trwa 7</w:t>
            </w:r>
            <w:r w:rsidR="002965D5" w:rsidRPr="00C95C5F">
              <w:rPr>
                <w:rFonts w:ascii="Calibri" w:hAnsi="Calibri" w:cs="Calibri"/>
                <w:color w:val="000000"/>
              </w:rPr>
              <w:t xml:space="preserve"> dni od dnia zakończenia naboru.</w:t>
            </w:r>
            <w:r w:rsidR="00BB6BFC" w:rsidRPr="00C95C5F">
              <w:rPr>
                <w:rFonts w:ascii="Calibri" w:hAnsi="Calibri" w:cs="Calibri"/>
                <w:color w:val="000000"/>
              </w:rPr>
              <w:t>);</w:t>
            </w:r>
          </w:p>
          <w:p w:rsidR="00A41980" w:rsidRPr="00C95C5F" w:rsidRDefault="00A41980" w:rsidP="00E75A4F">
            <w:pPr>
              <w:pStyle w:val="Akapitzlist"/>
              <w:numPr>
                <w:ilvl w:val="0"/>
                <w:numId w:val="28"/>
              </w:numPr>
              <w:autoSpaceDE w:val="0"/>
              <w:autoSpaceDN w:val="0"/>
              <w:adjustRightInd w:val="0"/>
              <w:spacing w:after="120" w:line="240" w:lineRule="auto"/>
              <w:jc w:val="both"/>
              <w:rPr>
                <w:rFonts w:ascii="Calibri" w:hAnsi="Calibri" w:cs="Calibri"/>
                <w:color w:val="000000"/>
              </w:rPr>
            </w:pPr>
            <w:r w:rsidRPr="00C95C5F">
              <w:rPr>
                <w:rFonts w:ascii="Calibri" w:hAnsi="Calibri" w:cs="Calibri"/>
                <w:color w:val="000000"/>
              </w:rPr>
              <w:t xml:space="preserve">I-go Etapu oceny – ocena formalna (obligatoryjna) - dokonywana przez 2 pracowników IOK; </w:t>
            </w:r>
          </w:p>
          <w:p w:rsidR="00A41980" w:rsidRPr="00C95C5F" w:rsidRDefault="00A41980" w:rsidP="009A7256">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C95C5F">
              <w:rPr>
                <w:rFonts w:ascii="Calibri" w:hAnsi="Calibri" w:cs="Calibri"/>
                <w:color w:val="000000"/>
              </w:rPr>
              <w:t xml:space="preserve">I etap oceny formalnej (ocena kryteriów formalnych </w:t>
            </w:r>
            <w:r w:rsidR="009A7256" w:rsidRPr="00C95C5F">
              <w:rPr>
                <w:rFonts w:ascii="Calibri" w:hAnsi="Calibri" w:cs="Calibri"/>
                <w:color w:val="000000"/>
              </w:rPr>
              <w:t xml:space="preserve">ogólnych i specyficznych </w:t>
            </w:r>
            <w:r w:rsidR="00B5754A" w:rsidRPr="00C95C5F">
              <w:rPr>
                <w:rFonts w:ascii="Calibri" w:hAnsi="Calibri" w:cs="Calibri"/>
                <w:color w:val="000000"/>
              </w:rPr>
              <w:t>przy których zaznaczono brak możliwości korekty</w:t>
            </w:r>
            <w:r w:rsidR="00B5754A" w:rsidRPr="00C95C5F" w:rsidDel="00B5754A">
              <w:rPr>
                <w:rFonts w:ascii="Calibri" w:hAnsi="Calibri" w:cs="Calibri"/>
                <w:color w:val="000000"/>
              </w:rPr>
              <w:t xml:space="preserve"> </w:t>
            </w:r>
            <w:r w:rsidRPr="00C95C5F">
              <w:rPr>
                <w:rFonts w:ascii="Calibri" w:hAnsi="Calibri" w:cs="Calibri"/>
                <w:color w:val="000000"/>
              </w:rPr>
              <w:t>– jeśli dotyczą naboru) – do 10 dni;</w:t>
            </w:r>
          </w:p>
          <w:p w:rsidR="00A41980" w:rsidRPr="00C95C5F"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C95C5F">
              <w:rPr>
                <w:rFonts w:ascii="Calibri" w:hAnsi="Calibri" w:cs="Calibri"/>
                <w:color w:val="000000"/>
              </w:rPr>
              <w:t xml:space="preserve">II etap oceny formalnej (ocena kryteriów formalnych ogólnych i specyficznych </w:t>
            </w:r>
            <w:r w:rsidR="00B5754A" w:rsidRPr="00C95C5F">
              <w:rPr>
                <w:rFonts w:ascii="Calibri" w:hAnsi="Calibri" w:cs="Calibri"/>
                <w:color w:val="000000"/>
              </w:rPr>
              <w:t xml:space="preserve">przy których zaznaczono możliwość korekty </w:t>
            </w:r>
            <w:r w:rsidRPr="00C95C5F">
              <w:rPr>
                <w:rFonts w:ascii="Calibri" w:hAnsi="Calibri" w:cs="Calibri"/>
                <w:color w:val="000000"/>
              </w:rPr>
              <w:t>– jeśli dotyczą naboru) - do 10 dni;</w:t>
            </w:r>
          </w:p>
          <w:p w:rsidR="00A41980" w:rsidRPr="00C95C5F" w:rsidRDefault="00A41980" w:rsidP="00E75A4F">
            <w:pPr>
              <w:pStyle w:val="Akapitzlist"/>
              <w:numPr>
                <w:ilvl w:val="0"/>
                <w:numId w:val="28"/>
              </w:numPr>
              <w:autoSpaceDE w:val="0"/>
              <w:autoSpaceDN w:val="0"/>
              <w:adjustRightInd w:val="0"/>
              <w:spacing w:before="0" w:after="120" w:line="240" w:lineRule="auto"/>
              <w:jc w:val="both"/>
              <w:rPr>
                <w:rFonts w:ascii="Calibri" w:hAnsi="Calibri" w:cs="Calibri"/>
                <w:color w:val="000000"/>
              </w:rPr>
            </w:pPr>
            <w:r w:rsidRPr="00C95C5F">
              <w:rPr>
                <w:rFonts w:ascii="Calibri" w:hAnsi="Calibri" w:cs="Calibri"/>
                <w:color w:val="000000"/>
              </w:rPr>
              <w:t xml:space="preserve"> II-go Etapu oceny – ocena merytoryczna (obligatoryjna</w:t>
            </w:r>
            <w:r w:rsidR="00B5754A" w:rsidRPr="00C95C5F">
              <w:rPr>
                <w:rFonts w:ascii="Calibri" w:hAnsi="Calibri" w:cs="Calibri"/>
                <w:color w:val="000000"/>
              </w:rPr>
              <w:t xml:space="preserve"> i fakultatywna</w:t>
            </w:r>
            <w:r w:rsidRPr="00C95C5F">
              <w:rPr>
                <w:rFonts w:ascii="Calibri" w:hAnsi="Calibri" w:cs="Calibri"/>
                <w:color w:val="000000"/>
              </w:rPr>
              <w:t xml:space="preserve">): </w:t>
            </w:r>
          </w:p>
          <w:p w:rsidR="00A41980" w:rsidRPr="00C95C5F"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C95C5F">
              <w:rPr>
                <w:rFonts w:ascii="Calibri" w:hAnsi="Calibri" w:cs="Calibri"/>
                <w:color w:val="000000"/>
              </w:rPr>
              <w:t>•</w:t>
            </w:r>
            <w:r w:rsidRPr="00C95C5F">
              <w:rPr>
                <w:rFonts w:ascii="Calibri" w:hAnsi="Calibri" w:cs="Calibri"/>
                <w:color w:val="000000"/>
              </w:rPr>
              <w:tab/>
              <w:t>I sekcja: ocena ekonomiczno – finansowa</w:t>
            </w:r>
            <w:r w:rsidR="003B4611" w:rsidRPr="00C95C5F">
              <w:rPr>
                <w:rFonts w:ascii="Calibri" w:hAnsi="Calibri" w:cs="Calibri"/>
                <w:color w:val="000000"/>
              </w:rPr>
              <w:t>, ogólna</w:t>
            </w:r>
            <w:r w:rsidRPr="00C95C5F">
              <w:rPr>
                <w:rFonts w:ascii="Calibri" w:hAnsi="Calibri" w:cs="Calibri"/>
                <w:color w:val="000000"/>
              </w:rPr>
              <w:t xml:space="preserve"> oraz dziedzinowa (w tym OOŚ) dokonywana przez 2 ekspertów z dziedziny „Analiza finansowo-ekonomiczna” oraz 2 ekspertów z dziedziny „</w:t>
            </w:r>
            <w:r w:rsidR="004F1892" w:rsidRPr="00C95C5F">
              <w:rPr>
                <w:rFonts w:ascii="Calibri" w:hAnsi="Calibri" w:cs="Calibri"/>
                <w:color w:val="000000"/>
              </w:rPr>
              <w:t>Infrastruktura edukacyjna</w:t>
            </w:r>
            <w:r w:rsidRPr="00C95C5F">
              <w:rPr>
                <w:rFonts w:ascii="Calibri" w:hAnsi="Calibri" w:cs="Calibri"/>
                <w:color w:val="000000"/>
              </w:rPr>
              <w:t xml:space="preserve">” do 40 dni od momentu zakończenia oceny formalnej; </w:t>
            </w:r>
          </w:p>
          <w:p w:rsidR="00A41980" w:rsidRPr="00C95C5F"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C95C5F">
              <w:rPr>
                <w:rFonts w:ascii="Calibri" w:hAnsi="Calibri" w:cs="Calibri"/>
                <w:color w:val="000000"/>
              </w:rPr>
              <w:t>•</w:t>
            </w:r>
            <w:r w:rsidRPr="00C95C5F">
              <w:rPr>
                <w:rFonts w:ascii="Calibri" w:hAnsi="Calibri" w:cs="Calibri"/>
                <w:color w:val="000000"/>
              </w:rPr>
              <w:tab/>
              <w:t xml:space="preserve">II sekcja: ocena </w:t>
            </w:r>
            <w:r w:rsidR="00032C8C" w:rsidRPr="00C95C5F">
              <w:t xml:space="preserve"> </w:t>
            </w:r>
            <w:r w:rsidR="00032C8C" w:rsidRPr="00C95C5F">
              <w:rPr>
                <w:rFonts w:ascii="Calibri" w:hAnsi="Calibri" w:cs="Calibri"/>
                <w:color w:val="000000"/>
              </w:rPr>
              <w:t xml:space="preserve">wpływu projektów na realizację Strategii Rozwoju Województwa Dolnośląskiego 2020 </w:t>
            </w:r>
            <w:r w:rsidRPr="00C95C5F">
              <w:rPr>
                <w:rFonts w:ascii="Calibri" w:hAnsi="Calibri" w:cs="Calibri"/>
                <w:color w:val="000000"/>
              </w:rPr>
              <w:t xml:space="preserve">”– panel, porównanie projektów - do 20 dni od momentu zakończenia sekcji I; </w:t>
            </w:r>
          </w:p>
          <w:p w:rsidR="00A41980" w:rsidRPr="00C95C5F" w:rsidRDefault="00A41980" w:rsidP="00E75A4F">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sidRPr="00C95C5F">
              <w:rPr>
                <w:rFonts w:ascii="Calibri" w:hAnsi="Calibri" w:cs="Calibri"/>
                <w:color w:val="000000"/>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C95C5F">
              <w:rPr>
                <w:rFonts w:ascii="Calibri" w:hAnsi="Calibri" w:cs="Calibri"/>
                <w:color w:val="000000"/>
              </w:rPr>
              <w:br/>
              <w:t xml:space="preserve">z wyróżnieniem projektów wybranych do dofinansowania zamieszczana jest na stronie internetowej </w:t>
            </w:r>
            <w:hyperlink r:id="rId12" w:history="1">
              <w:r w:rsidRPr="00C95C5F">
                <w:rPr>
                  <w:rStyle w:val="Hipercze"/>
                  <w:rFonts w:ascii="Calibri" w:hAnsi="Calibri" w:cs="Calibri"/>
                </w:rPr>
                <w:t>www.rpo.dolnyslask.pl</w:t>
              </w:r>
            </w:hyperlink>
            <w:r w:rsidRPr="00C95C5F">
              <w:rPr>
                <w:rFonts w:ascii="Calibri" w:hAnsi="Calibri" w:cs="Calibri"/>
                <w:color w:val="000000"/>
              </w:rPr>
              <w:t xml:space="preserve"> oraz </w:t>
            </w:r>
            <w:hyperlink r:id="rId13" w:history="1">
              <w:r w:rsidRPr="00C95C5F">
                <w:rPr>
                  <w:rStyle w:val="Hipercze"/>
                  <w:rFonts w:ascii="Calibri" w:hAnsi="Calibri" w:cs="Calibri"/>
                </w:rPr>
                <w:t>www.funduszeeuropejskie.gov.pl</w:t>
              </w:r>
            </w:hyperlink>
            <w:r w:rsidRPr="00C95C5F">
              <w:rPr>
                <w:rFonts w:ascii="Calibri" w:hAnsi="Calibri" w:cs="Calibri"/>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w:t>
            </w:r>
            <w:r w:rsidRPr="00151119">
              <w:rPr>
                <w:rFonts w:asciiTheme="minorHAnsi" w:hAnsiTheme="minorHAnsi"/>
                <w:b/>
                <w:bCs/>
                <w:sz w:val="22"/>
                <w:szCs w:val="22"/>
              </w:rPr>
              <w:lastRenderedPageBreak/>
              <w:t xml:space="preserve">projektu: </w:t>
            </w:r>
          </w:p>
          <w:p w:rsidR="00984533" w:rsidRPr="00151119" w:rsidRDefault="00984533" w:rsidP="00480411">
            <w:pPr>
              <w:pStyle w:val="Default"/>
              <w:rPr>
                <w:rFonts w:asciiTheme="minorHAnsi" w:hAnsiTheme="minorHAnsi"/>
                <w:b/>
                <w:bCs/>
                <w:sz w:val="22"/>
                <w:szCs w:val="22"/>
              </w:rPr>
            </w:pPr>
          </w:p>
        </w:tc>
        <w:tc>
          <w:tcPr>
            <w:tcW w:w="7494" w:type="dxa"/>
          </w:tcPr>
          <w:p w:rsidR="00C239C7" w:rsidRPr="00993C49" w:rsidRDefault="00C239C7" w:rsidP="00C239C7">
            <w:pPr>
              <w:pStyle w:val="xl33"/>
              <w:spacing w:after="0"/>
              <w:jc w:val="both"/>
              <w:rPr>
                <w:rFonts w:asciiTheme="minorHAnsi" w:hAnsiTheme="minorHAnsi" w:cs="Arial"/>
                <w:sz w:val="22"/>
                <w:szCs w:val="22"/>
              </w:rPr>
            </w:pPr>
            <w:r w:rsidRPr="00993C49">
              <w:rPr>
                <w:rFonts w:asciiTheme="minorHAnsi" w:hAnsiTheme="minorHAnsi" w:cs="Arial"/>
                <w:sz w:val="22"/>
                <w:szCs w:val="22"/>
              </w:rPr>
              <w:lastRenderedPageBreak/>
              <w:t xml:space="preserve">Wnioskodawca wypełnia wniosek o dofinansowanie za pośrednictwem aplikacji – generator wniosków o dofinansowanie EFRR – dostępny na stronie snow-umwd.dolnyslask.pl i przesyła do IOK w ramach niniejszego konkursu w terminie </w:t>
            </w:r>
            <w:r>
              <w:rPr>
                <w:rFonts w:asciiTheme="minorHAnsi" w:hAnsiTheme="minorHAnsi" w:cs="Arial"/>
                <w:b/>
                <w:sz w:val="22"/>
                <w:szCs w:val="22"/>
              </w:rPr>
              <w:t xml:space="preserve">od godz. 8.00 dnia </w:t>
            </w:r>
            <w:r w:rsidR="006232D0">
              <w:rPr>
                <w:rFonts w:asciiTheme="minorHAnsi" w:hAnsiTheme="minorHAnsi" w:cs="Arial"/>
                <w:b/>
                <w:sz w:val="22"/>
                <w:szCs w:val="22"/>
              </w:rPr>
              <w:t>6</w:t>
            </w:r>
            <w:r>
              <w:rPr>
                <w:rFonts w:asciiTheme="minorHAnsi" w:hAnsiTheme="minorHAnsi" w:cs="Arial"/>
                <w:b/>
                <w:sz w:val="22"/>
                <w:szCs w:val="22"/>
              </w:rPr>
              <w:t xml:space="preserve"> </w:t>
            </w:r>
            <w:r w:rsidRPr="00891C44">
              <w:rPr>
                <w:rFonts w:asciiTheme="minorHAnsi" w:hAnsiTheme="minorHAnsi" w:cs="Arial"/>
                <w:b/>
                <w:sz w:val="22"/>
                <w:szCs w:val="22"/>
              </w:rPr>
              <w:t>maja 2016 r.</w:t>
            </w:r>
            <w:r>
              <w:rPr>
                <w:rFonts w:asciiTheme="minorHAnsi" w:hAnsiTheme="minorHAnsi" w:cs="Arial"/>
                <w:b/>
                <w:sz w:val="22"/>
                <w:szCs w:val="22"/>
              </w:rPr>
              <w:t xml:space="preserve"> do godz. 15.00 dnia 24 czerwca</w:t>
            </w:r>
            <w:r w:rsidRPr="00891C44">
              <w:rPr>
                <w:rFonts w:asciiTheme="minorHAnsi" w:hAnsiTheme="minorHAnsi" w:cs="Arial"/>
                <w:b/>
                <w:sz w:val="22"/>
                <w:szCs w:val="22"/>
              </w:rPr>
              <w:t xml:space="preserve">  2016 r.</w:t>
            </w:r>
            <w:r w:rsidRPr="00993C49">
              <w:rPr>
                <w:rFonts w:asciiTheme="minorHAnsi" w:hAnsiTheme="minorHAnsi" w:cs="Arial"/>
                <w:sz w:val="22"/>
                <w:szCs w:val="22"/>
              </w:rPr>
              <w:t xml:space="preserve">  </w:t>
            </w:r>
          </w:p>
          <w:p w:rsidR="00C239C7" w:rsidRPr="00993C49" w:rsidRDefault="00C239C7" w:rsidP="00C239C7">
            <w:pPr>
              <w:pStyle w:val="xl33"/>
              <w:spacing w:after="0"/>
              <w:jc w:val="both"/>
              <w:rPr>
                <w:rFonts w:asciiTheme="minorHAnsi" w:hAnsiTheme="minorHAnsi" w:cs="Arial"/>
                <w:sz w:val="22"/>
                <w:szCs w:val="22"/>
              </w:rPr>
            </w:pPr>
            <w:r w:rsidRPr="00993C49">
              <w:rPr>
                <w:rFonts w:asciiTheme="minorHAnsi" w:hAnsiTheme="minorHAnsi" w:cs="Arial"/>
                <w:sz w:val="22"/>
                <w:szCs w:val="22"/>
              </w:rPr>
              <w:lastRenderedPageBreak/>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rsidR="00C239C7" w:rsidRPr="00993C49" w:rsidRDefault="00C239C7" w:rsidP="00C239C7">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Ponadto 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 terminie </w:t>
            </w:r>
            <w:r w:rsidRPr="00891C44">
              <w:rPr>
                <w:rFonts w:asciiTheme="minorHAnsi" w:hAnsiTheme="minorHAnsi" w:cs="Arial"/>
                <w:b/>
                <w:sz w:val="22"/>
                <w:szCs w:val="22"/>
              </w:rPr>
              <w:t xml:space="preserve">do godz. 15.00 dnia </w:t>
            </w:r>
            <w:r>
              <w:rPr>
                <w:rFonts w:asciiTheme="minorHAnsi" w:hAnsiTheme="minorHAnsi" w:cs="Arial"/>
                <w:b/>
                <w:sz w:val="22"/>
                <w:szCs w:val="22"/>
              </w:rPr>
              <w:t>24 czerwca</w:t>
            </w:r>
            <w:r w:rsidRPr="00891C44">
              <w:rPr>
                <w:rFonts w:asciiTheme="minorHAnsi" w:hAnsiTheme="minorHAnsi" w:cs="Arial"/>
                <w:b/>
                <w:sz w:val="22"/>
                <w:szCs w:val="22"/>
              </w:rPr>
              <w:t xml:space="preserve">  2016 r.</w:t>
            </w:r>
            <w:r w:rsidRPr="00993C49">
              <w:rPr>
                <w:rFonts w:asciiTheme="minorHAnsi" w:hAnsiTheme="minorHAnsi" w:cs="Arial"/>
                <w:sz w:val="22"/>
                <w:szCs w:val="22"/>
              </w:rPr>
              <w:t xml:space="preserve">  </w:t>
            </w:r>
            <w:r w:rsidRPr="00080F60">
              <w:rPr>
                <w:rFonts w:asciiTheme="minorHAnsi" w:hAnsiTheme="minorHAnsi" w:cs="Arial"/>
                <w:sz w:val="22"/>
                <w:szCs w:val="22"/>
              </w:rPr>
              <w:t xml:space="preserve">Jednocześnie, wymaganą analizę finansową (w postaci arkuszy kalkulacyjnych w formacie Excel z aktywnymi formułami) </w:t>
            </w:r>
            <w:r>
              <w:rPr>
                <w:rFonts w:asciiTheme="minorHAnsi" w:hAnsiTheme="minorHAnsi" w:cs="Arial"/>
                <w:sz w:val="22"/>
                <w:szCs w:val="22"/>
              </w:rPr>
              <w:t xml:space="preserve"> </w:t>
            </w:r>
            <w:r w:rsidRPr="00080F60">
              <w:rPr>
                <w:rFonts w:asciiTheme="minorHAnsi" w:hAnsiTheme="minorHAnsi" w:cs="Arial"/>
                <w:sz w:val="22"/>
                <w:szCs w:val="22"/>
              </w:rPr>
              <w:t>przedłożyć należy na nośniku CD.</w:t>
            </w:r>
          </w:p>
          <w:p w:rsidR="00C239C7" w:rsidRPr="00993C49" w:rsidRDefault="00C239C7" w:rsidP="00C239C7">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Za datę wpływu do IOK uznaje się datę wpływu wniosku w wersji papierowej. Papierowa wersja wniosku może zostać dostarczona: </w:t>
            </w:r>
          </w:p>
          <w:p w:rsidR="00C239C7" w:rsidRPr="00993C49" w:rsidRDefault="00C239C7" w:rsidP="00C239C7">
            <w:pPr>
              <w:pStyle w:val="xl33"/>
              <w:spacing w:after="0"/>
              <w:jc w:val="both"/>
              <w:rPr>
                <w:rFonts w:asciiTheme="minorHAnsi" w:hAnsiTheme="minorHAnsi" w:cs="Arial"/>
                <w:sz w:val="22"/>
                <w:szCs w:val="22"/>
              </w:rPr>
            </w:pPr>
            <w:r w:rsidRPr="00993C49">
              <w:rPr>
                <w:rFonts w:asciiTheme="minorHAnsi" w:hAnsiTheme="minorHAnsi" w:cs="Arial"/>
                <w:sz w:val="22"/>
                <w:szCs w:val="22"/>
              </w:rPr>
              <w:t>a) osobiście do kancelarii Departamentu Funduszy Europejskich mieszczącej się pod adresem:</w:t>
            </w:r>
          </w:p>
          <w:p w:rsidR="00C239C7" w:rsidRPr="00993C49" w:rsidRDefault="00C239C7" w:rsidP="00C239C7">
            <w:pPr>
              <w:pStyle w:val="xl33"/>
              <w:spacing w:after="0"/>
              <w:jc w:val="both"/>
              <w:rPr>
                <w:rFonts w:asciiTheme="minorHAnsi" w:hAnsiTheme="minorHAnsi" w:cs="Arial"/>
                <w:sz w:val="22"/>
                <w:szCs w:val="22"/>
              </w:rPr>
            </w:pPr>
            <w:r w:rsidRPr="00993C49">
              <w:rPr>
                <w:rFonts w:asciiTheme="minorHAnsi" w:hAnsiTheme="minorHAnsi" w:cs="Arial"/>
                <w:sz w:val="22"/>
                <w:szCs w:val="22"/>
              </w:rPr>
              <w:t>Urząd Marszałkowski Województwa Dolnośląskiego</w:t>
            </w:r>
          </w:p>
          <w:p w:rsidR="00C239C7" w:rsidRPr="00993C49" w:rsidRDefault="00C239C7" w:rsidP="00C239C7">
            <w:pPr>
              <w:pStyle w:val="xl33"/>
              <w:spacing w:after="0"/>
              <w:jc w:val="both"/>
              <w:rPr>
                <w:rFonts w:asciiTheme="minorHAnsi" w:hAnsiTheme="minorHAnsi" w:cs="Arial"/>
                <w:sz w:val="22"/>
                <w:szCs w:val="22"/>
              </w:rPr>
            </w:pPr>
            <w:r w:rsidRPr="00993C49">
              <w:rPr>
                <w:rFonts w:asciiTheme="minorHAnsi" w:hAnsiTheme="minorHAnsi" w:cs="Arial"/>
                <w:sz w:val="22"/>
                <w:szCs w:val="22"/>
              </w:rPr>
              <w:t>Departament Funduszy Europejskich</w:t>
            </w:r>
          </w:p>
          <w:p w:rsidR="00C239C7" w:rsidRPr="00993C49" w:rsidRDefault="00C239C7" w:rsidP="00C239C7">
            <w:pPr>
              <w:pStyle w:val="xl33"/>
              <w:spacing w:after="0"/>
              <w:jc w:val="both"/>
              <w:rPr>
                <w:rFonts w:asciiTheme="minorHAnsi" w:hAnsiTheme="minorHAnsi" w:cs="Arial"/>
                <w:sz w:val="22"/>
                <w:szCs w:val="22"/>
              </w:rPr>
            </w:pPr>
            <w:r w:rsidRPr="00993C49">
              <w:rPr>
                <w:rFonts w:asciiTheme="minorHAnsi" w:hAnsiTheme="minorHAnsi" w:cs="Arial"/>
                <w:sz w:val="22"/>
                <w:szCs w:val="22"/>
              </w:rPr>
              <w:t>ul. Mazowiecka 17</w:t>
            </w:r>
          </w:p>
          <w:p w:rsidR="00C239C7" w:rsidRPr="00993C49" w:rsidRDefault="00C239C7" w:rsidP="00C239C7">
            <w:pPr>
              <w:pStyle w:val="xl33"/>
              <w:spacing w:after="0"/>
              <w:jc w:val="both"/>
              <w:rPr>
                <w:rFonts w:asciiTheme="minorHAnsi" w:hAnsiTheme="minorHAnsi" w:cs="Arial"/>
                <w:sz w:val="22"/>
                <w:szCs w:val="22"/>
              </w:rPr>
            </w:pPr>
            <w:r w:rsidRPr="00993C49">
              <w:rPr>
                <w:rFonts w:asciiTheme="minorHAnsi" w:hAnsiTheme="minorHAnsi" w:cs="Arial"/>
                <w:sz w:val="22"/>
                <w:szCs w:val="22"/>
              </w:rPr>
              <w:t>50-412 Wrocław</w:t>
            </w:r>
          </w:p>
          <w:p w:rsidR="00C239C7" w:rsidRPr="00993C49" w:rsidRDefault="00C239C7" w:rsidP="00C239C7">
            <w:pPr>
              <w:pStyle w:val="xl33"/>
              <w:spacing w:after="0"/>
              <w:jc w:val="both"/>
              <w:rPr>
                <w:rFonts w:asciiTheme="minorHAnsi" w:hAnsiTheme="minorHAnsi" w:cs="Arial"/>
                <w:sz w:val="22"/>
                <w:szCs w:val="22"/>
              </w:rPr>
            </w:pPr>
            <w:r w:rsidRPr="00993C49">
              <w:rPr>
                <w:rFonts w:asciiTheme="minorHAnsi" w:hAnsiTheme="minorHAnsi" w:cs="Arial"/>
                <w:sz w:val="22"/>
                <w:szCs w:val="22"/>
              </w:rPr>
              <w:t>II piętro, pokój nr 2020</w:t>
            </w:r>
          </w:p>
          <w:p w:rsidR="00C239C7" w:rsidRPr="00993C49" w:rsidRDefault="00C239C7" w:rsidP="00C239C7">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b) kurierem lub pocztą na adres: </w:t>
            </w:r>
          </w:p>
          <w:p w:rsidR="00C239C7" w:rsidRPr="00993C49" w:rsidRDefault="00C239C7" w:rsidP="00C239C7">
            <w:pPr>
              <w:pStyle w:val="xl33"/>
              <w:spacing w:after="0"/>
              <w:jc w:val="both"/>
              <w:rPr>
                <w:rFonts w:asciiTheme="minorHAnsi" w:hAnsiTheme="minorHAnsi" w:cs="Arial"/>
                <w:sz w:val="22"/>
                <w:szCs w:val="22"/>
              </w:rPr>
            </w:pPr>
            <w:r w:rsidRPr="00993C49">
              <w:rPr>
                <w:rFonts w:asciiTheme="minorHAnsi" w:hAnsiTheme="minorHAnsi" w:cs="Arial"/>
                <w:sz w:val="22"/>
                <w:szCs w:val="22"/>
              </w:rPr>
              <w:t>Urząd Marszałkowski Województwa Dolnośląskiego</w:t>
            </w:r>
          </w:p>
          <w:p w:rsidR="00C239C7" w:rsidRPr="00993C49" w:rsidRDefault="00C239C7" w:rsidP="00C239C7">
            <w:pPr>
              <w:pStyle w:val="xl33"/>
              <w:spacing w:after="0"/>
              <w:jc w:val="both"/>
              <w:rPr>
                <w:rFonts w:asciiTheme="minorHAnsi" w:hAnsiTheme="minorHAnsi" w:cs="Arial"/>
                <w:sz w:val="22"/>
                <w:szCs w:val="22"/>
              </w:rPr>
            </w:pPr>
            <w:r w:rsidRPr="00993C49">
              <w:rPr>
                <w:rFonts w:asciiTheme="minorHAnsi" w:hAnsiTheme="minorHAnsi" w:cs="Arial"/>
                <w:sz w:val="22"/>
                <w:szCs w:val="22"/>
              </w:rPr>
              <w:t>Wydział Wdrażania EFRR</w:t>
            </w:r>
          </w:p>
          <w:p w:rsidR="00C239C7" w:rsidRPr="00993C49" w:rsidRDefault="00C239C7" w:rsidP="00C239C7">
            <w:pPr>
              <w:pStyle w:val="xl33"/>
              <w:spacing w:after="0"/>
              <w:jc w:val="both"/>
              <w:rPr>
                <w:rFonts w:asciiTheme="minorHAnsi" w:hAnsiTheme="minorHAnsi" w:cs="Arial"/>
                <w:sz w:val="22"/>
                <w:szCs w:val="22"/>
              </w:rPr>
            </w:pPr>
            <w:r w:rsidRPr="00993C49">
              <w:rPr>
                <w:rFonts w:asciiTheme="minorHAnsi" w:hAnsiTheme="minorHAnsi" w:cs="Arial"/>
                <w:sz w:val="22"/>
                <w:szCs w:val="22"/>
              </w:rPr>
              <w:t>ul. Mazowiecka 17</w:t>
            </w:r>
          </w:p>
          <w:p w:rsidR="00C239C7" w:rsidRPr="00993C49" w:rsidRDefault="00C239C7" w:rsidP="00C239C7">
            <w:pPr>
              <w:pStyle w:val="xl33"/>
              <w:spacing w:after="0"/>
              <w:jc w:val="both"/>
              <w:rPr>
                <w:rFonts w:asciiTheme="minorHAnsi" w:hAnsiTheme="minorHAnsi" w:cs="Arial"/>
                <w:sz w:val="22"/>
                <w:szCs w:val="22"/>
              </w:rPr>
            </w:pPr>
            <w:r w:rsidRPr="00993C49">
              <w:rPr>
                <w:rFonts w:asciiTheme="minorHAnsi" w:hAnsiTheme="minorHAnsi" w:cs="Arial"/>
                <w:sz w:val="22"/>
                <w:szCs w:val="22"/>
              </w:rPr>
              <w:t>50-412 Wrocław.</w:t>
            </w:r>
          </w:p>
          <w:p w:rsidR="00A66719" w:rsidRDefault="00A66719" w:rsidP="00A66719">
            <w:pPr>
              <w:pStyle w:val="xl33"/>
              <w:spacing w:after="0"/>
              <w:jc w:val="both"/>
              <w:rPr>
                <w:rFonts w:asciiTheme="minorHAnsi" w:hAnsiTheme="minorHAnsi"/>
                <w:sz w:val="22"/>
                <w:szCs w:val="22"/>
              </w:rPr>
            </w:pPr>
            <w:r>
              <w:rPr>
                <w:rFonts w:asciiTheme="minorHAnsi" w:hAnsiTheme="minorHAnsi"/>
                <w:sz w:val="22"/>
                <w:szCs w:val="22"/>
              </w:rPr>
              <w:t>Suma kontrolna wersji elektronicznej wniosku (w systemie) musi być identyczna z sumą kontrolną papierowej wersji wniosku.</w:t>
            </w:r>
          </w:p>
          <w:p w:rsidR="00C239C7" w:rsidRPr="00993C49" w:rsidRDefault="00C239C7" w:rsidP="00C239C7">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Wniosek wraz z załącznikami (jeśli dotyczy) należy złożyć w zamkniętej kopercie, której opis zawiera następujące informacje: </w:t>
            </w:r>
          </w:p>
          <w:p w:rsidR="00C239C7" w:rsidRPr="00993C49" w:rsidRDefault="00C239C7" w:rsidP="00C239C7">
            <w:pPr>
              <w:pStyle w:val="xl33"/>
              <w:spacing w:after="0"/>
              <w:jc w:val="both"/>
              <w:rPr>
                <w:rFonts w:asciiTheme="minorHAnsi" w:hAnsiTheme="minorHAnsi" w:cs="Arial"/>
                <w:sz w:val="22"/>
                <w:szCs w:val="22"/>
              </w:rPr>
            </w:pPr>
            <w:r w:rsidRPr="00993C49">
              <w:rPr>
                <w:rFonts w:asciiTheme="minorHAnsi" w:hAnsiTheme="minorHAnsi" w:cs="Arial"/>
                <w:sz w:val="22"/>
                <w:szCs w:val="22"/>
              </w:rPr>
              <w:t>- pełna nazwa Wnioskodawcy wraz z adresem</w:t>
            </w:r>
          </w:p>
          <w:p w:rsidR="00C239C7" w:rsidRPr="00993C49" w:rsidRDefault="00C239C7" w:rsidP="00C239C7">
            <w:pPr>
              <w:pStyle w:val="xl33"/>
              <w:spacing w:after="0"/>
              <w:jc w:val="both"/>
              <w:rPr>
                <w:rFonts w:asciiTheme="minorHAnsi" w:hAnsiTheme="minorHAnsi" w:cs="Arial"/>
                <w:sz w:val="22"/>
                <w:szCs w:val="22"/>
              </w:rPr>
            </w:pPr>
            <w:r w:rsidRPr="00993C49">
              <w:rPr>
                <w:rFonts w:asciiTheme="minorHAnsi" w:hAnsiTheme="minorHAnsi" w:cs="Arial"/>
                <w:sz w:val="22"/>
                <w:szCs w:val="22"/>
              </w:rPr>
              <w:t>- wniosek o dofinansowanie projektu w ramach naboru nr …………..</w:t>
            </w:r>
          </w:p>
          <w:p w:rsidR="00C239C7" w:rsidRPr="00993C49" w:rsidRDefault="00C239C7" w:rsidP="00C239C7">
            <w:pPr>
              <w:pStyle w:val="xl33"/>
              <w:spacing w:after="0"/>
              <w:jc w:val="both"/>
              <w:rPr>
                <w:rFonts w:asciiTheme="minorHAnsi" w:hAnsiTheme="minorHAnsi" w:cs="Arial"/>
                <w:sz w:val="22"/>
                <w:szCs w:val="22"/>
              </w:rPr>
            </w:pPr>
            <w:r w:rsidRPr="00993C49">
              <w:rPr>
                <w:rFonts w:asciiTheme="minorHAnsi" w:hAnsiTheme="minorHAnsi" w:cs="Arial"/>
                <w:sz w:val="22"/>
                <w:szCs w:val="22"/>
              </w:rPr>
              <w:t>- tytuł projektu</w:t>
            </w:r>
          </w:p>
          <w:p w:rsidR="00C239C7" w:rsidRPr="00993C49" w:rsidRDefault="00C239C7" w:rsidP="00C239C7">
            <w:pPr>
              <w:pStyle w:val="xl33"/>
              <w:spacing w:after="0"/>
              <w:jc w:val="both"/>
              <w:rPr>
                <w:rFonts w:asciiTheme="minorHAnsi" w:hAnsiTheme="minorHAnsi" w:cs="Arial"/>
                <w:sz w:val="22"/>
                <w:szCs w:val="22"/>
              </w:rPr>
            </w:pPr>
            <w:r w:rsidRPr="00993C49">
              <w:rPr>
                <w:rFonts w:asciiTheme="minorHAnsi" w:hAnsiTheme="minorHAnsi" w:cs="Arial"/>
                <w:sz w:val="22"/>
                <w:szCs w:val="22"/>
              </w:rPr>
              <w:t>- „Nie otwierać przed wpływem do Wydziału Wdrażania EFRR”.</w:t>
            </w:r>
          </w:p>
          <w:p w:rsidR="00C239C7" w:rsidRDefault="00C239C7" w:rsidP="00C239C7">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D86DFF" w:rsidRPr="00D86DFF" w:rsidRDefault="00D86DFF" w:rsidP="00C239C7">
            <w:pPr>
              <w:pStyle w:val="xl33"/>
              <w:spacing w:after="0"/>
              <w:jc w:val="both"/>
              <w:rPr>
                <w:rFonts w:asciiTheme="minorHAnsi" w:hAnsiTheme="minorHAnsi" w:cs="Arial"/>
                <w:sz w:val="22"/>
                <w:szCs w:val="22"/>
              </w:rPr>
            </w:pPr>
            <w:r w:rsidRPr="0097154E">
              <w:rPr>
                <w:rFonts w:asciiTheme="minorHAnsi" w:hAnsiTheme="minorHAnsi"/>
                <w:color w:val="FF0000"/>
                <w:sz w:val="22"/>
                <w:szCs w:val="22"/>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w:t>
            </w:r>
            <w:r w:rsidRPr="0097154E">
              <w:rPr>
                <w:rFonts w:asciiTheme="minorHAnsi" w:hAnsiTheme="minorHAnsi"/>
                <w:color w:val="FF0000"/>
                <w:sz w:val="22"/>
                <w:szCs w:val="22"/>
              </w:rPr>
              <w:lastRenderedPageBreak/>
              <w:t>korespondencyjny w ciągu 14 dni od daty złożenia</w:t>
            </w:r>
            <w:r>
              <w:rPr>
                <w:rFonts w:asciiTheme="minorHAnsi" w:hAnsiTheme="minorHAnsi"/>
                <w:color w:val="FF0000"/>
                <w:sz w:val="22"/>
                <w:szCs w:val="22"/>
              </w:rPr>
              <w:t>.</w:t>
            </w:r>
          </w:p>
          <w:p w:rsidR="00C239C7" w:rsidRPr="00993C49" w:rsidRDefault="00C239C7" w:rsidP="00C239C7">
            <w:pPr>
              <w:pStyle w:val="xl33"/>
              <w:spacing w:after="0"/>
              <w:jc w:val="both"/>
              <w:rPr>
                <w:rFonts w:asciiTheme="minorHAnsi" w:hAnsiTheme="minorHAnsi" w:cs="Arial"/>
                <w:sz w:val="22"/>
                <w:szCs w:val="22"/>
              </w:rPr>
            </w:pPr>
            <w:r w:rsidRPr="00993C49">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C239C7" w:rsidRPr="00993C49" w:rsidRDefault="00C239C7" w:rsidP="00C239C7">
            <w:pPr>
              <w:pStyle w:val="xl33"/>
              <w:spacing w:after="0"/>
              <w:jc w:val="both"/>
              <w:rPr>
                <w:rFonts w:asciiTheme="minorHAnsi" w:hAnsiTheme="minorHAnsi" w:cs="Arial"/>
                <w:sz w:val="22"/>
                <w:szCs w:val="22"/>
              </w:rPr>
            </w:pPr>
            <w:r w:rsidRPr="00993C4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C239C7" w:rsidRPr="00993C49" w:rsidRDefault="00C239C7" w:rsidP="00C239C7">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 przypadku ewentualnych problemów z Generatorem, IZ RPO WD zastrzega sobie możliwość wydłużenia terminu składania wniosków lub złożenia ich w innej </w:t>
            </w:r>
            <w:r>
              <w:rPr>
                <w:rFonts w:asciiTheme="minorHAnsi" w:hAnsiTheme="minorHAnsi" w:cs="Arial"/>
                <w:sz w:val="22"/>
                <w:szCs w:val="22"/>
              </w:rPr>
              <w:t>niż wyżej opisana formie. Decyzja</w:t>
            </w:r>
            <w:r w:rsidRPr="00993C49">
              <w:rPr>
                <w:rFonts w:asciiTheme="minorHAnsi" w:hAnsiTheme="minorHAnsi" w:cs="Arial"/>
                <w:sz w:val="22"/>
                <w:szCs w:val="22"/>
              </w:rPr>
              <w:t xml:space="preserve"> w powyższej kwestii zostanie przedstawiona w formie komunikatu we wszystkich miejscach,</w:t>
            </w:r>
            <w:r>
              <w:rPr>
                <w:rFonts w:asciiTheme="minorHAnsi" w:hAnsiTheme="minorHAnsi" w:cs="Arial"/>
                <w:sz w:val="22"/>
                <w:szCs w:val="22"/>
              </w:rPr>
              <w:t xml:space="preserve"> gdzie opublikowano ogłoszenie.</w:t>
            </w:r>
          </w:p>
          <w:p w:rsidR="00E92452" w:rsidRPr="00480411" w:rsidRDefault="00E92452" w:rsidP="00FD6131">
            <w:pPr>
              <w:autoSpaceDE w:val="0"/>
              <w:autoSpaceDN w:val="0"/>
              <w:adjustRightInd w:val="0"/>
              <w:spacing w:before="120" w:after="120" w:line="240" w:lineRule="auto"/>
              <w:jc w:val="both"/>
              <w:rPr>
                <w:rFonts w:cs="MS Sans Serif"/>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01B2" w:rsidRDefault="00984533" w:rsidP="00480411">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984533"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B35B23" w:rsidRPr="00B42EB9" w:rsidRDefault="00B35B23" w:rsidP="00480411">
            <w:pPr>
              <w:autoSpaceDE w:val="0"/>
              <w:autoSpaceDN w:val="0"/>
              <w:adjustRightInd w:val="0"/>
              <w:spacing w:after="0" w:line="240" w:lineRule="auto"/>
              <w:jc w:val="both"/>
              <w:rPr>
                <w:rFonts w:cs="Times New Roman"/>
                <w:bCs/>
                <w:color w:val="000000"/>
              </w:rPr>
            </w:pPr>
          </w:p>
          <w:p w:rsidR="00CB791B" w:rsidRPr="00C95C5F" w:rsidRDefault="00984533">
            <w:pPr>
              <w:autoSpaceDE w:val="0"/>
              <w:autoSpaceDN w:val="0"/>
              <w:adjustRightInd w:val="0"/>
              <w:spacing w:after="0" w:line="240" w:lineRule="auto"/>
              <w:jc w:val="both"/>
            </w:pPr>
            <w:r w:rsidRPr="00C95C5F">
              <w:rPr>
                <w:rFonts w:cs="Times New Roman"/>
              </w:rPr>
              <w:t xml:space="preserve">Dopuszczalne jest jednokrotne dokonanie uzupełnień lub poprawy wniosku </w:t>
            </w:r>
            <w:r w:rsidRPr="00C95C5F">
              <w:rPr>
                <w:rFonts w:cs="Times New Roman"/>
              </w:rPr>
              <w:br/>
              <w:t>w zakresie wskazanym przez IOK</w:t>
            </w:r>
            <w:r w:rsidR="00A84137" w:rsidRPr="00C95C5F">
              <w:rPr>
                <w:rFonts w:cs="Times New Roman"/>
              </w:rPr>
              <w:t xml:space="preserve"> np.:</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Fonts w:cs="Times New Roman"/>
              </w:rPr>
              <w:t xml:space="preserve">- </w:t>
            </w:r>
            <w:r w:rsidRPr="00C95C5F">
              <w:rPr>
                <w:rStyle w:val="normal0020tablechar"/>
                <w:rFonts w:ascii="Calibri" w:hAnsi="Calibri"/>
              </w:rPr>
              <w:t>uzupełnienie formularza wniosku jeśli nie wszystkie wymagane pola zostały wypełnione,</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 xml:space="preserve">- </w:t>
            </w:r>
            <w:r w:rsidRPr="00C95C5F">
              <w:rPr>
                <w:rStyle w:val="normal0020tablechar"/>
              </w:rPr>
              <w:t> </w:t>
            </w:r>
            <w:r w:rsidRPr="00C95C5F">
              <w:rPr>
                <w:rStyle w:val="normal0020tablechar"/>
                <w:rFonts w:ascii="Calibri" w:hAnsi="Calibri"/>
              </w:rPr>
              <w:t>uzupełnienie załączników jeśli nie wszystkie wymagane załączniki zostały załączone,</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 poprawa jakości załączonych skanów, w sytuacji gdy nie są czytelne,</w:t>
            </w:r>
          </w:p>
          <w:p w:rsidR="00B35B23"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w:t>
            </w:r>
            <w:r w:rsidRPr="00C95C5F">
              <w:rPr>
                <w:rStyle w:val="normal0020tablechar"/>
              </w:rPr>
              <w:t> </w:t>
            </w:r>
            <w:r w:rsidRPr="00C95C5F">
              <w:rPr>
                <w:rStyle w:val="normal0020tablechar"/>
                <w:rFonts w:ascii="Calibri" w:hAnsi="Calibri"/>
              </w:rPr>
              <w:t>uzupełnienie brakujących podpisów i pieczęci</w:t>
            </w:r>
            <w:r w:rsidR="00B35B23">
              <w:rPr>
                <w:rStyle w:val="normal0020tablechar"/>
                <w:rFonts w:ascii="Calibri" w:hAnsi="Calibri"/>
              </w:rPr>
              <w:t>,</w:t>
            </w:r>
          </w:p>
          <w:p w:rsidR="00B35B23" w:rsidRPr="00B35B23" w:rsidRDefault="00B35B23" w:rsidP="00B35B23">
            <w:pPr>
              <w:autoSpaceDE w:val="0"/>
              <w:autoSpaceDN w:val="0"/>
              <w:adjustRightInd w:val="0"/>
              <w:spacing w:after="0" w:line="240" w:lineRule="auto"/>
              <w:jc w:val="both"/>
              <w:rPr>
                <w:rStyle w:val="normal0020tablechar"/>
                <w:rFonts w:ascii="Calibri" w:hAnsi="Calibri"/>
              </w:rPr>
            </w:pPr>
            <w:r w:rsidRPr="00B35B23">
              <w:rPr>
                <w:rStyle w:val="normal0020tablechar"/>
                <w:rFonts w:ascii="Calibri" w:hAnsi="Calibri"/>
              </w:rPr>
              <w:t>- niezgodność sumy kontrolnej w wersji papierowej i elektronicznej;</w:t>
            </w:r>
          </w:p>
          <w:p w:rsidR="00CB791B" w:rsidRPr="00C95C5F" w:rsidRDefault="00B35B23" w:rsidP="00B35B23">
            <w:pPr>
              <w:autoSpaceDE w:val="0"/>
              <w:autoSpaceDN w:val="0"/>
              <w:adjustRightInd w:val="0"/>
              <w:spacing w:after="0" w:line="240" w:lineRule="auto"/>
              <w:jc w:val="both"/>
              <w:rPr>
                <w:rFonts w:ascii="Calibri" w:hAnsi="Calibri"/>
              </w:rPr>
            </w:pPr>
            <w:r w:rsidRPr="00B35B23">
              <w:rPr>
                <w:rStyle w:val="normal0020tablechar"/>
                <w:rFonts w:ascii="Calibri" w:hAnsi="Calibri"/>
              </w:rPr>
              <w:t>- brak strony/stron w papierowej wersji wniosku</w:t>
            </w:r>
            <w:r w:rsidR="00A84137" w:rsidRPr="00C95C5F">
              <w:rPr>
                <w:rStyle w:val="normal0020tablechar"/>
                <w:rFonts w:ascii="Calibri" w:hAnsi="Calibri"/>
              </w:rPr>
              <w:t>.</w:t>
            </w:r>
          </w:p>
          <w:p w:rsidR="00984533" w:rsidRPr="00C95C5F" w:rsidRDefault="00984533" w:rsidP="00480411">
            <w:pPr>
              <w:autoSpaceDE w:val="0"/>
              <w:autoSpaceDN w:val="0"/>
              <w:adjustRightInd w:val="0"/>
              <w:spacing w:after="0" w:line="240" w:lineRule="auto"/>
              <w:jc w:val="both"/>
              <w:rPr>
                <w:rFonts w:cs="Times New Roman"/>
              </w:rPr>
            </w:pPr>
            <w:r w:rsidRPr="00C95C5F">
              <w:rPr>
                <w:rFonts w:cs="Times New Roman"/>
              </w:rPr>
              <w:t xml:space="preserve"> </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 xml:space="preserve">Wezwanie do poprawienia oczywistej omyłki lub uzupełnienia braku formalnego, </w:t>
            </w:r>
            <w:r>
              <w:rPr>
                <w:rFonts w:ascii="Calibri" w:hAnsi="Calibri"/>
              </w:rPr>
              <w:lastRenderedPageBreak/>
              <w:t>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C239C7" w:rsidRPr="00C239C7" w:rsidRDefault="00C239C7" w:rsidP="00C239C7">
            <w:pPr>
              <w:spacing w:before="120" w:after="0" w:line="240" w:lineRule="auto"/>
              <w:jc w:val="both"/>
              <w:rPr>
                <w:color w:val="000000"/>
              </w:rPr>
            </w:pPr>
            <w:r w:rsidRPr="00C239C7">
              <w:t xml:space="preserve">Wykaz informacji, których należy udzielić ubiegając się o dofinansowanie projektu zawiera załącznik nr 5 do uchwały przyjmującej niniejszy Regulamin i jest zamieszczony na stronie </w:t>
            </w:r>
            <w:hyperlink r:id="rId14" w:history="1">
              <w:r w:rsidRPr="00C239C7">
                <w:rPr>
                  <w:color w:val="0000FF" w:themeColor="hyperlink"/>
                  <w:u w:val="single"/>
                </w:rPr>
                <w:t>www.rpo.dolnyslask.pl</w:t>
              </w:r>
            </w:hyperlink>
            <w:r w:rsidRPr="00C239C7">
              <w:t>,</w:t>
            </w:r>
            <w:r w:rsidRPr="00C239C7">
              <w:rPr>
                <w:color w:val="000000"/>
              </w:rPr>
              <w:t xml:space="preserve"> a w przypadku naborów przeznaczonych dla ZIT, także na stronach internetowych poszczególnych ZIT.</w:t>
            </w:r>
          </w:p>
          <w:p w:rsidR="00C239C7" w:rsidRPr="00C239C7" w:rsidRDefault="00C239C7" w:rsidP="00C239C7">
            <w:pPr>
              <w:autoSpaceDE w:val="0"/>
              <w:autoSpaceDN w:val="0"/>
              <w:spacing w:before="240" w:after="0" w:line="240" w:lineRule="auto"/>
              <w:jc w:val="both"/>
            </w:pPr>
            <w:r w:rsidRPr="00C239C7">
              <w:t>Na powyższej stronie zamieszczone są również wzory załączników do wniosku o dofinansowanie.</w:t>
            </w:r>
          </w:p>
          <w:p w:rsidR="00C239C7" w:rsidRPr="00C239C7" w:rsidRDefault="00C239C7" w:rsidP="00C239C7">
            <w:pPr>
              <w:spacing w:before="240" w:after="120" w:line="240" w:lineRule="auto"/>
              <w:jc w:val="both"/>
              <w:rPr>
                <w:color w:val="000000"/>
              </w:rPr>
            </w:pPr>
            <w:r w:rsidRPr="00C239C7">
              <w:rPr>
                <w:color w:val="000000"/>
              </w:rPr>
              <w:t>W zależności od specyfiki projektu i sytuacji Wnioskodawcy ostateczny zakres informacji niezbędnych do wypełnienia wniosku w generatorze może być inny niż wskazany w załączniku.</w:t>
            </w:r>
          </w:p>
          <w:p w:rsidR="00984533" w:rsidRPr="0081019B" w:rsidRDefault="00984533" w:rsidP="00480411">
            <w:pPr>
              <w:spacing w:before="120" w:after="12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pStyle w:val="Default"/>
              <w:jc w:val="both"/>
              <w:rPr>
                <w:rFonts w:asciiTheme="minorHAnsi" w:hAnsiTheme="minorHAnsi"/>
                <w:sz w:val="22"/>
                <w:szCs w:val="22"/>
              </w:rPr>
            </w:pPr>
            <w:r w:rsidRPr="00151119">
              <w:rPr>
                <w:rFonts w:asciiTheme="minorHAnsi" w:hAnsiTheme="minorHAnsi"/>
                <w:sz w:val="22"/>
                <w:szCs w:val="22"/>
              </w:rPr>
              <w:t>Wzór umowy</w:t>
            </w:r>
            <w:r w:rsidR="00A84137">
              <w:rPr>
                <w:rFonts w:asciiTheme="minorHAnsi" w:hAnsiTheme="minorHAnsi"/>
                <w:sz w:val="22"/>
                <w:szCs w:val="22"/>
              </w:rPr>
              <w:t>/decyzji</w:t>
            </w:r>
            <w:r w:rsidRPr="00151119">
              <w:rPr>
                <w:rFonts w:asciiTheme="minorHAnsi" w:hAnsiTheme="minorHAnsi"/>
                <w:sz w:val="22"/>
                <w:szCs w:val="22"/>
              </w:rPr>
              <w:t xml:space="preserve">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sidR="00A84137">
              <w:rPr>
                <w:rFonts w:asciiTheme="minorHAnsi" w:hAnsiTheme="minorHAnsi"/>
                <w:sz w:val="22"/>
                <w:szCs w:val="22"/>
              </w:rPr>
              <w:t>6/7</w:t>
            </w:r>
            <w:r w:rsidRPr="00151119">
              <w:rPr>
                <w:rFonts w:asciiTheme="minorHAnsi" w:hAnsiTheme="minorHAnsi"/>
                <w:sz w:val="22"/>
                <w:szCs w:val="22"/>
              </w:rPr>
              <w:t xml:space="preserve"> do </w:t>
            </w:r>
            <w:r w:rsidR="00A84137">
              <w:rPr>
                <w:rFonts w:asciiTheme="minorHAnsi" w:hAnsiTheme="minorHAnsi"/>
                <w:sz w:val="22"/>
                <w:szCs w:val="22"/>
              </w:rPr>
              <w:t xml:space="preserve">uchwały przyjmującej </w:t>
            </w:r>
            <w:r w:rsidRPr="00151119">
              <w:rPr>
                <w:rFonts w:asciiTheme="minorHAnsi" w:hAnsiTheme="minorHAnsi"/>
                <w:sz w:val="22"/>
                <w:szCs w:val="22"/>
              </w:rPr>
              <w:t>niniejsz</w:t>
            </w:r>
            <w:r w:rsidR="00A84137">
              <w:rPr>
                <w:rFonts w:asciiTheme="minorHAnsi" w:hAnsiTheme="minorHAnsi"/>
                <w:sz w:val="22"/>
                <w:szCs w:val="22"/>
              </w:rPr>
              <w:t>y</w:t>
            </w:r>
            <w:r w:rsidRPr="00151119">
              <w:rPr>
                <w:rFonts w:asciiTheme="minorHAnsi" w:hAnsiTheme="minorHAnsi"/>
                <w:sz w:val="22"/>
                <w:szCs w:val="22"/>
              </w:rPr>
              <w:t xml:space="preserve"> Regulaminu i jest zamieszczony na stronie </w:t>
            </w:r>
            <w:hyperlink r:id="rId15" w:history="1">
              <w:r w:rsidRPr="00151119">
                <w:rPr>
                  <w:rStyle w:val="Hipercze"/>
                  <w:rFonts w:asciiTheme="minorHAnsi" w:hAnsiTheme="minorHAnsi"/>
                  <w:sz w:val="22"/>
                  <w:szCs w:val="22"/>
                </w:rPr>
                <w:t>www.rpo.dolnyslask.pl</w:t>
              </w:r>
            </w:hyperlink>
            <w:r w:rsidRPr="00151119">
              <w:rPr>
                <w:rFonts w:asciiTheme="minorHAnsi" w:hAnsiTheme="minorHAnsi"/>
                <w:sz w:val="22"/>
                <w:szCs w:val="22"/>
              </w:rPr>
              <w:t xml:space="preserve">.   </w:t>
            </w:r>
          </w:p>
          <w:p w:rsidR="00A84137" w:rsidRDefault="00A84137"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Wzór umowy</w:t>
            </w:r>
            <w:r w:rsidR="00A84137">
              <w:rPr>
                <w:rFonts w:asciiTheme="minorHAnsi" w:hAnsiTheme="minorHAnsi"/>
                <w:sz w:val="22"/>
                <w:szCs w:val="22"/>
              </w:rPr>
              <w:t>/decyzji</w:t>
            </w:r>
            <w:r w:rsidRPr="00DC34AB">
              <w:rPr>
                <w:rFonts w:asciiTheme="minorHAnsi" w:hAnsiTheme="minorHAnsi"/>
                <w:sz w:val="22"/>
                <w:szCs w:val="22"/>
              </w:rPr>
              <w:t xml:space="preserve"> zawiera wszystkie postanowienia wymagane przepisami prawa,</w:t>
            </w:r>
            <w:r w:rsidR="00A84137">
              <w:rPr>
                <w:rFonts w:asciiTheme="minorHAnsi" w:hAnsiTheme="minorHAnsi"/>
                <w:sz w:val="22"/>
                <w:szCs w:val="22"/>
              </w:rPr>
              <w:t xml:space="preserve"> </w:t>
            </w:r>
            <w:r w:rsidRPr="00DC34AB">
              <w:rPr>
                <w:rFonts w:asciiTheme="minorHAnsi" w:hAnsiTheme="minorHAnsi"/>
                <w:sz w:val="22"/>
                <w:szCs w:val="22"/>
              </w:rP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w:t>
            </w:r>
            <w:r w:rsidR="000D3A04">
              <w:rPr>
                <w:rFonts w:asciiTheme="minorHAnsi" w:hAnsiTheme="minorHAnsi"/>
                <w:sz w:val="22"/>
                <w:szCs w:val="22"/>
              </w:rPr>
              <w:t>/decyzji</w:t>
            </w:r>
            <w:r w:rsidRPr="00DC34AB">
              <w:rPr>
                <w:rFonts w:asciiTheme="minorHAnsi" w:hAnsiTheme="minorHAnsi"/>
                <w:sz w:val="22"/>
                <w:szCs w:val="22"/>
              </w:rPr>
              <w:t xml:space="preserve">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lastRenderedPageBreak/>
              <w:t>Wyciąg z Kryteriów wyboru projektów</w:t>
            </w:r>
            <w:r w:rsidRPr="000D366A">
              <w:rPr>
                <w:rFonts w:asciiTheme="minorHAnsi" w:hAnsiTheme="minorHAnsi"/>
                <w:sz w:val="22"/>
                <w:szCs w:val="22"/>
              </w:rPr>
              <w:t xml:space="preserve"> zatwierdzonych przez KM RPO WD 2014-2020 obowiązujących w niniejszym naborze stanowi załącznik nr </w:t>
            </w:r>
            <w:r w:rsidR="00AA219A">
              <w:rPr>
                <w:rFonts w:asciiTheme="minorHAnsi" w:hAnsiTheme="minorHAnsi"/>
                <w:sz w:val="22"/>
                <w:szCs w:val="22"/>
              </w:rPr>
              <w:t>1</w:t>
            </w:r>
            <w:r w:rsidR="00AA219A" w:rsidRPr="000D366A">
              <w:rPr>
                <w:rFonts w:asciiTheme="minorHAnsi" w:hAnsiTheme="minorHAnsi"/>
                <w:sz w:val="22"/>
                <w:szCs w:val="22"/>
              </w:rPr>
              <w:t xml:space="preserve"> </w:t>
            </w:r>
            <w:r w:rsidRPr="000D366A">
              <w:rPr>
                <w:rFonts w:asciiTheme="minorHAnsi" w:hAnsiTheme="minorHAnsi"/>
                <w:sz w:val="22"/>
                <w:szCs w:val="22"/>
              </w:rPr>
              <w:t>do niniejszego Regulaminu.</w:t>
            </w:r>
          </w:p>
          <w:p w:rsidR="00A41980" w:rsidRPr="007A06B8" w:rsidRDefault="00984533" w:rsidP="00DB5D60">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457D00">
              <w:rPr>
                <w:iCs/>
                <w:sz w:val="22"/>
                <w:szCs w:val="22"/>
              </w:rPr>
              <w:lastRenderedPageBreak/>
              <w:t>uchwałą nr</w:t>
            </w:r>
            <w:r w:rsidR="00DB5D60">
              <w:rPr>
                <w:iCs/>
                <w:sz w:val="22"/>
                <w:szCs w:val="22"/>
              </w:rPr>
              <w:t xml:space="preserve"> 28</w:t>
            </w:r>
            <w:r w:rsidR="005779A2" w:rsidRPr="00457D00">
              <w:rPr>
                <w:iCs/>
                <w:sz w:val="22"/>
                <w:szCs w:val="22"/>
              </w:rPr>
              <w:t>/16</w:t>
            </w:r>
            <w:r w:rsidRPr="00457D00">
              <w:rPr>
                <w:iCs/>
                <w:sz w:val="22"/>
                <w:szCs w:val="22"/>
              </w:rPr>
              <w:t xml:space="preserve"> z</w:t>
            </w:r>
            <w:r w:rsidRPr="007C678B">
              <w:rPr>
                <w:iCs/>
                <w:sz w:val="22"/>
                <w:szCs w:val="22"/>
              </w:rPr>
              <w:t xml:space="preserve"> dnia </w:t>
            </w:r>
            <w:r w:rsidR="00A216E3">
              <w:rPr>
                <w:iCs/>
                <w:sz w:val="22"/>
                <w:szCs w:val="22"/>
              </w:rPr>
              <w:t>10</w:t>
            </w:r>
            <w:r w:rsidR="00D5162B" w:rsidRPr="007C678B">
              <w:rPr>
                <w:iCs/>
                <w:sz w:val="22"/>
                <w:szCs w:val="22"/>
              </w:rPr>
              <w:t xml:space="preserve"> </w:t>
            </w:r>
            <w:r w:rsidR="00A216E3">
              <w:rPr>
                <w:iCs/>
                <w:sz w:val="22"/>
                <w:szCs w:val="22"/>
              </w:rPr>
              <w:t>marca</w:t>
            </w:r>
            <w:r w:rsidR="00D5162B" w:rsidRPr="007C678B">
              <w:rPr>
                <w:iCs/>
                <w:sz w:val="22"/>
                <w:szCs w:val="22"/>
              </w:rPr>
              <w:t xml:space="preserve"> </w:t>
            </w:r>
            <w:r w:rsidR="005779A2" w:rsidRPr="007C678B">
              <w:rPr>
                <w:iCs/>
                <w:sz w:val="22"/>
                <w:szCs w:val="22"/>
              </w:rPr>
              <w:t>2016</w:t>
            </w:r>
            <w:r w:rsidR="009455A4" w:rsidRPr="007C678B">
              <w:rPr>
                <w:iCs/>
                <w:sz w:val="22"/>
                <w:szCs w:val="22"/>
              </w:rPr>
              <w:t xml:space="preserve"> r. </w:t>
            </w:r>
            <w:r w:rsidRPr="007C678B">
              <w:rPr>
                <w:iCs/>
                <w:sz w:val="22"/>
                <w:szCs w:val="22"/>
              </w:rPr>
              <w:t>przez Komitet Monitorujący Regionalnego Programu</w:t>
            </w:r>
            <w:r w:rsidRPr="000D366A">
              <w:rPr>
                <w:iCs/>
                <w:sz w:val="22"/>
                <w:szCs w:val="22"/>
              </w:rPr>
              <w:t xml:space="preserve"> Operacyjnego Województwa Dolnośląskiego </w:t>
            </w:r>
            <w:r w:rsidRPr="000D366A">
              <w:rPr>
                <w:rFonts w:asciiTheme="minorHAnsi" w:hAnsiTheme="minorHAnsi"/>
                <w:sz w:val="22"/>
                <w:szCs w:val="22"/>
              </w:rPr>
              <w:t xml:space="preserve"> są zamieszczone na stronie </w:t>
            </w:r>
            <w:hyperlink r:id="rId16"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Default="00984533" w:rsidP="00480411">
            <w:pPr>
              <w:spacing w:before="240" w:line="240" w:lineRule="auto"/>
              <w:jc w:val="both"/>
            </w:pPr>
            <w:r w:rsidRPr="00A33DA4">
              <w:t>Na</w:t>
            </w:r>
            <w:r>
              <w:t xml:space="preserve"> stronie internetowej </w:t>
            </w:r>
            <w:hyperlink r:id="rId17"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p w:rsidR="008505B1" w:rsidRDefault="008505B1" w:rsidP="00480411">
            <w:pPr>
              <w:spacing w:before="240" w:line="240" w:lineRule="auto"/>
              <w:jc w:val="both"/>
              <w:rPr>
                <w:rFonts w:cs="Calibri"/>
              </w:rPr>
            </w:pPr>
            <w:r w:rsidRPr="008505B1">
              <w:rPr>
                <w:rFonts w:cs="Calibri"/>
              </w:rPr>
              <w:t>Dokładny link:</w:t>
            </w:r>
          </w:p>
          <w:p w:rsidR="008505B1" w:rsidRPr="00151119" w:rsidRDefault="00EE0B33" w:rsidP="00480411">
            <w:pPr>
              <w:spacing w:before="240" w:line="240" w:lineRule="auto"/>
              <w:jc w:val="both"/>
              <w:rPr>
                <w:rFonts w:cs="Calibri"/>
              </w:rPr>
            </w:pPr>
            <w:hyperlink r:id="rId18" w:anchor="more-3218" w:history="1">
              <w:r w:rsidR="008505B1" w:rsidRPr="003F032A">
                <w:rPr>
                  <w:rStyle w:val="Hipercze"/>
                  <w:rFonts w:cs="Calibri"/>
                </w:rPr>
                <w:t>http://rpo.dolnyslask.pl/analiza-finansowa-na-potrzeby-aplikacji-o-srodki-europejskiego-funduszu-rozwoju-regionalnego-w-ramach-rpo-wd-2014-2020-przyklady/#more-3218</w:t>
              </w:r>
            </w:hyperlink>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AA219A">
              <w:rPr>
                <w:sz w:val="22"/>
                <w:szCs w:val="22"/>
              </w:rPr>
              <w:t>2</w:t>
            </w:r>
            <w:r w:rsidR="00AA219A" w:rsidRPr="00C04E00">
              <w:rPr>
                <w:sz w:val="22"/>
                <w:szCs w:val="22"/>
              </w:rPr>
              <w:t xml:space="preserve"> </w:t>
            </w:r>
            <w:r w:rsidRPr="007C678B">
              <w:rPr>
                <w:sz w:val="22"/>
                <w:szCs w:val="22"/>
              </w:rPr>
              <w:t>Lista wskaźników na poziomie projektu dla pod</w:t>
            </w:r>
            <w:r w:rsidR="009E0C22" w:rsidRPr="007C678B">
              <w:rPr>
                <w:sz w:val="22"/>
                <w:szCs w:val="22"/>
              </w:rPr>
              <w:t xml:space="preserve">działania </w:t>
            </w:r>
            <w:r w:rsidR="007C678B" w:rsidRPr="007C678B">
              <w:rPr>
                <w:sz w:val="22"/>
                <w:szCs w:val="22"/>
              </w:rPr>
              <w:t>7.</w:t>
            </w:r>
            <w:r w:rsidR="00933C87">
              <w:rPr>
                <w:sz w:val="22"/>
                <w:szCs w:val="22"/>
              </w:rPr>
              <w:t>2</w:t>
            </w:r>
            <w:r w:rsidR="00A61522" w:rsidRPr="007C678B">
              <w:rPr>
                <w:sz w:val="22"/>
                <w:szCs w:val="22"/>
              </w:rPr>
              <w:t xml:space="preserve">.1 </w:t>
            </w:r>
            <w:r w:rsidR="004E0C6E" w:rsidRPr="0021014A">
              <w:rPr>
                <w:sz w:val="22"/>
                <w:szCs w:val="22"/>
              </w:rPr>
              <w:t>Inwestycje w edukację ponadgimnazjalną, w tym zawodową</w:t>
            </w:r>
            <w:r w:rsidR="00283849" w:rsidRPr="007C678B">
              <w:rPr>
                <w:sz w:val="22"/>
                <w:szCs w:val="22"/>
              </w:rPr>
              <w:t xml:space="preserve">,  </w:t>
            </w:r>
            <w:r w:rsidRPr="007C678B">
              <w:rPr>
                <w:sz w:val="22"/>
                <w:szCs w:val="22"/>
              </w:rPr>
              <w:t xml:space="preserve">RPO WD 2014-2020 </w:t>
            </w:r>
            <w:r w:rsidRPr="00C04E00">
              <w:rPr>
                <w:sz w:val="22"/>
                <w:szCs w:val="22"/>
              </w:rPr>
              <w:t>do niniejszego Regulaminu</w:t>
            </w:r>
            <w:r w:rsidRPr="007C678B">
              <w:rPr>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984533" w:rsidRPr="003A6136" w:rsidRDefault="00984533" w:rsidP="00480411">
            <w:pPr>
              <w:spacing w:after="0" w:line="240" w:lineRule="auto"/>
              <w:jc w:val="both"/>
              <w:rPr>
                <w:rFonts w:ascii="Calibri" w:hAnsi="Calibri"/>
              </w:rPr>
            </w:pPr>
            <w:r w:rsidRPr="003A6136">
              <w:rPr>
                <w:rFonts w:ascii="Calibri" w:hAnsi="Calibri"/>
              </w:rPr>
              <w:t xml:space="preserve">IZ RPO WD, po zakończeniu każdego etapu </w:t>
            </w:r>
            <w:r>
              <w:rPr>
                <w:rFonts w:ascii="Calibri" w:hAnsi="Calibri"/>
              </w:rPr>
              <w:t xml:space="preserve">konkursu </w:t>
            </w:r>
            <w:r w:rsidRPr="003A6136">
              <w:rPr>
                <w:rFonts w:ascii="Calibri" w:hAnsi="Calibri"/>
              </w:rPr>
              <w:t xml:space="preserve">(poza oceną wpływu projektów na realizację Strategii Rozwoju Województwa Dolnośląskiego 2020) </w:t>
            </w:r>
            <w:r>
              <w:rPr>
                <w:rFonts w:ascii="Calibri" w:hAnsi="Calibri"/>
              </w:rPr>
              <w:br/>
            </w:r>
            <w:r w:rsidRPr="003A6136">
              <w:rPr>
                <w:rFonts w:ascii="Calibri" w:hAnsi="Calibri"/>
              </w:rPr>
              <w:t xml:space="preserve">i wyboru projektów, </w:t>
            </w:r>
            <w:r>
              <w:rPr>
                <w:rFonts w:ascii="Calibri" w:hAnsi="Calibri"/>
              </w:rPr>
              <w:t xml:space="preserve">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3A6136" w:rsidRDefault="00984533" w:rsidP="00480411">
            <w:pPr>
              <w:spacing w:after="0" w:line="240" w:lineRule="auto"/>
              <w:jc w:val="both"/>
              <w:rPr>
                <w:rFonts w:ascii="Calibri" w:hAnsi="Calibri"/>
              </w:rPr>
            </w:pPr>
            <w:r w:rsidRPr="003A6136">
              <w:rPr>
                <w:rFonts w:ascii="Calibri" w:hAnsi="Calibri"/>
              </w:rPr>
              <w:t>Po poszczególnych etapach oceny formalnej i</w:t>
            </w:r>
            <w:r w:rsidRPr="003A6136" w:rsidDel="00D37D97">
              <w:t xml:space="preserve"> </w:t>
            </w:r>
            <w:r w:rsidRPr="003A6136">
              <w:rPr>
                <w:rFonts w:ascii="Calibri" w:hAnsi="Calibri"/>
              </w:rPr>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3A6136">
              <w:t xml:space="preserve"> </w:t>
            </w:r>
            <w:r w:rsidRPr="003A6136">
              <w:rPr>
                <w:rFonts w:ascii="Calibri" w:hAnsi="Calibri"/>
              </w:rPr>
              <w:t>ustawy</w:t>
            </w:r>
            <w:r>
              <w:rPr>
                <w:rFonts w:ascii="Calibri" w:hAnsi="Calibri"/>
              </w:rPr>
              <w:t xml:space="preserve"> wdrożeniowej</w:t>
            </w:r>
            <w:r w:rsidRPr="003A6136">
              <w:rPr>
                <w:rFonts w:ascii="Calibri" w:hAnsi="Calibri"/>
              </w:rPr>
              <w:t>.</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D63A11" w:rsidRPr="00D63A11" w:rsidRDefault="009C7DD5" w:rsidP="00D63A11">
            <w:pPr>
              <w:spacing w:after="0" w:line="240" w:lineRule="auto"/>
              <w:jc w:val="both"/>
              <w:rPr>
                <w:rFonts w:ascii="Calibri" w:hAnsi="Calibri"/>
              </w:rPr>
            </w:pPr>
            <w:r w:rsidRPr="009C7DD5">
              <w:rPr>
                <w:rFonts w:ascii="Calibri" w:hAnsi="Calibri"/>
              </w:rPr>
              <w:t>Zgodnie z art.</w:t>
            </w:r>
            <w:r>
              <w:rPr>
                <w:rFonts w:ascii="Calibri" w:hAnsi="Calibri"/>
              </w:rPr>
              <w:t xml:space="preserve"> 53 ust. 2 ustawy wdrożeniowej </w:t>
            </w:r>
            <w:r w:rsidRPr="009C7DD5">
              <w:rPr>
                <w:rFonts w:ascii="Calibri" w:hAnsi="Calibri"/>
              </w:rPr>
              <w:t xml:space="preserve">protest </w:t>
            </w:r>
            <w:r w:rsidR="00984533" w:rsidRPr="003C6677">
              <w:rPr>
                <w:rFonts w:ascii="Calibri" w:hAnsi="Calibri"/>
              </w:rPr>
              <w:t xml:space="preserve">przysługuje Wnioskodawcy od negatywnej oceny  projektu </w:t>
            </w:r>
            <w:r w:rsidR="00D63A11" w:rsidRPr="00D63A11">
              <w:rPr>
                <w:rFonts w:ascii="Calibri" w:hAnsi="Calibri"/>
              </w:rPr>
              <w:t>w zakresie spełnienia przez projekt kryteriów wyboru projektów, w ramach której:</w:t>
            </w:r>
          </w:p>
          <w:p w:rsidR="00D63A11" w:rsidRPr="00D63A11" w:rsidRDefault="00D63A11" w:rsidP="00D63A11">
            <w:pPr>
              <w:spacing w:after="0" w:line="240" w:lineRule="auto"/>
              <w:jc w:val="both"/>
              <w:rPr>
                <w:rFonts w:ascii="Calibri" w:hAnsi="Calibri"/>
              </w:rPr>
            </w:pPr>
            <w:r w:rsidRPr="00D63A11">
              <w:rPr>
                <w:rFonts w:ascii="Calibri" w:hAnsi="Calibri"/>
              </w:rPr>
              <w:t>1.</w:t>
            </w:r>
            <w:r w:rsidRPr="00D63A11">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D63A11" w:rsidRDefault="00D63A11" w:rsidP="00D63A11">
            <w:pPr>
              <w:spacing w:after="0" w:line="240" w:lineRule="auto"/>
              <w:jc w:val="both"/>
              <w:rPr>
                <w:rFonts w:ascii="Calibri" w:hAnsi="Calibri"/>
              </w:rPr>
            </w:pPr>
            <w:r w:rsidRPr="00D63A11">
              <w:rPr>
                <w:rFonts w:ascii="Calibri" w:hAnsi="Calibri"/>
              </w:rPr>
              <w:t>lub</w:t>
            </w:r>
          </w:p>
          <w:p w:rsidR="00D63A11" w:rsidRDefault="00D63A11" w:rsidP="00D63A11">
            <w:pPr>
              <w:spacing w:after="0" w:line="240" w:lineRule="auto"/>
              <w:jc w:val="both"/>
              <w:rPr>
                <w:rFonts w:ascii="Calibri" w:hAnsi="Calibri"/>
              </w:rPr>
            </w:pPr>
            <w:r w:rsidRPr="00D63A11">
              <w:rPr>
                <w:rFonts w:ascii="Calibri" w:hAnsi="Calibri"/>
              </w:rPr>
              <w:t>2.</w:t>
            </w:r>
            <w:r w:rsidRPr="00D63A11">
              <w:rPr>
                <w:rFonts w:ascii="Calibri" w:hAnsi="Calibri"/>
              </w:rPr>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84533" w:rsidRPr="003C6677" w:rsidRDefault="00984533" w:rsidP="00D63A11">
            <w:pPr>
              <w:spacing w:after="0" w:line="240" w:lineRule="auto"/>
              <w:jc w:val="both"/>
              <w:rPr>
                <w:rFonts w:ascii="Calibri" w:hAnsi="Calibri"/>
              </w:rPr>
            </w:pPr>
            <w:r w:rsidRPr="003C6677">
              <w:rPr>
                <w:rFonts w:ascii="Calibri" w:hAnsi="Calibri"/>
              </w:rPr>
              <w:t xml:space="preserve">Termin </w:t>
            </w:r>
            <w:r w:rsidR="00B52DF1">
              <w:rPr>
                <w:rFonts w:ascii="Calibri" w:hAnsi="Calibri"/>
              </w:rPr>
              <w:t xml:space="preserve">14 dni </w:t>
            </w:r>
            <w:r w:rsidRPr="003C6677">
              <w:rPr>
                <w:rFonts w:ascii="Calibri" w:hAnsi="Calibri"/>
              </w:rPr>
              <w:t>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3C6677" w:rsidRDefault="00984533" w:rsidP="00480411">
            <w:pPr>
              <w:widowControl w:val="0"/>
              <w:autoSpaceDE w:val="0"/>
              <w:autoSpaceDN w:val="0"/>
              <w:adjustRightInd w:val="0"/>
              <w:spacing w:after="0" w:line="240" w:lineRule="auto"/>
              <w:jc w:val="both"/>
              <w:rPr>
                <w:rFonts w:ascii="Calibri" w:hAnsi="Calibri"/>
              </w:rPr>
            </w:pPr>
          </w:p>
          <w:p w:rsidR="00984533"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Protest jest wnoszony przez Wnioskodawcę w formie pisemnej, bezpośrednio do IZ RPO WD. Zgodnie z art. 54 ust. 2 ustawy</w:t>
            </w:r>
            <w:r>
              <w:rPr>
                <w:rFonts w:ascii="Calibri" w:hAnsi="Calibri"/>
              </w:rPr>
              <w:t xml:space="preserve"> wdrożeniowej</w:t>
            </w:r>
            <w:r w:rsidRPr="003C6677">
              <w:rPr>
                <w:rFonts w:ascii="Calibri" w:hAnsi="Calibri"/>
              </w:rPr>
              <w:t xml:space="preserve">, </w:t>
            </w:r>
            <w:r w:rsidRPr="003C6677">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Pr>
                <w:rFonts w:ascii="Calibri" w:hAnsi="Calibri" w:cs="Arial"/>
              </w:rPr>
              <w:br/>
            </w:r>
            <w:r w:rsidRPr="003C6677">
              <w:rPr>
                <w:rFonts w:ascii="Calibri" w:hAnsi="Calibri" w:cs="Arial"/>
              </w:rPr>
              <w:t xml:space="preserve">z uzasadnieniem oraz podpis Wnioskodawcy lub osoby upoważnionej do jego reprezentowania, z załączeniem oryginału lub kopii dokumentu poświadczającego umocowanie takiej osoby do reprezentowania Wnioskodawcy. </w:t>
            </w:r>
          </w:p>
          <w:p w:rsidR="00984533" w:rsidRPr="003C6677"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lastRenderedPageBreak/>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tabs>
                <w:tab w:val="num" w:pos="0"/>
              </w:tabs>
              <w:spacing w:after="0" w:line="240" w:lineRule="auto"/>
              <w:jc w:val="both"/>
              <w:rPr>
                <w:rFonts w:ascii="Calibri" w:hAnsi="Calibri" w:cs="Arial"/>
              </w:rPr>
            </w:pPr>
            <w:r w:rsidRPr="003C6677">
              <w:rPr>
                <w:rFonts w:ascii="Calibri" w:hAnsi="Calibri" w:cs="Arial"/>
              </w:rPr>
              <w:t xml:space="preserve">IZ RPO WD rozpatruje protest – weryfikując prawidłowość oceny projektu </w:t>
            </w:r>
            <w:r>
              <w:rPr>
                <w:rFonts w:ascii="Calibri" w:hAnsi="Calibri" w:cs="Arial"/>
              </w:rPr>
              <w:br/>
            </w:r>
            <w:r w:rsidRPr="003C6677">
              <w:rPr>
                <w:rFonts w:ascii="Calibri" w:hAnsi="Calibr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spacing w:after="0" w:line="240" w:lineRule="auto"/>
              <w:jc w:val="both"/>
              <w:rPr>
                <w:rFonts w:ascii="Calibri" w:hAnsi="Calibri"/>
              </w:rPr>
            </w:pPr>
            <w:r w:rsidRPr="003C6677">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3C6677" w:rsidRDefault="00984533" w:rsidP="00480411">
            <w:pPr>
              <w:spacing w:after="0" w:line="240" w:lineRule="auto"/>
              <w:jc w:val="both"/>
              <w:rPr>
                <w:rFonts w:ascii="Calibri" w:hAnsi="Calibri"/>
              </w:rPr>
            </w:pPr>
            <w:r w:rsidRPr="003C6677">
              <w:rPr>
                <w:rFonts w:ascii="Calibri" w:hAnsi="Calibri"/>
              </w:rPr>
              <w:t>W przypadku uwzględnienia protestu IZ RPO WD przekazuje projekt do właściwego (następnego) etapu oceny lub umieszcza go na liście projektów wybranych do dofinansowania</w:t>
            </w:r>
            <w:r>
              <w:rPr>
                <w:rFonts w:ascii="Calibri" w:hAnsi="Calibri"/>
              </w:rPr>
              <w:t xml:space="preserve"> (w przypadku dostępności środków w danym działaniu/poddziałaniu)</w:t>
            </w:r>
            <w:r w:rsidRPr="003C6677">
              <w:rPr>
                <w:rFonts w:ascii="Calibri" w:hAnsi="Calibri"/>
              </w:rPr>
              <w:t>.</w:t>
            </w:r>
          </w:p>
          <w:p w:rsidR="00984533" w:rsidRPr="003C6677" w:rsidRDefault="00984533" w:rsidP="00480411">
            <w:pPr>
              <w:tabs>
                <w:tab w:val="num" w:pos="0"/>
              </w:tabs>
              <w:spacing w:after="0" w:line="240" w:lineRule="auto"/>
              <w:jc w:val="both"/>
              <w:rPr>
                <w:rFonts w:ascii="Calibri" w:hAnsi="Calibri" w:cs="Arial"/>
                <w:iCs/>
              </w:rPr>
            </w:pPr>
            <w:r>
              <w:rPr>
                <w:rFonts w:ascii="Calibri" w:hAnsi="Calibri" w:cs="Arial"/>
                <w:iCs/>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Nie podlega rozpatrzeniu przez IZ RPO WD protest, jeżeli mimo prawidłowego pouczenia ww. środek odwoławczy został wniesiony przez Wnioskodawcę do IZ RPO WD:</w:t>
            </w:r>
          </w:p>
          <w:p w:rsidR="00984533" w:rsidRPr="003C6677" w:rsidRDefault="00984533" w:rsidP="00480411">
            <w:pPr>
              <w:spacing w:after="0" w:line="240" w:lineRule="auto"/>
              <w:jc w:val="both"/>
              <w:rPr>
                <w:rFonts w:ascii="Calibri" w:hAnsi="Calibri"/>
              </w:rPr>
            </w:pPr>
            <w:r w:rsidRPr="003C6677">
              <w:rPr>
                <w:rFonts w:ascii="Calibri" w:hAnsi="Calibri"/>
              </w:rPr>
              <w:t xml:space="preserve">- po terminie, </w:t>
            </w:r>
          </w:p>
          <w:p w:rsidR="00984533" w:rsidRPr="003C6677" w:rsidRDefault="00984533" w:rsidP="00480411">
            <w:pPr>
              <w:spacing w:after="0" w:line="240" w:lineRule="auto"/>
              <w:jc w:val="both"/>
              <w:rPr>
                <w:rFonts w:ascii="Calibri" w:hAnsi="Calibri"/>
              </w:rPr>
            </w:pPr>
            <w:r w:rsidRPr="003C6677">
              <w:rPr>
                <w:rFonts w:ascii="Calibri" w:hAnsi="Calibri"/>
              </w:rPr>
              <w:t xml:space="preserve">- przez podmiot wykluczony z możliwości otrzymania dofinansowania, </w:t>
            </w:r>
          </w:p>
          <w:p w:rsidR="00984533" w:rsidRPr="003C6677" w:rsidRDefault="00984533" w:rsidP="00480411">
            <w:pPr>
              <w:spacing w:after="0" w:line="240" w:lineRule="auto"/>
              <w:jc w:val="both"/>
              <w:rPr>
                <w:rFonts w:ascii="Calibri" w:hAnsi="Calibri"/>
              </w:rPr>
            </w:pPr>
            <w:r w:rsidRPr="003C6677">
              <w:rPr>
                <w:rFonts w:ascii="Calibri" w:hAnsi="Calibri"/>
              </w:rPr>
              <w:t>-</w:t>
            </w:r>
            <w:r>
              <w:rPr>
                <w:rFonts w:ascii="Calibri" w:hAnsi="Calibri"/>
              </w:rPr>
              <w:t xml:space="preserve"> </w:t>
            </w:r>
            <w:r w:rsidRPr="003C6677">
              <w:rPr>
                <w:rFonts w:ascii="Calibri" w:hAnsi="Calibri"/>
              </w:rPr>
              <w:t>bez wskazania kryteriów wyboru projektów, z których oceną Wnioskodawca się nie zgadza (wraz z uzasadnieniem).</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r>
              <w:rPr>
                <w:rFonts w:ascii="Calibri" w:hAnsi="Calibri"/>
              </w:rPr>
              <w:t xml:space="preserve"> wdrożeniowej</w:t>
            </w:r>
            <w:r w:rsidRPr="003C6677">
              <w:rPr>
                <w:rFonts w:ascii="Calibri" w:hAnsi="Calibri"/>
              </w:rPr>
              <w:t>.</w:t>
            </w:r>
          </w:p>
          <w:p w:rsidR="00984533" w:rsidRPr="003C6677" w:rsidRDefault="00984533" w:rsidP="00480411">
            <w:pPr>
              <w:spacing w:after="0" w:line="240" w:lineRule="auto"/>
              <w:jc w:val="both"/>
              <w:rPr>
                <w:rFonts w:ascii="Calibri" w:hAnsi="Calibri"/>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rPr>
              <w:t xml:space="preserve">W przypadku, gdy wniesiony protest nie zawiera: oznaczenia instytucji właściwej do rozpatrzenia protestu, oznaczenia Wnioskodawcy, numeru wniosku </w:t>
            </w:r>
            <w:r>
              <w:rPr>
                <w:rFonts w:ascii="Calibri" w:eastAsia="Calibri" w:hAnsi="Calibri"/>
              </w:rPr>
              <w:br/>
            </w:r>
            <w:r w:rsidRPr="003C6677">
              <w:rPr>
                <w:rFonts w:ascii="Calibri" w:eastAsia="Calibri" w:hAnsi="Calibri"/>
              </w:rP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C6677">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Pr>
                <w:rFonts w:ascii="Calibri" w:eastAsia="Calibri" w:hAnsi="Calibri" w:cs="Arial"/>
              </w:rPr>
              <w:br/>
            </w:r>
            <w:r w:rsidRPr="003C6677">
              <w:rPr>
                <w:rFonts w:ascii="Calibri" w:eastAsia="Calibri" w:hAnsi="Calibri" w:cs="Arial"/>
              </w:rPr>
              <w:t xml:space="preserve">W przypadku, gdy w odpowiedzi na wezwanie: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lastRenderedPageBreak/>
              <w:t xml:space="preserve">- protest zawiera w dalszym ciągu uchybienia formalne i/lub zawiera oczywiste omyłki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i/lub,</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został wniesiony z uchybieniem 7-dniowego terminu, </w:t>
            </w:r>
            <w:r w:rsidRPr="003C6677">
              <w:rPr>
                <w:rFonts w:ascii="Calibri" w:eastAsia="Calibri" w:hAnsi="Calibri"/>
              </w:rPr>
              <w:t xml:space="preserve">licząc od dnia </w:t>
            </w:r>
            <w:r w:rsidRPr="003C6677">
              <w:rPr>
                <w:rFonts w:ascii="Calibri" w:eastAsia="Calibri" w:hAnsi="Calibri" w:cs="Arial"/>
              </w:rPr>
              <w:t xml:space="preserve">następnego po dniu otrzymania wezwania-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pozostawia środek odwoławczy bez rozpatrzenia.</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suppressAutoHyphens/>
              <w:spacing w:after="0" w:line="240" w:lineRule="auto"/>
              <w:jc w:val="both"/>
              <w:rPr>
                <w:rFonts w:ascii="Calibri" w:hAnsi="Calibri" w:cs="Arial"/>
              </w:rPr>
            </w:pPr>
            <w:r w:rsidRPr="003C6677">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 do wniesienia skargi kasacyjnej do Naczelnego Sądu Administracyjnego od wyroku Wojewódzkiego Sądu Administracyjnego we Wrocławiu posiada Wnioskodawca, jak również IZ RPO WD.</w:t>
            </w:r>
          </w:p>
          <w:p w:rsidR="00984533" w:rsidRPr="003C6677" w:rsidRDefault="00984533" w:rsidP="00480411">
            <w:pPr>
              <w:tabs>
                <w:tab w:val="left" w:pos="993"/>
                <w:tab w:val="left" w:pos="1276"/>
              </w:tabs>
              <w:spacing w:after="0" w:line="240" w:lineRule="auto"/>
              <w:jc w:val="both"/>
              <w:rPr>
                <w:rFonts w:ascii="Calibri" w:hAnsi="Calibri" w:cs="Arial"/>
              </w:rPr>
            </w:pP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C95C5F"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weryfikacj</w:t>
            </w:r>
            <w:r>
              <w:rPr>
                <w:rFonts w:asciiTheme="minorHAnsi" w:hAnsiTheme="minorHAnsi"/>
                <w:sz w:val="22"/>
                <w:szCs w:val="22"/>
              </w:rPr>
              <w:t>a techniczna</w:t>
            </w:r>
            <w:r w:rsidRPr="00151119">
              <w:rPr>
                <w:rFonts w:asciiTheme="minorHAnsi" w:hAnsiTheme="minorHAnsi"/>
                <w:sz w:val="22"/>
                <w:szCs w:val="22"/>
              </w:rPr>
              <w:t>, ocen</w:t>
            </w:r>
            <w:r>
              <w:rPr>
                <w:rFonts w:asciiTheme="minorHAnsi" w:hAnsiTheme="minorHAnsi"/>
                <w:sz w:val="22"/>
                <w:szCs w:val="22"/>
              </w:rPr>
              <w:t>a</w:t>
            </w:r>
            <w:r w:rsidRPr="00151119">
              <w:rPr>
                <w:rFonts w:asciiTheme="minorHAnsi" w:hAnsiTheme="minorHAnsi"/>
                <w:sz w:val="22"/>
                <w:szCs w:val="22"/>
              </w:rPr>
              <w:t xml:space="preserve"> formaln</w:t>
            </w:r>
            <w:r>
              <w:rPr>
                <w:rFonts w:asciiTheme="minorHAnsi" w:hAnsiTheme="minorHAnsi"/>
                <w:sz w:val="22"/>
                <w:szCs w:val="22"/>
              </w:rPr>
              <w:t>a</w:t>
            </w:r>
            <w:r w:rsidRPr="00151119">
              <w:rPr>
                <w:rFonts w:asciiTheme="minorHAnsi" w:hAnsiTheme="minorHAnsi"/>
                <w:sz w:val="22"/>
                <w:szCs w:val="22"/>
              </w:rPr>
              <w:t xml:space="preserve"> oraz ocen</w:t>
            </w:r>
            <w:r>
              <w:rPr>
                <w:rFonts w:asciiTheme="minorHAnsi" w:hAnsiTheme="minorHAnsi"/>
                <w:sz w:val="22"/>
                <w:szCs w:val="22"/>
              </w:rPr>
              <w:t>a</w:t>
            </w:r>
            <w:r w:rsidRPr="00151119">
              <w:rPr>
                <w:rFonts w:asciiTheme="minorHAnsi" w:hAnsiTheme="minorHAnsi"/>
                <w:sz w:val="22"/>
                <w:szCs w:val="22"/>
              </w:rPr>
              <w:t xml:space="preserve"> merytoryczn</w:t>
            </w:r>
            <w:r>
              <w:rPr>
                <w:rFonts w:asciiTheme="minorHAnsi" w:hAnsiTheme="minorHAnsi"/>
                <w:sz w:val="22"/>
                <w:szCs w:val="22"/>
              </w:rPr>
              <w:t>a)</w:t>
            </w:r>
            <w:r w:rsidRPr="00151119">
              <w:rPr>
                <w:rFonts w:asciiTheme="minorHAnsi" w:hAnsiTheme="minorHAnsi"/>
                <w:sz w:val="22"/>
                <w:szCs w:val="22"/>
              </w:rPr>
              <w:t xml:space="preserve"> IZ RPO WD 2014-2020 zamieszcza na swojej stronie list</w:t>
            </w:r>
            <w:r w:rsidR="00E92452">
              <w:rPr>
                <w:rFonts w:asciiTheme="minorHAnsi" w:hAnsiTheme="minorHAnsi"/>
                <w:sz w:val="22"/>
                <w:szCs w:val="22"/>
              </w:rPr>
              <w:t>y</w:t>
            </w:r>
            <w:r w:rsidRPr="00151119">
              <w:rPr>
                <w:rFonts w:asciiTheme="minorHAnsi" w:hAnsiTheme="minorHAnsi"/>
                <w:sz w:val="22"/>
                <w:szCs w:val="22"/>
              </w:rPr>
              <w:t xml:space="preserve"> projektów zakwalifikowanych do kolejnego etapu</w:t>
            </w:r>
            <w:r>
              <w:rPr>
                <w:rFonts w:asciiTheme="minorHAnsi" w:hAnsiTheme="minorHAnsi"/>
                <w:sz w:val="22"/>
                <w:szCs w:val="22"/>
              </w:rPr>
              <w:t xml:space="preserve"> lub list</w:t>
            </w:r>
            <w:r w:rsidR="00E92452">
              <w:rPr>
                <w:rFonts w:asciiTheme="minorHAnsi" w:hAnsiTheme="minorHAnsi"/>
                <w:sz w:val="22"/>
                <w:szCs w:val="22"/>
              </w:rPr>
              <w:t>y</w:t>
            </w:r>
            <w:r>
              <w:rPr>
                <w:rFonts w:asciiTheme="minorHAnsi" w:hAnsiTheme="minorHAnsi"/>
                <w:sz w:val="22"/>
                <w:szCs w:val="22"/>
              </w:rPr>
              <w:t>, o któr</w:t>
            </w:r>
            <w:r w:rsidR="00E92452">
              <w:rPr>
                <w:rFonts w:asciiTheme="minorHAnsi" w:hAnsiTheme="minorHAnsi"/>
                <w:sz w:val="22"/>
                <w:szCs w:val="22"/>
              </w:rPr>
              <w:t>ych</w:t>
            </w:r>
            <w:r w:rsidR="00AA5C57">
              <w:rPr>
                <w:rFonts w:asciiTheme="minorHAnsi" w:hAnsiTheme="minorHAnsi"/>
                <w:sz w:val="22"/>
                <w:szCs w:val="22"/>
              </w:rPr>
              <w:t xml:space="preserve"> mowa w </w:t>
            </w:r>
            <w:r w:rsidR="00AA5C57" w:rsidRPr="00C95C5F">
              <w:rPr>
                <w:rFonts w:asciiTheme="minorHAnsi" w:hAnsiTheme="minorHAnsi"/>
                <w:sz w:val="22"/>
                <w:szCs w:val="22"/>
              </w:rPr>
              <w:t>art. 46</w:t>
            </w:r>
            <w:r w:rsidRPr="00C95C5F">
              <w:rPr>
                <w:rFonts w:asciiTheme="minorHAnsi" w:hAnsiTheme="minorHAnsi"/>
                <w:sz w:val="22"/>
                <w:szCs w:val="22"/>
              </w:rPr>
              <w:t xml:space="preserve"> ust. 4 ustawy</w:t>
            </w:r>
            <w:r w:rsidR="00A41980" w:rsidRPr="00C95C5F">
              <w:rPr>
                <w:rFonts w:asciiTheme="minorHAnsi" w:hAnsiTheme="minorHAnsi"/>
                <w:sz w:val="22"/>
                <w:szCs w:val="22"/>
              </w:rPr>
              <w:t xml:space="preserve"> wdrożeniowej</w:t>
            </w:r>
            <w:r w:rsidRPr="00C95C5F">
              <w:rPr>
                <w:rFonts w:asciiTheme="minorHAnsi" w:hAnsiTheme="minorHAnsi"/>
                <w:sz w:val="22"/>
                <w:szCs w:val="22"/>
              </w:rPr>
              <w:t xml:space="preserve">. Ww. listy zawierają m.in. numer wniosku, tytuł projektu, nazwę wnioskodawcy, kwotę dofinansowania oraz wartość całkowitą projektu. </w:t>
            </w:r>
          </w:p>
          <w:p w:rsidR="00984533" w:rsidRPr="00C95C5F" w:rsidRDefault="00984533" w:rsidP="00480411">
            <w:pPr>
              <w:autoSpaceDE w:val="0"/>
              <w:autoSpaceDN w:val="0"/>
              <w:adjustRightInd w:val="0"/>
              <w:spacing w:after="0" w:line="240" w:lineRule="auto"/>
              <w:jc w:val="both"/>
            </w:pPr>
            <w:r w:rsidRPr="00C95C5F">
              <w:t xml:space="preserve">Zgodnie z art. 46 ust. 4 ustawy wdrożeniowej po rozstrzygnięciu konkursu IZ RPO WD 2014-2020 zamieszcza na swojej stronie internetowej: </w:t>
            </w:r>
            <w:hyperlink r:id="rId19" w:history="1">
              <w:r w:rsidRPr="00C95C5F">
                <w:rPr>
                  <w:rStyle w:val="Hipercze"/>
                </w:rPr>
                <w:t>www.rpo.dolnyslask.pl</w:t>
              </w:r>
            </w:hyperlink>
            <w:r w:rsidRPr="00C95C5F">
              <w:t xml:space="preserve">  oraz na portalu Funduszy Europejskich: </w:t>
            </w:r>
            <w:hyperlink r:id="rId20" w:history="1">
              <w:r w:rsidRPr="00C95C5F">
                <w:rPr>
                  <w:rStyle w:val="Hipercze"/>
                </w:rPr>
                <w:t>www.funduszeeuropejskie.gov.pl</w:t>
              </w:r>
            </w:hyperlink>
            <w:r w:rsidRPr="00C95C5F">
              <w:t xml:space="preserve">, listy projektów, które uzyskały wymaganą liczbę punktów, z wyróżnieniem projektów wybranych do dofinansowania jak również powiadamia pisemnie każdego wnioskodawcę o zakończeniu oceny jego projektu. </w:t>
            </w:r>
          </w:p>
          <w:p w:rsidR="00984533" w:rsidRDefault="00AA5C57" w:rsidP="00480411">
            <w:pPr>
              <w:pStyle w:val="Default"/>
              <w:jc w:val="both"/>
              <w:rPr>
                <w:rFonts w:asciiTheme="minorHAnsi" w:hAnsiTheme="minorHAnsi"/>
                <w:sz w:val="22"/>
                <w:szCs w:val="22"/>
              </w:rPr>
            </w:pPr>
            <w:r w:rsidRPr="00C95C5F">
              <w:rPr>
                <w:rFonts w:asciiTheme="minorHAnsi" w:hAnsiTheme="minorHAnsi"/>
                <w:sz w:val="22"/>
                <w:szCs w:val="22"/>
              </w:rPr>
              <w:t>Dodatkowo</w:t>
            </w:r>
            <w:r w:rsidR="00EF4ECD" w:rsidRPr="00C95C5F">
              <w:rPr>
                <w:rFonts w:asciiTheme="minorHAnsi" w:hAnsiTheme="minorHAnsi"/>
                <w:sz w:val="22"/>
                <w:szCs w:val="22"/>
              </w:rPr>
              <w:t>,</w:t>
            </w:r>
            <w:r w:rsidRPr="00C95C5F">
              <w:rPr>
                <w:rFonts w:asciiTheme="minorHAnsi" w:hAnsiTheme="minorHAnsi"/>
                <w:sz w:val="22"/>
                <w:szCs w:val="22"/>
              </w:rPr>
              <w:t xml:space="preserve"> zgodnie z art. 44 ust. 5 </w:t>
            </w:r>
            <w:r w:rsidR="00984533" w:rsidRPr="00C95C5F">
              <w:rPr>
                <w:rFonts w:asciiTheme="minorHAnsi" w:hAnsiTheme="minorHAnsi"/>
                <w:sz w:val="22"/>
                <w:szCs w:val="22"/>
              </w:rPr>
              <w:t>po rozstrzygnięciu konkursu IZ RPO WD 2014-2020 zamieszcza na swojej stronie internetowej informację o składzie KOP.</w:t>
            </w:r>
            <w:r w:rsidR="00984533" w:rsidRPr="00151119">
              <w:rPr>
                <w:rFonts w:asciiTheme="minorHAnsi" w:hAnsiTheme="minorHAnsi"/>
                <w:sz w:val="22"/>
                <w:szCs w:val="22"/>
              </w:rPr>
              <w:t xml:space="preserve"> </w:t>
            </w:r>
            <w:r w:rsidR="00EF4ECD">
              <w:rPr>
                <w:rFonts w:asciiTheme="minorHAnsi" w:hAnsiTheme="minorHAnsi"/>
                <w:sz w:val="22"/>
                <w:szCs w:val="22"/>
              </w:rPr>
              <w:t xml:space="preserve"> </w:t>
            </w:r>
          </w:p>
          <w:p w:rsidR="00984533" w:rsidRPr="00151119" w:rsidRDefault="00984533" w:rsidP="00480411">
            <w:pPr>
              <w:pStyle w:val="Default"/>
              <w:jc w:val="both"/>
              <w:rPr>
                <w:rFonts w:asciiTheme="minorHAnsi" w:hAnsiTheme="minorHAnsi"/>
                <w:sz w:val="22"/>
                <w:szCs w:val="22"/>
              </w:rPr>
            </w:pPr>
          </w:p>
          <w:p w:rsidR="00984533" w:rsidRPr="00F05333" w:rsidRDefault="00984533" w:rsidP="00480411">
            <w:pPr>
              <w:pStyle w:val="Default"/>
              <w:jc w:val="both"/>
              <w:rPr>
                <w:sz w:val="22"/>
                <w:szCs w:val="22"/>
              </w:rPr>
            </w:pPr>
            <w:r>
              <w:rPr>
                <w:sz w:val="22"/>
                <w:szCs w:val="22"/>
              </w:rPr>
              <w:t>Ponadto na wniosek zainteresowanego udziela</w:t>
            </w:r>
            <w:r w:rsidR="00AA5C57">
              <w:rPr>
                <w:sz w:val="22"/>
                <w:szCs w:val="22"/>
              </w:rPr>
              <w:t>na jest informacja o postę</w:t>
            </w:r>
            <w:r>
              <w:rPr>
                <w:sz w:val="22"/>
                <w:szCs w:val="22"/>
              </w:rPr>
              <w:t xml:space="preserv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późn. zm.), nie są: </w:t>
            </w:r>
          </w:p>
          <w:p w:rsidR="00984533" w:rsidRPr="00F05333" w:rsidRDefault="00984533" w:rsidP="00480411">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w:t>
            </w:r>
            <w:r w:rsidR="00E92452" w:rsidRPr="00E92452">
              <w:rPr>
                <w:sz w:val="22"/>
                <w:szCs w:val="22"/>
              </w:rPr>
              <w:t xml:space="preserve"> albo wydania w stosunku do nich decyzji o dofinansowaniu projektu;</w:t>
            </w:r>
            <w:r w:rsidRPr="00F05333">
              <w:rPr>
                <w:sz w:val="22"/>
                <w:szCs w:val="22"/>
              </w:rPr>
              <w:t xml:space="preserve"> </w:t>
            </w:r>
          </w:p>
          <w:p w:rsidR="00984533" w:rsidRDefault="00984533" w:rsidP="00480411">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 xml:space="preserve">i informacji przedstawianych przez wnioskodawców do czasu rozstrzygnięcia </w:t>
            </w:r>
            <w:r w:rsidRPr="00F05333">
              <w:rPr>
                <w:sz w:val="22"/>
                <w:szCs w:val="22"/>
              </w:rPr>
              <w:lastRenderedPageBreak/>
              <w:t>konkursu.</w:t>
            </w:r>
            <w:r>
              <w:rPr>
                <w:sz w:val="22"/>
                <w:szCs w:val="22"/>
              </w:rPr>
              <w:t xml:space="preserve"> </w:t>
            </w:r>
          </w:p>
          <w:p w:rsidR="00984533" w:rsidRPr="00151119" w:rsidRDefault="00984533" w:rsidP="00E92452">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2779AA" w:rsidRPr="00221CA3" w:rsidRDefault="002779AA" w:rsidP="002779AA">
            <w:r w:rsidRPr="00151119">
              <w:rPr>
                <w:rFonts w:cs="Calibri"/>
              </w:rPr>
              <w:t>IOK udziela wyjaśnień w kwestiach dotyczących konkursu i odpowiedzi na zapytania indywidualne poprzez</w:t>
            </w:r>
            <w:r>
              <w:rPr>
                <w:rFonts w:cs="Calibri"/>
              </w:rPr>
              <w:t xml:space="preserve"> następujące</w:t>
            </w:r>
            <w:r w:rsidRPr="00221CA3">
              <w:rPr>
                <w:rFonts w:cs="Calibri"/>
              </w:rPr>
              <w:t xml:space="preserve"> adresy mailowe:</w:t>
            </w:r>
            <w:r w:rsidRPr="00BF4058">
              <w:rPr>
                <w:b/>
                <w:bCs/>
              </w:rPr>
              <w:br/>
            </w:r>
          </w:p>
          <w:p w:rsidR="002779AA" w:rsidRPr="00221CA3" w:rsidRDefault="00EE0B33" w:rsidP="002779AA">
            <w:pPr>
              <w:pStyle w:val="bodytext"/>
              <w:jc w:val="center"/>
              <w:rPr>
                <w:rFonts w:asciiTheme="minorHAnsi" w:hAnsiTheme="minorHAnsi"/>
                <w:b/>
                <w:sz w:val="22"/>
                <w:szCs w:val="22"/>
              </w:rPr>
            </w:pPr>
            <w:hyperlink r:id="rId21" w:history="1">
              <w:r w:rsidR="002779AA" w:rsidRPr="00221CA3">
                <w:rPr>
                  <w:rStyle w:val="Hipercze"/>
                  <w:rFonts w:asciiTheme="minorHAnsi" w:hAnsiTheme="minorHAnsi"/>
                  <w:b/>
                  <w:sz w:val="22"/>
                  <w:szCs w:val="22"/>
                </w:rPr>
                <w:t>pife@dolnyslask.pl</w:t>
              </w:r>
            </w:hyperlink>
          </w:p>
          <w:p w:rsidR="002779AA" w:rsidRPr="00221CA3" w:rsidRDefault="00EE0B33" w:rsidP="002779AA">
            <w:pPr>
              <w:spacing w:before="120" w:after="120" w:line="240" w:lineRule="auto"/>
              <w:jc w:val="center"/>
              <w:rPr>
                <w:b/>
              </w:rPr>
            </w:pPr>
            <w:hyperlink r:id="rId22" w:history="1">
              <w:r w:rsidR="002779AA" w:rsidRPr="00221CA3">
                <w:rPr>
                  <w:rStyle w:val="Hipercze"/>
                  <w:b/>
                </w:rPr>
                <w:t>pife.jeleniagora@dolnyslask.pl</w:t>
              </w:r>
            </w:hyperlink>
          </w:p>
          <w:p w:rsidR="002779AA" w:rsidRPr="00221CA3" w:rsidRDefault="00EE0B33" w:rsidP="002779AA">
            <w:pPr>
              <w:spacing w:before="120" w:after="120" w:line="240" w:lineRule="auto"/>
              <w:jc w:val="center"/>
              <w:rPr>
                <w:b/>
              </w:rPr>
            </w:pPr>
            <w:hyperlink r:id="rId23" w:history="1">
              <w:r w:rsidR="002779AA" w:rsidRPr="00221CA3">
                <w:rPr>
                  <w:rStyle w:val="Hipercze"/>
                  <w:b/>
                </w:rPr>
                <w:t>pife.legnica@dolnyslask.pl</w:t>
              </w:r>
            </w:hyperlink>
          </w:p>
          <w:p w:rsidR="00984533" w:rsidRPr="002779AA" w:rsidRDefault="00EE0B33" w:rsidP="002779AA">
            <w:pPr>
              <w:spacing w:before="120" w:after="120" w:line="240" w:lineRule="auto"/>
              <w:jc w:val="center"/>
              <w:rPr>
                <w:b/>
              </w:rPr>
            </w:pPr>
            <w:hyperlink r:id="rId24" w:history="1">
              <w:r w:rsidR="002779AA" w:rsidRPr="00221CA3">
                <w:rPr>
                  <w:rStyle w:val="Hipercze"/>
                  <w:b/>
                </w:rPr>
                <w:t>pife.walbrzych@dolnyslask.pl</w:t>
              </w:r>
            </w:hyperlink>
          </w:p>
          <w:p w:rsidR="00984533" w:rsidRPr="00D176C2" w:rsidRDefault="00984533"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25"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r w:rsidR="00C77521">
              <w:t xml:space="preserve"> </w:t>
            </w:r>
            <w:r w:rsidR="00D657A3">
              <w:rPr>
                <w:rFonts w:cs="Calibri"/>
              </w:rPr>
              <w:t>Przed zadaniem pytania należy zapoznać</w:t>
            </w:r>
            <w:r w:rsidR="00C77521" w:rsidRPr="00C77521">
              <w:rPr>
                <w:rFonts w:cs="Calibri"/>
              </w:rPr>
              <w:t xml:space="preserve"> się z katalogiem najczęściej zadawanych pytań.</w:t>
            </w:r>
          </w:p>
          <w:p w:rsidR="00984533" w:rsidRPr="00D176C2" w:rsidRDefault="00984533" w:rsidP="00480411">
            <w:pPr>
              <w:spacing w:before="120" w:after="120" w:line="240" w:lineRule="auto"/>
              <w:jc w:val="both"/>
              <w:rPr>
                <w:rFonts w:cs="Times New Roman"/>
              </w:rPr>
            </w:pPr>
            <w:r w:rsidRPr="00D176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6" w:history="1">
              <w:r w:rsidRPr="00D176C2">
                <w:rPr>
                  <w:rStyle w:val="Hipercze"/>
                  <w:rFonts w:cs="Calibri"/>
                </w:rPr>
                <w:t>www.rpo.dolnyslask.pl</w:t>
              </w:r>
            </w:hyperlink>
            <w:r w:rsidRPr="00D176C2">
              <w:t>.</w:t>
            </w:r>
          </w:p>
          <w:p w:rsidR="00984533" w:rsidRPr="00FA749C" w:rsidRDefault="00984533"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933C87">
            <w:pPr>
              <w:pStyle w:val="Default"/>
            </w:pPr>
            <w:r w:rsidRPr="00151119">
              <w:rPr>
                <w:rFonts w:asciiTheme="minorHAnsi" w:hAnsiTheme="minorHAnsi"/>
                <w:sz w:val="22"/>
                <w:szCs w:val="22"/>
              </w:rPr>
              <w:t xml:space="preserve">Orientacyjny termin rozstrzygnięcia konkursu to </w:t>
            </w:r>
            <w:r w:rsidR="00933C87">
              <w:rPr>
                <w:rFonts w:asciiTheme="minorHAnsi" w:hAnsiTheme="minorHAnsi"/>
                <w:sz w:val="22"/>
                <w:szCs w:val="22"/>
              </w:rPr>
              <w:t xml:space="preserve">październik </w:t>
            </w:r>
            <w:r w:rsidR="00020C5D" w:rsidRPr="00C95C5F">
              <w:rPr>
                <w:rFonts w:asciiTheme="minorHAnsi" w:hAnsiTheme="minorHAnsi"/>
                <w:sz w:val="22"/>
                <w:szCs w:val="22"/>
              </w:rPr>
              <w:t>2016 r.</w:t>
            </w:r>
            <w:r w:rsidRPr="00151119">
              <w:rPr>
                <w:rFonts w:asciiTheme="minorHAnsi" w:hAnsiTheme="minorHAnsi"/>
                <w:sz w:val="22"/>
                <w:szCs w:val="22"/>
              </w:rPr>
              <w:t xml:space="preserve"> </w:t>
            </w:r>
          </w:p>
        </w:tc>
      </w:tr>
      <w:tr w:rsidR="00984533" w:rsidRPr="00151119" w:rsidTr="00A60962">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t>IOK zastrzega sobie prawo do anulowania konkursu w następujących przypadkach do momentu zatwierdzenia listy rankingowej:</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lastRenderedPageBreak/>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984533" w:rsidRPr="00151119" w:rsidRDefault="00984533"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151119" w:rsidRDefault="00984533"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5D67D6" w:rsidRDefault="00984533"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6" w:name="_Toc425494883"/>
            <w:bookmarkEnd w:id="6"/>
            <w:r w:rsidRPr="00151119">
              <w:t xml:space="preserve">internetowej </w:t>
            </w:r>
            <w:hyperlink r:id="rId27" w:history="1">
              <w:r w:rsidRPr="00151119">
                <w:rPr>
                  <w:rStyle w:val="Hipercze"/>
                  <w:rFonts w:cs="Calibri"/>
                </w:rPr>
                <w:t>www.rpo.dolnyslask.pl</w:t>
              </w:r>
            </w:hyperlink>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A0630" w:rsidP="00480411">
            <w:pPr>
              <w:autoSpaceDE w:val="0"/>
              <w:autoSpaceDN w:val="0"/>
              <w:adjustRightInd w:val="0"/>
              <w:spacing w:after="0" w:line="240" w:lineRule="auto"/>
              <w:jc w:val="both"/>
              <w:rPr>
                <w:color w:val="000000"/>
              </w:rPr>
            </w:pPr>
            <w:r>
              <w:t xml:space="preserve">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Rozporządzeniem ogólnym, </w:t>
            </w:r>
          </w:p>
          <w:p w:rsidR="00EF3AAC" w:rsidRDefault="00EF3AAC" w:rsidP="00EF3AAC">
            <w:pPr>
              <w:numPr>
                <w:ilvl w:val="0"/>
                <w:numId w:val="37"/>
              </w:numPr>
              <w:suppressAutoHyphens/>
              <w:spacing w:after="0" w:line="240" w:lineRule="auto"/>
              <w:ind w:left="395"/>
              <w:jc w:val="both"/>
            </w:pPr>
            <w:r w:rsidRPr="00081F91">
              <w:rPr>
                <w:rFonts w:ascii="Calibri" w:eastAsia="Times New Roman" w:hAnsi="Calibri" w:cs="Times New Roman"/>
                <w:color w:val="00000A"/>
                <w:lang w:eastAsia="pl-PL"/>
              </w:rPr>
              <w:t>Rozporządzenie</w:t>
            </w:r>
            <w:r>
              <w:rPr>
                <w:rFonts w:ascii="Calibri" w:eastAsia="Times New Roman" w:hAnsi="Calibri" w:cs="Times New Roman"/>
                <w:color w:val="00000A"/>
                <w:lang w:eastAsia="pl-PL"/>
              </w:rPr>
              <w:t>m</w:t>
            </w:r>
            <w:r w:rsidRPr="00081F91">
              <w:rPr>
                <w:rFonts w:ascii="Calibri" w:eastAsia="Times New Roman" w:hAnsi="Calibri" w:cs="Times New Roman"/>
                <w:color w:val="00000A"/>
                <w:lang w:eastAsia="pl-PL"/>
              </w:rPr>
              <w:t xml:space="preserve"> Komisji (UE) nr 1407/2013 z dnia 18 grudnia 2013 r. w sprawie stosowania art. 107 i 108 Traktatu o funkcjonowaniu Unii Europejskiej do pomocy de minimis</w:t>
            </w:r>
            <w:r w:rsidRPr="00EF3AAC">
              <w:t xml:space="preserve"> </w:t>
            </w:r>
          </w:p>
          <w:p w:rsidR="00081F91" w:rsidRPr="00EF3AAC" w:rsidRDefault="00EF3AAC" w:rsidP="00EF3AAC">
            <w:pPr>
              <w:numPr>
                <w:ilvl w:val="0"/>
                <w:numId w:val="37"/>
              </w:numPr>
              <w:suppressAutoHyphens/>
              <w:spacing w:after="0" w:line="240" w:lineRule="auto"/>
              <w:ind w:left="395"/>
              <w:jc w:val="both"/>
            </w:pPr>
            <w:r w:rsidRPr="00EF3AAC">
              <w:t xml:space="preserve">Rozporządzeniem Ministra Infrastruktury i Rozwoju z dnia 19 marca 2015 r. w sprawie udzielania pomocy de minimis w ramach regionalnych programów operacyjnych na lata 2014-2020. (Dz. U. z 2015 r. poz. 488 </w:t>
            </w:r>
            <w:r w:rsidRPr="00EF3AAC">
              <w:br/>
              <w:t xml:space="preserve">z późn. zm.),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Ustawą wdrożeniową,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Wytycznymi Ministra Infrastruktury i Rozwoju </w:t>
            </w:r>
            <w:r w:rsidRPr="00081F91">
              <w:rPr>
                <w:rFonts w:ascii="Calibri" w:eastAsia="Times New Roman" w:hAnsi="Calibri" w:cs="Times New Roman"/>
                <w:color w:val="00000A"/>
                <w:lang w:eastAsia="pl-PL"/>
              </w:rPr>
              <w:t xml:space="preserve">z dnia 10 kwietnia 2015 r. </w:t>
            </w:r>
            <w:r w:rsidRPr="00081F91">
              <w:rPr>
                <w:rFonts w:ascii="Calibri" w:eastAsia="Times New Roman" w:hAnsi="Calibri" w:cs="Calibri"/>
                <w:color w:val="00000A"/>
                <w:szCs w:val="20"/>
                <w:lang w:eastAsia="pl-PL"/>
              </w:rPr>
              <w:t xml:space="preserve"> w zakresie kwalifikowalności wydatków w ramach Europejskiego Funduszu Rozwoju Regionalnego, Europejskiego Funduszu Społecznego oraz Funduszu Spójności na lata 2014-2020,</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z zasadami ok</w:t>
            </w:r>
            <w:r>
              <w:rPr>
                <w:rFonts w:ascii="Calibri" w:eastAsia="Times New Roman" w:hAnsi="Calibri" w:cs="Calibri"/>
                <w:color w:val="00000A"/>
                <w:szCs w:val="20"/>
                <w:lang w:eastAsia="pl-PL"/>
              </w:rPr>
              <w:t>reślonymi w zał. nr 6 do SZOOP RPO WD 2014-2020</w:t>
            </w:r>
          </w:p>
          <w:p w:rsidR="00984533" w:rsidRDefault="00984533" w:rsidP="00480411">
            <w:pPr>
              <w:spacing w:after="0" w:line="240" w:lineRule="auto"/>
              <w:jc w:val="both"/>
            </w:pPr>
          </w:p>
          <w:p w:rsidR="00984533" w:rsidRDefault="00984533" w:rsidP="00480411">
            <w:pPr>
              <w:spacing w:after="0" w:line="240" w:lineRule="auto"/>
              <w:jc w:val="both"/>
              <w:rPr>
                <w:rFonts w:cs="Arial"/>
                <w:color w:val="000000"/>
              </w:rPr>
            </w:pPr>
            <w:r w:rsidRPr="00FA749C">
              <w:rPr>
                <w:rFonts w:cs="Arial"/>
                <w:color w:val="000000"/>
              </w:rPr>
              <w:t>Początkiem okresu kwalifikowalności wydatków jest 1 stycznia 2014</w:t>
            </w:r>
            <w:r w:rsidR="00081F91">
              <w:rPr>
                <w:rFonts w:ascii="Calibri" w:hAnsi="Calibri" w:cs="Calibri"/>
                <w:color w:val="000000"/>
              </w:rPr>
              <w:t>.</w:t>
            </w:r>
          </w:p>
          <w:p w:rsidR="00984533" w:rsidRDefault="00984533" w:rsidP="00480411">
            <w:pPr>
              <w:spacing w:after="0" w:line="240" w:lineRule="auto"/>
              <w:jc w:val="both"/>
              <w:rPr>
                <w:rFonts w:cs="Arial"/>
                <w:color w:val="000000"/>
              </w:rPr>
            </w:pPr>
          </w:p>
          <w:p w:rsidR="00984533" w:rsidRPr="00DC123A" w:rsidRDefault="00984533" w:rsidP="00480411">
            <w:pPr>
              <w:spacing w:after="0" w:line="240" w:lineRule="auto"/>
              <w:jc w:val="both"/>
              <w:rPr>
                <w:color w:val="000000"/>
              </w:rPr>
            </w:pPr>
            <w:r w:rsidRPr="00DC123A">
              <w:rPr>
                <w:color w:val="000000"/>
              </w:rPr>
              <w:t xml:space="preserve">Najpóźniejszy termin złożenia ostatniego </w:t>
            </w:r>
            <w:r w:rsidRPr="00194BE9">
              <w:rPr>
                <w:color w:val="000000"/>
              </w:rPr>
              <w:t>wniosku o płatność:</w:t>
            </w:r>
            <w:r w:rsidR="005E659B" w:rsidRPr="00194BE9">
              <w:rPr>
                <w:color w:val="000000"/>
              </w:rPr>
              <w:t xml:space="preserve"> </w:t>
            </w:r>
            <w:r w:rsidR="00460925">
              <w:rPr>
                <w:color w:val="000000"/>
              </w:rPr>
              <w:t>03</w:t>
            </w:r>
            <w:r w:rsidR="00AE3B42" w:rsidRPr="00194BE9">
              <w:rPr>
                <w:color w:val="000000"/>
              </w:rPr>
              <w:t>.</w:t>
            </w:r>
            <w:r w:rsidR="00081F91" w:rsidRPr="00194BE9">
              <w:rPr>
                <w:color w:val="000000"/>
              </w:rPr>
              <w:t>12.2018</w:t>
            </w:r>
            <w:r w:rsidR="00FD6131" w:rsidRPr="00194BE9">
              <w:rPr>
                <w:color w:val="000000"/>
              </w:rPr>
              <w:t xml:space="preserve"> r.</w:t>
            </w:r>
          </w:p>
          <w:p w:rsidR="00984533" w:rsidRPr="00DC123A" w:rsidRDefault="00984533" w:rsidP="00480411">
            <w:pPr>
              <w:pStyle w:val="Default"/>
              <w:jc w:val="both"/>
              <w:rPr>
                <w:rFonts w:asciiTheme="minorHAnsi" w:hAnsiTheme="minorHAnsi" w:cstheme="minorBidi"/>
                <w:sz w:val="22"/>
                <w:szCs w:val="22"/>
              </w:rPr>
            </w:pPr>
          </w:p>
          <w:p w:rsidR="00984533" w:rsidRDefault="00984533"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Default="00040467" w:rsidP="00480411">
            <w:pPr>
              <w:pStyle w:val="Default"/>
              <w:jc w:val="both"/>
              <w:rPr>
                <w:rFonts w:asciiTheme="minorHAnsi" w:hAnsiTheme="minorHAnsi"/>
                <w:sz w:val="22"/>
                <w:szCs w:val="22"/>
              </w:rPr>
            </w:pPr>
          </w:p>
          <w:p w:rsidR="001442E1" w:rsidRPr="001442E1" w:rsidRDefault="001442E1" w:rsidP="00480411">
            <w:pPr>
              <w:pStyle w:val="Default"/>
              <w:jc w:val="both"/>
              <w:rPr>
                <w:rFonts w:asciiTheme="minorHAnsi" w:hAnsiTheme="minorHAnsi"/>
                <w:b/>
                <w:sz w:val="22"/>
                <w:szCs w:val="22"/>
                <w:u w:val="single"/>
              </w:rPr>
            </w:pPr>
            <w:r w:rsidRPr="001442E1">
              <w:rPr>
                <w:rFonts w:asciiTheme="minorHAnsi" w:hAnsiTheme="minorHAnsi"/>
                <w:b/>
                <w:sz w:val="22"/>
                <w:szCs w:val="22"/>
                <w:u w:val="single"/>
              </w:rPr>
              <w:t>Obowiązek publikacji zapytań ofertowych</w:t>
            </w:r>
          </w:p>
          <w:p w:rsidR="001442E1" w:rsidRDefault="001442E1" w:rsidP="0048041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1442E1" w:rsidRDefault="001442E1" w:rsidP="001442E1">
            <w:pPr>
              <w:pStyle w:val="Default"/>
              <w:jc w:val="both"/>
              <w:rPr>
                <w:rFonts w:asciiTheme="minorHAnsi" w:hAnsiTheme="minorHAnsi"/>
                <w:sz w:val="22"/>
                <w:szCs w:val="22"/>
              </w:rPr>
            </w:pPr>
          </w:p>
          <w:p w:rsid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 przypadku rozpoczęcia przez Wnioskodawcę realizacji projektu  na własne ryzyko przed podpisaniem umowy o dofinansowanie, udziel</w:t>
            </w:r>
            <w:r w:rsidR="00F373AC">
              <w:rPr>
                <w:rFonts w:asciiTheme="minorHAnsi" w:hAnsiTheme="minorHAnsi"/>
                <w:sz w:val="22"/>
                <w:szCs w:val="22"/>
              </w:rPr>
              <w:t>e</w:t>
            </w:r>
            <w:r w:rsidRPr="001442E1">
              <w:rPr>
                <w:rFonts w:asciiTheme="minorHAnsi" w:hAnsiTheme="minorHAnsi"/>
                <w:sz w:val="22"/>
                <w:szCs w:val="22"/>
              </w:rPr>
              <w:t xml:space="preserve">nie zamówień odbywa się na zasadach określonych </w:t>
            </w:r>
            <w:r w:rsidR="00F373AC">
              <w:rPr>
                <w:rFonts w:asciiTheme="minorHAnsi" w:hAnsiTheme="minorHAnsi"/>
                <w:sz w:val="22"/>
                <w:szCs w:val="22"/>
              </w:rPr>
              <w:t xml:space="preserve">w </w:t>
            </w:r>
            <w:r w:rsidRPr="001442E1">
              <w:rPr>
                <w:rFonts w:asciiTheme="minorHAnsi" w:hAnsiTheme="minorHAnsi"/>
                <w:sz w:val="22"/>
                <w:szCs w:val="22"/>
              </w:rPr>
              <w:t>Wytycznych w zakresie kwalifikowalności wydatków w ramach Europejskiego Funduszu Rozwoju Regionalnego, Europejskiego Funduszu Społecznego oraz Funduszu Spójności na lata 2014-2020</w:t>
            </w:r>
            <w:r>
              <w:rPr>
                <w:rFonts w:asciiTheme="minorHAnsi" w:hAnsiTheme="minorHAnsi"/>
                <w:sz w:val="22"/>
                <w:szCs w:val="22"/>
              </w:rPr>
              <w:t>.</w:t>
            </w:r>
          </w:p>
          <w:p w:rsidR="007C678B" w:rsidRDefault="007C678B"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b/>
                <w:sz w:val="22"/>
                <w:szCs w:val="22"/>
                <w:u w:val="single"/>
              </w:rPr>
            </w:pPr>
            <w:r w:rsidRPr="001442E1">
              <w:rPr>
                <w:rFonts w:asciiTheme="minorHAnsi" w:hAnsiTheme="minorHAnsi"/>
                <w:b/>
                <w:sz w:val="22"/>
                <w:szCs w:val="22"/>
                <w:u w:val="single"/>
              </w:rPr>
              <w:t>Kontrola</w:t>
            </w:r>
          </w:p>
          <w:p w:rsidR="001442E1" w:rsidRDefault="001442E1"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Kontrola prawidłowości udzielania zamówień publicznych (udzielonych zgodnie z ustaw</w:t>
            </w:r>
            <w:r w:rsidR="00F373AC">
              <w:rPr>
                <w:rFonts w:asciiTheme="minorHAnsi" w:hAnsiTheme="minorHAnsi"/>
                <w:sz w:val="22"/>
                <w:szCs w:val="22"/>
              </w:rPr>
              <w:t>ą</w:t>
            </w:r>
            <w:r w:rsidRPr="001442E1">
              <w:rPr>
                <w:rFonts w:asciiTheme="minorHAnsi" w:hAnsiTheme="minorHAnsi"/>
                <w:sz w:val="22"/>
                <w:szCs w:val="22"/>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1442E1" w:rsidRPr="00DC123A" w:rsidRDefault="001442E1" w:rsidP="001442E1">
            <w:pPr>
              <w:pStyle w:val="Default"/>
              <w:jc w:val="both"/>
              <w:rPr>
                <w:rFonts w:asciiTheme="minorHAnsi" w:hAnsiTheme="minorHAnsi"/>
                <w:sz w:val="22"/>
                <w:szCs w:val="22"/>
              </w:rPr>
            </w:pPr>
            <w:r w:rsidRPr="001442E1">
              <w:rPr>
                <w:rFonts w:asciiTheme="minorHAnsi" w:hAnsiTheme="minorHAnsi"/>
                <w:sz w:val="22"/>
                <w:szCs w:val="22"/>
              </w:rPr>
              <w:t>Instytucja Zarządzająca RPO WD nie podpisze z Wnioskodawcą umowy o dofinansowanie projektu do czasu zakończenia przedmiotowej kontroli.</w:t>
            </w:r>
          </w:p>
          <w:p w:rsidR="00984533" w:rsidRPr="00456C95" w:rsidRDefault="00984533" w:rsidP="001442E1">
            <w:pPr>
              <w:pStyle w:val="Default"/>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w:t>
            </w:r>
            <w:r w:rsidRPr="005261AF">
              <w:rPr>
                <w:rFonts w:cs="Arial"/>
              </w:rPr>
              <w:lastRenderedPageBreak/>
              <w:t>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984533" w:rsidRPr="009E1832" w:rsidRDefault="00984533"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9B2FE3" w:rsidRPr="00735145" w:rsidRDefault="009B2FE3" w:rsidP="009B2FE3">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9B2FE3" w:rsidRPr="00735145" w:rsidRDefault="009B2FE3" w:rsidP="009B2FE3">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9B2FE3" w:rsidRDefault="009B2FE3" w:rsidP="009B2FE3">
            <w:pPr>
              <w:suppressAutoHyphens/>
              <w:spacing w:after="120" w:line="240" w:lineRule="auto"/>
              <w:jc w:val="both"/>
              <w:rPr>
                <w:rFonts w:eastAsia="Times New Roman" w:cs="Times New Roman"/>
                <w:color w:val="00000A"/>
                <w:szCs w:val="20"/>
                <w:lang w:eastAsia="pl-PL"/>
              </w:rPr>
            </w:pPr>
          </w:p>
          <w:p w:rsidR="009B2FE3" w:rsidRPr="00735145" w:rsidRDefault="009B2FE3" w:rsidP="009B2FE3">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9B2FE3" w:rsidRPr="00735145" w:rsidRDefault="009B2FE3" w:rsidP="009B2FE3">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9B2FE3" w:rsidRPr="00735145" w:rsidRDefault="00EE0B33" w:rsidP="009B2FE3">
            <w:pPr>
              <w:suppressAutoHyphens/>
              <w:spacing w:after="120" w:line="240" w:lineRule="auto"/>
              <w:jc w:val="both"/>
              <w:rPr>
                <w:rFonts w:eastAsia="Droid Sans Fallback" w:cs="Calibri"/>
                <w:color w:val="00000A"/>
              </w:rPr>
            </w:pPr>
            <w:hyperlink r:id="rId28" w:history="1">
              <w:r w:rsidR="009B2FE3" w:rsidRPr="00735145">
                <w:rPr>
                  <w:rFonts w:eastAsia="Droid Sans Fallback" w:cs="Calibri"/>
                  <w:color w:val="0000FF"/>
                  <w:u w:val="single"/>
                </w:rPr>
                <w:t>www.funduszeeuropejskie.gov.pl</w:t>
              </w:r>
            </w:hyperlink>
            <w:r w:rsidR="009B2FE3" w:rsidRPr="00735145">
              <w:rPr>
                <w:rFonts w:eastAsia="Droid Sans Fallback" w:cs="Calibri"/>
                <w:color w:val="00000A"/>
              </w:rPr>
              <w:t>.</w:t>
            </w:r>
          </w:p>
          <w:p w:rsidR="009B2FE3" w:rsidRPr="00735145" w:rsidRDefault="009B2FE3" w:rsidP="009B2FE3">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9B2FE3" w:rsidRPr="00735145" w:rsidRDefault="009B2FE3" w:rsidP="009B2FE3">
            <w:pPr>
              <w:suppressAutoHyphens/>
              <w:spacing w:after="120" w:line="240" w:lineRule="auto"/>
              <w:jc w:val="both"/>
              <w:rPr>
                <w:rFonts w:eastAsia="Droid Sans Fallback" w:cs="Calibri"/>
                <w:color w:val="00000A"/>
              </w:rPr>
            </w:pPr>
          </w:p>
          <w:p w:rsidR="009B2FE3" w:rsidRPr="00735145" w:rsidRDefault="009B2FE3" w:rsidP="009B2FE3">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9B2FE3" w:rsidRDefault="009B2FE3" w:rsidP="009B2FE3">
            <w:pPr>
              <w:suppressAutoHyphens/>
              <w:spacing w:after="120" w:line="240" w:lineRule="auto"/>
              <w:jc w:val="both"/>
              <w:rPr>
                <w:rFonts w:eastAsia="Times New Roman" w:cs="Times New Roman"/>
                <w:color w:val="00000A"/>
                <w:szCs w:val="20"/>
                <w:lang w:eastAsia="pl-PL"/>
              </w:rPr>
            </w:pPr>
          </w:p>
          <w:p w:rsidR="009B2FE3" w:rsidRPr="00735145" w:rsidRDefault="009B2FE3" w:rsidP="009B2FE3">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 xml:space="preserve">zamierzeń budowlanych lub innych ingerencji w środowisko polegających na przekształceniu lub zmianie sposobu wykorzystania terenu, w tym również na wydobywaniu kopalin; przedsięwzięcia </w:t>
            </w:r>
            <w:r w:rsidRPr="00735145">
              <w:rPr>
                <w:rFonts w:eastAsia="Droid Sans Fallback" w:cs="Calibri"/>
                <w:color w:val="00000A"/>
              </w:rPr>
              <w:lastRenderedPageBreak/>
              <w:t>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9B2FE3" w:rsidRPr="00735145" w:rsidRDefault="009B2FE3" w:rsidP="009B2FE3">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9B2FE3" w:rsidRPr="00735145" w:rsidRDefault="009B2FE3" w:rsidP="009B2FE3">
            <w:pPr>
              <w:suppressAutoHyphens/>
              <w:spacing w:line="240" w:lineRule="auto"/>
              <w:ind w:left="360"/>
              <w:rPr>
                <w:rFonts w:eastAsia="Droid Sans Fallback" w:cs="Calibri"/>
                <w:color w:val="00000A"/>
                <w:sz w:val="2"/>
                <w:szCs w:val="2"/>
              </w:rPr>
            </w:pPr>
          </w:p>
          <w:p w:rsidR="009B2FE3" w:rsidRPr="00735145" w:rsidRDefault="009B2FE3" w:rsidP="009B2FE3">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984533" w:rsidRPr="009E1832" w:rsidRDefault="009B2FE3" w:rsidP="009B2FE3">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7" w:name="_Toc426632923"/>
            <w:bookmarkStart w:id="8" w:name="_Toc430826827"/>
            <w:bookmarkStart w:id="9" w:name="_Toc432758975"/>
            <w:r w:rsidRPr="009E1832">
              <w:rPr>
                <w:rFonts w:asciiTheme="minorHAnsi" w:hAnsiTheme="minorHAnsi"/>
                <w:b/>
                <w:sz w:val="22"/>
                <w:szCs w:val="22"/>
              </w:rPr>
              <w:t>Wymagania w zakresie realizacji projektu partnerskiego</w:t>
            </w:r>
            <w:bookmarkEnd w:id="7"/>
            <w:bookmarkEnd w:id="8"/>
            <w:bookmarkEnd w:id="9"/>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Utworzenie lub zainicjowanie partnerstwa musi nastąpić przed złożeniem wniosku o dofinansowanie.</w:t>
            </w:r>
          </w:p>
          <w:p w:rsidR="00984533" w:rsidRDefault="00984533" w:rsidP="00480411">
            <w:pPr>
              <w:spacing w:before="120" w:after="120" w:line="240" w:lineRule="auto"/>
              <w:jc w:val="both"/>
            </w:pPr>
            <w:r w:rsidRPr="009E1832">
              <w:lastRenderedPageBreak/>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Default="00984533"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 xml:space="preserve">(t.j.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984533" w:rsidRPr="009E1832" w:rsidRDefault="00984533"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7C678B" w:rsidRDefault="007C678B" w:rsidP="00FD4A76">
      <w:pPr>
        <w:autoSpaceDE w:val="0"/>
        <w:autoSpaceDN w:val="0"/>
        <w:adjustRightInd w:val="0"/>
        <w:spacing w:after="58" w:line="240" w:lineRule="auto"/>
        <w:jc w:val="both"/>
        <w:rPr>
          <w:rFonts w:cs="Calibri"/>
          <w:color w:val="000000"/>
        </w:rPr>
      </w:pPr>
    </w:p>
    <w:p w:rsidR="002C337B" w:rsidRDefault="002C337B" w:rsidP="00FD4A76">
      <w:pPr>
        <w:autoSpaceDE w:val="0"/>
        <w:autoSpaceDN w:val="0"/>
        <w:adjustRightInd w:val="0"/>
        <w:spacing w:after="58" w:line="240" w:lineRule="auto"/>
        <w:jc w:val="both"/>
        <w:rPr>
          <w:rFonts w:cs="Calibri"/>
          <w:color w:val="000000"/>
        </w:rPr>
      </w:pPr>
    </w:p>
    <w:p w:rsidR="002C337B" w:rsidRPr="00FD4A76" w:rsidRDefault="002C337B" w:rsidP="00FD4A76">
      <w:pPr>
        <w:autoSpaceDE w:val="0"/>
        <w:autoSpaceDN w:val="0"/>
        <w:adjustRightInd w:val="0"/>
        <w:spacing w:after="58" w:line="240" w:lineRule="auto"/>
        <w:jc w:val="both"/>
        <w:rPr>
          <w:rFonts w:cs="Calibri"/>
          <w:color w:val="000000"/>
        </w:rPr>
      </w:pPr>
    </w:p>
    <w:p w:rsidR="007C678B" w:rsidRPr="007C678B" w:rsidRDefault="007C678B" w:rsidP="007C678B">
      <w:pPr>
        <w:pStyle w:val="Default"/>
        <w:rPr>
          <w:sz w:val="22"/>
          <w:szCs w:val="22"/>
        </w:rPr>
      </w:pPr>
      <w:r w:rsidRPr="005261AF">
        <w:rPr>
          <w:b/>
          <w:bCs/>
          <w:sz w:val="22"/>
          <w:szCs w:val="22"/>
        </w:rPr>
        <w:t>Załączniki</w:t>
      </w:r>
      <w:r w:rsidR="00FD4A76">
        <w:rPr>
          <w:b/>
          <w:bCs/>
          <w:sz w:val="22"/>
          <w:szCs w:val="22"/>
        </w:rPr>
        <w:t xml:space="preserve"> do regulaminu</w:t>
      </w:r>
      <w:r w:rsidRPr="005261AF">
        <w:rPr>
          <w:b/>
          <w:bCs/>
          <w:sz w:val="22"/>
          <w:szCs w:val="22"/>
        </w:rPr>
        <w:t xml:space="preserve">: </w:t>
      </w:r>
    </w:p>
    <w:p w:rsidR="00203AEB" w:rsidRPr="00540EE1" w:rsidRDefault="00203AEB" w:rsidP="007C678B">
      <w:pPr>
        <w:pStyle w:val="Akapitzlist"/>
        <w:numPr>
          <w:ilvl w:val="0"/>
          <w:numId w:val="40"/>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34777C">
        <w:rPr>
          <w:rFonts w:asciiTheme="minorHAnsi" w:hAnsiTheme="minorHAnsi"/>
          <w:szCs w:val="22"/>
        </w:rPr>
        <w:t xml:space="preserve">w dniu </w:t>
      </w:r>
      <w:r w:rsidR="00185792">
        <w:rPr>
          <w:rFonts w:asciiTheme="minorHAnsi" w:hAnsiTheme="minorHAnsi"/>
          <w:szCs w:val="22"/>
        </w:rPr>
        <w:t>10.03</w:t>
      </w:r>
      <w:r w:rsidR="0034777C" w:rsidRPr="007C678B">
        <w:rPr>
          <w:rFonts w:asciiTheme="minorHAnsi" w:hAnsiTheme="minorHAnsi"/>
          <w:szCs w:val="22"/>
        </w:rPr>
        <w:t>.2016</w:t>
      </w:r>
      <w:r w:rsidR="000D366A" w:rsidRPr="007C678B">
        <w:rPr>
          <w:rFonts w:asciiTheme="minorHAnsi" w:hAnsiTheme="minorHAnsi"/>
          <w:szCs w:val="22"/>
        </w:rPr>
        <w:t xml:space="preserve"> r</w:t>
      </w:r>
      <w:r w:rsidR="000D366A" w:rsidRPr="00540EE1">
        <w:rPr>
          <w:rFonts w:asciiTheme="minorHAnsi" w:hAnsiTheme="minorHAnsi"/>
          <w:szCs w:val="22"/>
        </w:rPr>
        <w:t>. (</w:t>
      </w:r>
      <w:r w:rsidR="000D366A" w:rsidRPr="00457D00">
        <w:rPr>
          <w:rFonts w:asciiTheme="minorHAnsi" w:hAnsiTheme="minorHAnsi"/>
          <w:szCs w:val="22"/>
        </w:rPr>
        <w:t xml:space="preserve">Uchwała  </w:t>
      </w:r>
      <w:r w:rsidR="000D366A" w:rsidRPr="00457D00">
        <w:rPr>
          <w:rFonts w:asciiTheme="minorHAnsi" w:hAnsiTheme="minorHAnsi"/>
          <w:bCs/>
          <w:szCs w:val="22"/>
        </w:rPr>
        <w:t xml:space="preserve">nr </w:t>
      </w:r>
      <w:r w:rsidR="00DB5D60">
        <w:rPr>
          <w:rFonts w:asciiTheme="minorHAnsi" w:hAnsiTheme="minorHAnsi"/>
          <w:bCs/>
          <w:szCs w:val="22"/>
        </w:rPr>
        <w:t>28</w:t>
      </w:r>
      <w:r w:rsidR="000D366A" w:rsidRPr="00457D00">
        <w:rPr>
          <w:rFonts w:asciiTheme="minorHAnsi" w:hAnsiTheme="minorHAnsi"/>
          <w:bCs/>
          <w:szCs w:val="22"/>
        </w:rPr>
        <w:t>/1</w:t>
      </w:r>
      <w:r w:rsidR="0034777C" w:rsidRPr="00457D00">
        <w:rPr>
          <w:rFonts w:asciiTheme="minorHAnsi" w:hAnsiTheme="minorHAnsi"/>
          <w:bCs/>
          <w:szCs w:val="22"/>
        </w:rPr>
        <w:t>6</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163B95" w:rsidRPr="004E0C6E" w:rsidRDefault="00163C1F" w:rsidP="007C678B">
      <w:pPr>
        <w:pStyle w:val="Akapitzlist"/>
        <w:numPr>
          <w:ilvl w:val="0"/>
          <w:numId w:val="40"/>
        </w:numPr>
        <w:autoSpaceDE w:val="0"/>
        <w:autoSpaceDN w:val="0"/>
        <w:adjustRightInd w:val="0"/>
        <w:spacing w:line="240" w:lineRule="auto"/>
        <w:jc w:val="both"/>
        <w:rPr>
          <w:rFonts w:asciiTheme="minorHAnsi" w:hAnsiTheme="minorHAnsi" w:cs="Calibri"/>
          <w:color w:val="000000"/>
          <w:szCs w:val="22"/>
        </w:rPr>
      </w:pPr>
      <w:r w:rsidRPr="007C678B">
        <w:rPr>
          <w:rFonts w:asciiTheme="minorHAnsi" w:hAnsiTheme="minorHAnsi" w:cs="Calibri"/>
          <w:color w:val="000000"/>
          <w:szCs w:val="22"/>
        </w:rPr>
        <w:t xml:space="preserve">Lista wskaźników na poziomie projektu dla </w:t>
      </w:r>
      <w:r w:rsidR="00540EE1" w:rsidRPr="007C678B">
        <w:rPr>
          <w:rFonts w:asciiTheme="minorHAnsi" w:hAnsiTheme="minorHAnsi" w:cs="Calibri"/>
          <w:color w:val="000000"/>
          <w:szCs w:val="22"/>
        </w:rPr>
        <w:t>pod</w:t>
      </w:r>
      <w:r w:rsidRPr="007C678B">
        <w:rPr>
          <w:rFonts w:asciiTheme="minorHAnsi" w:hAnsiTheme="minorHAnsi" w:cs="Calibri"/>
          <w:color w:val="000000"/>
          <w:szCs w:val="22"/>
        </w:rPr>
        <w:t xml:space="preserve">działania </w:t>
      </w:r>
      <w:r w:rsidR="00185792">
        <w:rPr>
          <w:rFonts w:asciiTheme="minorHAnsi" w:hAnsiTheme="minorHAnsi" w:cs="Calibri"/>
          <w:color w:val="000000"/>
          <w:szCs w:val="22"/>
        </w:rPr>
        <w:t>7.2</w:t>
      </w:r>
      <w:r w:rsidR="0034777C" w:rsidRPr="007C678B">
        <w:rPr>
          <w:rFonts w:asciiTheme="minorHAnsi" w:hAnsiTheme="minorHAnsi" w:cs="Calibri"/>
          <w:color w:val="000000"/>
          <w:szCs w:val="22"/>
        </w:rPr>
        <w:t xml:space="preserve">.1 </w:t>
      </w:r>
      <w:r w:rsidR="004E0C6E" w:rsidRPr="004E0C6E">
        <w:rPr>
          <w:rFonts w:asciiTheme="minorHAnsi" w:hAnsiTheme="minorHAnsi" w:cs="Calibri"/>
          <w:color w:val="000000"/>
          <w:szCs w:val="22"/>
        </w:rPr>
        <w:t>Inwestycje w edukację ponadgimnazjalną, w tym zawodową</w:t>
      </w:r>
      <w:r w:rsidR="005F761A" w:rsidRPr="004E0C6E">
        <w:rPr>
          <w:rFonts w:asciiTheme="minorHAnsi" w:hAnsiTheme="minorHAnsi" w:cs="Calibri"/>
          <w:color w:val="000000"/>
          <w:szCs w:val="22"/>
        </w:rPr>
        <w:t xml:space="preserve"> RPO WD</w:t>
      </w:r>
      <w:r w:rsidR="008445E6" w:rsidRPr="004E0C6E">
        <w:rPr>
          <w:rFonts w:asciiTheme="minorHAnsi" w:hAnsiTheme="minorHAnsi" w:cs="Calibri"/>
          <w:color w:val="000000"/>
          <w:szCs w:val="22"/>
        </w:rPr>
        <w:t xml:space="preserve"> </w:t>
      </w:r>
      <w:r w:rsidR="008445E6" w:rsidRPr="00145653">
        <w:rPr>
          <w:rFonts w:asciiTheme="minorHAnsi" w:hAnsiTheme="minorHAnsi" w:cs="Calibri"/>
          <w:color w:val="000000"/>
          <w:szCs w:val="22"/>
        </w:rPr>
        <w:t>2014-2020.</w:t>
      </w:r>
    </w:p>
    <w:p w:rsidR="00F259B1" w:rsidRPr="00DB5D60" w:rsidRDefault="00A638AF" w:rsidP="00DB5D60">
      <w:pPr>
        <w:pStyle w:val="Akapitzlist"/>
        <w:numPr>
          <w:ilvl w:val="0"/>
          <w:numId w:val="40"/>
        </w:numPr>
        <w:autoSpaceDE w:val="0"/>
        <w:autoSpaceDN w:val="0"/>
        <w:adjustRightInd w:val="0"/>
        <w:spacing w:line="240" w:lineRule="auto"/>
        <w:jc w:val="both"/>
        <w:rPr>
          <w:rFonts w:asciiTheme="minorHAnsi" w:eastAsiaTheme="minorHAnsi" w:hAnsiTheme="minorHAnsi" w:cstheme="minorBidi"/>
          <w:szCs w:val="22"/>
          <w:lang w:eastAsia="en-US"/>
        </w:rPr>
      </w:pPr>
      <w:r w:rsidRPr="00A638AF">
        <w:rPr>
          <w:rFonts w:asciiTheme="minorHAnsi" w:eastAsiaTheme="minorHAnsi" w:hAnsiTheme="minorHAnsi" w:cstheme="minorBidi"/>
          <w:szCs w:val="22"/>
          <w:lang w:eastAsia="en-US"/>
        </w:rPr>
        <w:t>Standard wyposażenia szkolnych pracowni</w:t>
      </w:r>
    </w:p>
    <w:sectPr w:rsidR="00F259B1" w:rsidRPr="00DB5D60" w:rsidSect="007B7525">
      <w:footerReference w:type="default" r:id="rId29"/>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54E" w:rsidRDefault="0097154E" w:rsidP="00E873C4">
      <w:pPr>
        <w:spacing w:after="0" w:line="240" w:lineRule="auto"/>
      </w:pPr>
      <w:r>
        <w:separator/>
      </w:r>
    </w:p>
  </w:endnote>
  <w:endnote w:type="continuationSeparator" w:id="0">
    <w:p w:rsidR="0097154E" w:rsidRDefault="0097154E"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TE1ABE920t00">
    <w:altName w:val="Arial Unicode MS"/>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97154E" w:rsidRDefault="0097154E">
        <w:pPr>
          <w:pStyle w:val="Stopka"/>
          <w:jc w:val="right"/>
        </w:pPr>
        <w:r>
          <w:fldChar w:fldCharType="begin"/>
        </w:r>
        <w:r>
          <w:instrText xml:space="preserve"> PAGE   \* MERGEFORMAT </w:instrText>
        </w:r>
        <w:r>
          <w:fldChar w:fldCharType="separate"/>
        </w:r>
        <w:r w:rsidR="00EE0B33">
          <w:rPr>
            <w:noProof/>
          </w:rPr>
          <w:t>26</w:t>
        </w:r>
        <w:r>
          <w:rPr>
            <w:noProof/>
          </w:rPr>
          <w:fldChar w:fldCharType="end"/>
        </w:r>
      </w:p>
    </w:sdtContent>
  </w:sdt>
  <w:p w:rsidR="0097154E" w:rsidRDefault="009715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54E" w:rsidRDefault="0097154E" w:rsidP="00E873C4">
      <w:pPr>
        <w:spacing w:after="0" w:line="240" w:lineRule="auto"/>
      </w:pPr>
      <w:r>
        <w:separator/>
      </w:r>
    </w:p>
  </w:footnote>
  <w:footnote w:type="continuationSeparator" w:id="0">
    <w:p w:rsidR="0097154E" w:rsidRDefault="0097154E" w:rsidP="00E873C4">
      <w:pPr>
        <w:spacing w:after="0" w:line="240" w:lineRule="auto"/>
      </w:pPr>
      <w:r>
        <w:continuationSeparator/>
      </w:r>
    </w:p>
  </w:footnote>
  <w:footnote w:id="1">
    <w:p w:rsidR="0097154E" w:rsidRDefault="0097154E" w:rsidP="00E63FE4">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2">
    <w:p w:rsidR="0097154E" w:rsidRDefault="0097154E" w:rsidP="00F84390">
      <w:pPr>
        <w:pStyle w:val="Tekstprzypisudolnego"/>
        <w:jc w:val="both"/>
      </w:pPr>
      <w:r w:rsidRPr="0009655D">
        <w:rPr>
          <w:rStyle w:val="Odwoanieprzypisudolnego"/>
        </w:rPr>
        <w:footnoteRef/>
      </w:r>
      <w:r w:rsidRPr="0009655D">
        <w:t xml:space="preserve"> Wydatki kwalifikowalne nie obejmują wydatków ponoszonych na część związaną z infrastrukturą szkół ponadgimnazjalnych ogólnych. Jeśli wnioskodawca nie ma możliwości wykazania kosztów w podziale na  szkołę ponadgimnazjalną zawodową/szkołę ponadgimnazjalną ogólną  należy określić procentowy udział powierzchni użytkowej związanej z prowadzeniem działalności szkoły ponadgimnazjalnej ogólnej w całkowitej powierzchni użytkowej budynku. Następnie należy wg uzyskanej proporcji obniżyć wydatki kwalifikowalne.</w:t>
      </w:r>
      <w:r>
        <w:t xml:space="preserve">  </w:t>
      </w:r>
    </w:p>
  </w:footnote>
  <w:footnote w:id="3">
    <w:p w:rsidR="0097154E" w:rsidRPr="009447AC" w:rsidRDefault="0097154E" w:rsidP="00277147">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8">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4">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5">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8">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5">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27"/>
  </w:num>
  <w:num w:numId="3">
    <w:abstractNumId w:val="34"/>
  </w:num>
  <w:num w:numId="4">
    <w:abstractNumId w:val="30"/>
  </w:num>
  <w:num w:numId="5">
    <w:abstractNumId w:val="5"/>
  </w:num>
  <w:num w:numId="6">
    <w:abstractNumId w:val="36"/>
  </w:num>
  <w:num w:numId="7">
    <w:abstractNumId w:val="10"/>
  </w:num>
  <w:num w:numId="8">
    <w:abstractNumId w:val="17"/>
  </w:num>
  <w:num w:numId="9">
    <w:abstractNumId w:val="33"/>
  </w:num>
  <w:num w:numId="10">
    <w:abstractNumId w:val="21"/>
  </w:num>
  <w:num w:numId="11">
    <w:abstractNumId w:val="28"/>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6"/>
  </w:num>
  <w:num w:numId="16">
    <w:abstractNumId w:val="1"/>
  </w:num>
  <w:num w:numId="17">
    <w:abstractNumId w:val="39"/>
  </w:num>
  <w:num w:numId="18">
    <w:abstractNumId w:val="25"/>
  </w:num>
  <w:num w:numId="19">
    <w:abstractNumId w:val="2"/>
  </w:num>
  <w:num w:numId="20">
    <w:abstractNumId w:val="22"/>
  </w:num>
  <w:num w:numId="21">
    <w:abstractNumId w:val="26"/>
  </w:num>
  <w:num w:numId="22">
    <w:abstractNumId w:val="37"/>
  </w:num>
  <w:num w:numId="23">
    <w:abstractNumId w:val="18"/>
  </w:num>
  <w:num w:numId="24">
    <w:abstractNumId w:val="31"/>
  </w:num>
  <w:num w:numId="25">
    <w:abstractNumId w:val="35"/>
  </w:num>
  <w:num w:numId="26">
    <w:abstractNumId w:val="19"/>
  </w:num>
  <w:num w:numId="27">
    <w:abstractNumId w:val="24"/>
  </w:num>
  <w:num w:numId="28">
    <w:abstractNumId w:val="7"/>
  </w:num>
  <w:num w:numId="29">
    <w:abstractNumId w:val="0"/>
  </w:num>
  <w:num w:numId="30">
    <w:abstractNumId w:val="6"/>
  </w:num>
  <w:num w:numId="31">
    <w:abstractNumId w:val="3"/>
  </w:num>
  <w:num w:numId="32">
    <w:abstractNumId w:val="23"/>
  </w:num>
  <w:num w:numId="33">
    <w:abstractNumId w:val="11"/>
  </w:num>
  <w:num w:numId="34">
    <w:abstractNumId w:val="40"/>
  </w:num>
  <w:num w:numId="35">
    <w:abstractNumId w:val="32"/>
  </w:num>
  <w:num w:numId="36">
    <w:abstractNumId w:val="38"/>
  </w:num>
  <w:num w:numId="37">
    <w:abstractNumId w:val="14"/>
  </w:num>
  <w:num w:numId="38">
    <w:abstractNumId w:val="4"/>
  </w:num>
  <w:num w:numId="39">
    <w:abstractNumId w:val="15"/>
  </w:num>
  <w:num w:numId="40">
    <w:abstractNumId w:val="20"/>
  </w:num>
  <w:num w:numId="41">
    <w:abstractNumId w:val="13"/>
  </w:num>
  <w:num w:numId="4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trackRevisions/>
  <w:defaultTabStop w:val="709"/>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1134F"/>
    <w:rsid w:val="00020C5D"/>
    <w:rsid w:val="00021D74"/>
    <w:rsid w:val="00032C8C"/>
    <w:rsid w:val="00034EE2"/>
    <w:rsid w:val="000359CC"/>
    <w:rsid w:val="00040467"/>
    <w:rsid w:val="0004133F"/>
    <w:rsid w:val="00041EA4"/>
    <w:rsid w:val="00051A6D"/>
    <w:rsid w:val="00053BC4"/>
    <w:rsid w:val="000552B0"/>
    <w:rsid w:val="0006765F"/>
    <w:rsid w:val="00067A0F"/>
    <w:rsid w:val="000763EC"/>
    <w:rsid w:val="00077561"/>
    <w:rsid w:val="00081F91"/>
    <w:rsid w:val="00083567"/>
    <w:rsid w:val="00085B94"/>
    <w:rsid w:val="000948A4"/>
    <w:rsid w:val="000A59C8"/>
    <w:rsid w:val="000A5A8B"/>
    <w:rsid w:val="000B0A42"/>
    <w:rsid w:val="000C10A2"/>
    <w:rsid w:val="000C47BE"/>
    <w:rsid w:val="000C6ED3"/>
    <w:rsid w:val="000C7233"/>
    <w:rsid w:val="000D162D"/>
    <w:rsid w:val="000D322C"/>
    <w:rsid w:val="000D366A"/>
    <w:rsid w:val="000D3A04"/>
    <w:rsid w:val="000E004A"/>
    <w:rsid w:val="000E092B"/>
    <w:rsid w:val="000E2E3A"/>
    <w:rsid w:val="000E60E9"/>
    <w:rsid w:val="000E7206"/>
    <w:rsid w:val="000E776E"/>
    <w:rsid w:val="000E793F"/>
    <w:rsid w:val="000F329D"/>
    <w:rsid w:val="000F50FE"/>
    <w:rsid w:val="00101E95"/>
    <w:rsid w:val="0010204C"/>
    <w:rsid w:val="001035AE"/>
    <w:rsid w:val="0010374F"/>
    <w:rsid w:val="00110149"/>
    <w:rsid w:val="00110E7E"/>
    <w:rsid w:val="001248C7"/>
    <w:rsid w:val="00124CCA"/>
    <w:rsid w:val="001253D8"/>
    <w:rsid w:val="00130AA7"/>
    <w:rsid w:val="00132DD2"/>
    <w:rsid w:val="00135960"/>
    <w:rsid w:val="00136192"/>
    <w:rsid w:val="00140C08"/>
    <w:rsid w:val="00141276"/>
    <w:rsid w:val="00141FBD"/>
    <w:rsid w:val="001442E1"/>
    <w:rsid w:val="0015088A"/>
    <w:rsid w:val="00151119"/>
    <w:rsid w:val="00151FBA"/>
    <w:rsid w:val="00153A52"/>
    <w:rsid w:val="00163B95"/>
    <w:rsid w:val="00163C1F"/>
    <w:rsid w:val="001741B3"/>
    <w:rsid w:val="00180B34"/>
    <w:rsid w:val="00182231"/>
    <w:rsid w:val="001847A5"/>
    <w:rsid w:val="00185792"/>
    <w:rsid w:val="00191208"/>
    <w:rsid w:val="001947CF"/>
    <w:rsid w:val="00194BE9"/>
    <w:rsid w:val="001A62E1"/>
    <w:rsid w:val="001A76B8"/>
    <w:rsid w:val="001B7E02"/>
    <w:rsid w:val="001D5ADE"/>
    <w:rsid w:val="001D79AC"/>
    <w:rsid w:val="001E6CC9"/>
    <w:rsid w:val="00203AEB"/>
    <w:rsid w:val="00204163"/>
    <w:rsid w:val="002049F3"/>
    <w:rsid w:val="00207364"/>
    <w:rsid w:val="00214423"/>
    <w:rsid w:val="00216D57"/>
    <w:rsid w:val="0022084B"/>
    <w:rsid w:val="002238CA"/>
    <w:rsid w:val="002366CF"/>
    <w:rsid w:val="002368A3"/>
    <w:rsid w:val="00240F39"/>
    <w:rsid w:val="002479B3"/>
    <w:rsid w:val="00263D0C"/>
    <w:rsid w:val="00277147"/>
    <w:rsid w:val="002771D8"/>
    <w:rsid w:val="002777A2"/>
    <w:rsid w:val="002779AA"/>
    <w:rsid w:val="0028267C"/>
    <w:rsid w:val="00283849"/>
    <w:rsid w:val="00284BCE"/>
    <w:rsid w:val="002872B3"/>
    <w:rsid w:val="002965D5"/>
    <w:rsid w:val="002A02F4"/>
    <w:rsid w:val="002A432F"/>
    <w:rsid w:val="002A772D"/>
    <w:rsid w:val="002A7A36"/>
    <w:rsid w:val="002B4B1B"/>
    <w:rsid w:val="002B5686"/>
    <w:rsid w:val="002B6A0F"/>
    <w:rsid w:val="002B7A29"/>
    <w:rsid w:val="002C337B"/>
    <w:rsid w:val="002C562E"/>
    <w:rsid w:val="002D184C"/>
    <w:rsid w:val="002D4095"/>
    <w:rsid w:val="002D6AE8"/>
    <w:rsid w:val="002E2658"/>
    <w:rsid w:val="002E5984"/>
    <w:rsid w:val="002E5B1F"/>
    <w:rsid w:val="002F2511"/>
    <w:rsid w:val="002F3568"/>
    <w:rsid w:val="00300E2C"/>
    <w:rsid w:val="00302591"/>
    <w:rsid w:val="00303BCB"/>
    <w:rsid w:val="00314B94"/>
    <w:rsid w:val="00320901"/>
    <w:rsid w:val="0032333D"/>
    <w:rsid w:val="0032381B"/>
    <w:rsid w:val="00326931"/>
    <w:rsid w:val="00331136"/>
    <w:rsid w:val="00331C42"/>
    <w:rsid w:val="0034239F"/>
    <w:rsid w:val="00344EF4"/>
    <w:rsid w:val="003451EF"/>
    <w:rsid w:val="0034777C"/>
    <w:rsid w:val="00360850"/>
    <w:rsid w:val="00364F8A"/>
    <w:rsid w:val="0037103D"/>
    <w:rsid w:val="00372078"/>
    <w:rsid w:val="00372F5E"/>
    <w:rsid w:val="00373A48"/>
    <w:rsid w:val="003746F7"/>
    <w:rsid w:val="003846E2"/>
    <w:rsid w:val="003864E8"/>
    <w:rsid w:val="00386933"/>
    <w:rsid w:val="00387FDF"/>
    <w:rsid w:val="00390D9C"/>
    <w:rsid w:val="00393818"/>
    <w:rsid w:val="003948B3"/>
    <w:rsid w:val="003A0F50"/>
    <w:rsid w:val="003A6136"/>
    <w:rsid w:val="003B3EFD"/>
    <w:rsid w:val="003B4611"/>
    <w:rsid w:val="003B473D"/>
    <w:rsid w:val="003B661C"/>
    <w:rsid w:val="003B6C9D"/>
    <w:rsid w:val="003D6EF8"/>
    <w:rsid w:val="003F1BA7"/>
    <w:rsid w:val="003F59D8"/>
    <w:rsid w:val="003F776C"/>
    <w:rsid w:val="0040059D"/>
    <w:rsid w:val="00407105"/>
    <w:rsid w:val="00410C67"/>
    <w:rsid w:val="00411FC6"/>
    <w:rsid w:val="004123F0"/>
    <w:rsid w:val="004151FA"/>
    <w:rsid w:val="00417D17"/>
    <w:rsid w:val="0042119F"/>
    <w:rsid w:val="00424DF6"/>
    <w:rsid w:val="00425702"/>
    <w:rsid w:val="00434B9B"/>
    <w:rsid w:val="00435B86"/>
    <w:rsid w:val="00435DF8"/>
    <w:rsid w:val="00456C95"/>
    <w:rsid w:val="00457D00"/>
    <w:rsid w:val="00460925"/>
    <w:rsid w:val="004612F9"/>
    <w:rsid w:val="004640F4"/>
    <w:rsid w:val="00474A39"/>
    <w:rsid w:val="00480411"/>
    <w:rsid w:val="00482EA6"/>
    <w:rsid w:val="00485BAF"/>
    <w:rsid w:val="004905C3"/>
    <w:rsid w:val="00494E75"/>
    <w:rsid w:val="00496977"/>
    <w:rsid w:val="004A3789"/>
    <w:rsid w:val="004A55B3"/>
    <w:rsid w:val="004B0B50"/>
    <w:rsid w:val="004B45B7"/>
    <w:rsid w:val="004B5C08"/>
    <w:rsid w:val="004B6D6C"/>
    <w:rsid w:val="004C4183"/>
    <w:rsid w:val="004D07A7"/>
    <w:rsid w:val="004D3634"/>
    <w:rsid w:val="004D6188"/>
    <w:rsid w:val="004E0C6E"/>
    <w:rsid w:val="004E1A59"/>
    <w:rsid w:val="004E2E01"/>
    <w:rsid w:val="004E4D79"/>
    <w:rsid w:val="004F1892"/>
    <w:rsid w:val="004F1BA2"/>
    <w:rsid w:val="004F2CFD"/>
    <w:rsid w:val="004F4D56"/>
    <w:rsid w:val="004F7ABA"/>
    <w:rsid w:val="005007A3"/>
    <w:rsid w:val="00502178"/>
    <w:rsid w:val="00502590"/>
    <w:rsid w:val="00503CA0"/>
    <w:rsid w:val="00516363"/>
    <w:rsid w:val="005261AF"/>
    <w:rsid w:val="00530F60"/>
    <w:rsid w:val="00531A59"/>
    <w:rsid w:val="00531AA5"/>
    <w:rsid w:val="00532690"/>
    <w:rsid w:val="00532F07"/>
    <w:rsid w:val="00533AAB"/>
    <w:rsid w:val="0053485A"/>
    <w:rsid w:val="00540EE1"/>
    <w:rsid w:val="005415B5"/>
    <w:rsid w:val="00543FC5"/>
    <w:rsid w:val="00545257"/>
    <w:rsid w:val="005477CE"/>
    <w:rsid w:val="005507A2"/>
    <w:rsid w:val="0056015A"/>
    <w:rsid w:val="00565A63"/>
    <w:rsid w:val="00571FD0"/>
    <w:rsid w:val="00574632"/>
    <w:rsid w:val="00575525"/>
    <w:rsid w:val="00575541"/>
    <w:rsid w:val="005759E7"/>
    <w:rsid w:val="005779A2"/>
    <w:rsid w:val="00582A00"/>
    <w:rsid w:val="00585063"/>
    <w:rsid w:val="005B0EB2"/>
    <w:rsid w:val="005B34B9"/>
    <w:rsid w:val="005C6AB4"/>
    <w:rsid w:val="005D1AEB"/>
    <w:rsid w:val="005D2A02"/>
    <w:rsid w:val="005D67D6"/>
    <w:rsid w:val="005E2E99"/>
    <w:rsid w:val="005E3357"/>
    <w:rsid w:val="005E659B"/>
    <w:rsid w:val="005E776A"/>
    <w:rsid w:val="005F4132"/>
    <w:rsid w:val="005F65D9"/>
    <w:rsid w:val="005F761A"/>
    <w:rsid w:val="005F764E"/>
    <w:rsid w:val="00600EB8"/>
    <w:rsid w:val="006232D0"/>
    <w:rsid w:val="00630D34"/>
    <w:rsid w:val="00634D48"/>
    <w:rsid w:val="006545AC"/>
    <w:rsid w:val="00656F36"/>
    <w:rsid w:val="00670468"/>
    <w:rsid w:val="006754E3"/>
    <w:rsid w:val="006762E1"/>
    <w:rsid w:val="0067677F"/>
    <w:rsid w:val="00683BC9"/>
    <w:rsid w:val="006877AB"/>
    <w:rsid w:val="006928EA"/>
    <w:rsid w:val="006A1BF0"/>
    <w:rsid w:val="006B0BAB"/>
    <w:rsid w:val="006B2FE8"/>
    <w:rsid w:val="006B5689"/>
    <w:rsid w:val="006B5A9F"/>
    <w:rsid w:val="006C03F2"/>
    <w:rsid w:val="006C2C19"/>
    <w:rsid w:val="006C3C05"/>
    <w:rsid w:val="006C3F4E"/>
    <w:rsid w:val="006D7C1A"/>
    <w:rsid w:val="006F0426"/>
    <w:rsid w:val="006F69DA"/>
    <w:rsid w:val="00701A7D"/>
    <w:rsid w:val="0071078C"/>
    <w:rsid w:val="00715262"/>
    <w:rsid w:val="00716ADF"/>
    <w:rsid w:val="00723CFF"/>
    <w:rsid w:val="00727ADD"/>
    <w:rsid w:val="0074779B"/>
    <w:rsid w:val="007556F0"/>
    <w:rsid w:val="007564BC"/>
    <w:rsid w:val="00761383"/>
    <w:rsid w:val="007625CF"/>
    <w:rsid w:val="00764E1A"/>
    <w:rsid w:val="00766179"/>
    <w:rsid w:val="00783EA8"/>
    <w:rsid w:val="0079114C"/>
    <w:rsid w:val="00791DB1"/>
    <w:rsid w:val="007A04F9"/>
    <w:rsid w:val="007A06B8"/>
    <w:rsid w:val="007A3277"/>
    <w:rsid w:val="007A5A81"/>
    <w:rsid w:val="007B042A"/>
    <w:rsid w:val="007B0A0A"/>
    <w:rsid w:val="007B7525"/>
    <w:rsid w:val="007B7614"/>
    <w:rsid w:val="007C05FA"/>
    <w:rsid w:val="007C0B4C"/>
    <w:rsid w:val="007C678B"/>
    <w:rsid w:val="007D19B0"/>
    <w:rsid w:val="007D3AFA"/>
    <w:rsid w:val="007D5FE3"/>
    <w:rsid w:val="007E0033"/>
    <w:rsid w:val="007E0537"/>
    <w:rsid w:val="007E0AA1"/>
    <w:rsid w:val="007E4E1C"/>
    <w:rsid w:val="007E65CE"/>
    <w:rsid w:val="007E7954"/>
    <w:rsid w:val="007F2804"/>
    <w:rsid w:val="007F3D9A"/>
    <w:rsid w:val="007F45E9"/>
    <w:rsid w:val="007F5D95"/>
    <w:rsid w:val="007F7945"/>
    <w:rsid w:val="00800124"/>
    <w:rsid w:val="00804497"/>
    <w:rsid w:val="00805E31"/>
    <w:rsid w:val="0081019B"/>
    <w:rsid w:val="00812121"/>
    <w:rsid w:val="008178E8"/>
    <w:rsid w:val="0083415B"/>
    <w:rsid w:val="0083426D"/>
    <w:rsid w:val="008373EE"/>
    <w:rsid w:val="008445E6"/>
    <w:rsid w:val="008447B6"/>
    <w:rsid w:val="00850017"/>
    <w:rsid w:val="008505B1"/>
    <w:rsid w:val="008562F9"/>
    <w:rsid w:val="008600F3"/>
    <w:rsid w:val="00862A72"/>
    <w:rsid w:val="00863524"/>
    <w:rsid w:val="0086574D"/>
    <w:rsid w:val="00867A44"/>
    <w:rsid w:val="0087288E"/>
    <w:rsid w:val="00877B9D"/>
    <w:rsid w:val="00882474"/>
    <w:rsid w:val="00891A07"/>
    <w:rsid w:val="0089254A"/>
    <w:rsid w:val="00894AC2"/>
    <w:rsid w:val="008A1234"/>
    <w:rsid w:val="008A4028"/>
    <w:rsid w:val="008B0CF1"/>
    <w:rsid w:val="008B79EA"/>
    <w:rsid w:val="008C3515"/>
    <w:rsid w:val="008C3ECF"/>
    <w:rsid w:val="008C54F0"/>
    <w:rsid w:val="008D2A82"/>
    <w:rsid w:val="008E35D3"/>
    <w:rsid w:val="008E5657"/>
    <w:rsid w:val="008F0FC5"/>
    <w:rsid w:val="008F2DD0"/>
    <w:rsid w:val="008F4AAF"/>
    <w:rsid w:val="008F531C"/>
    <w:rsid w:val="00907747"/>
    <w:rsid w:val="0091138E"/>
    <w:rsid w:val="00912927"/>
    <w:rsid w:val="00916F84"/>
    <w:rsid w:val="00921011"/>
    <w:rsid w:val="00924E91"/>
    <w:rsid w:val="00931A4E"/>
    <w:rsid w:val="009337A7"/>
    <w:rsid w:val="00933C87"/>
    <w:rsid w:val="00936001"/>
    <w:rsid w:val="009367C2"/>
    <w:rsid w:val="009455A4"/>
    <w:rsid w:val="009553C5"/>
    <w:rsid w:val="00956C47"/>
    <w:rsid w:val="00961B8B"/>
    <w:rsid w:val="0096429D"/>
    <w:rsid w:val="00966390"/>
    <w:rsid w:val="00966E9C"/>
    <w:rsid w:val="00967696"/>
    <w:rsid w:val="009701C6"/>
    <w:rsid w:val="0097154E"/>
    <w:rsid w:val="00972D12"/>
    <w:rsid w:val="0097359B"/>
    <w:rsid w:val="00974650"/>
    <w:rsid w:val="00984533"/>
    <w:rsid w:val="0098538F"/>
    <w:rsid w:val="00991291"/>
    <w:rsid w:val="00991FEC"/>
    <w:rsid w:val="009933D5"/>
    <w:rsid w:val="009A0630"/>
    <w:rsid w:val="009A31F4"/>
    <w:rsid w:val="009A7256"/>
    <w:rsid w:val="009B14CF"/>
    <w:rsid w:val="009B2FE3"/>
    <w:rsid w:val="009B3869"/>
    <w:rsid w:val="009B5AE6"/>
    <w:rsid w:val="009C095F"/>
    <w:rsid w:val="009C20EB"/>
    <w:rsid w:val="009C428E"/>
    <w:rsid w:val="009C532E"/>
    <w:rsid w:val="009C6C82"/>
    <w:rsid w:val="009C7CEA"/>
    <w:rsid w:val="009C7DD5"/>
    <w:rsid w:val="009D3B9B"/>
    <w:rsid w:val="009D7FD1"/>
    <w:rsid w:val="009E0C22"/>
    <w:rsid w:val="009E1832"/>
    <w:rsid w:val="009E443F"/>
    <w:rsid w:val="009E5231"/>
    <w:rsid w:val="009F540F"/>
    <w:rsid w:val="009F5C8D"/>
    <w:rsid w:val="00A01645"/>
    <w:rsid w:val="00A0322A"/>
    <w:rsid w:val="00A0659C"/>
    <w:rsid w:val="00A10133"/>
    <w:rsid w:val="00A216E3"/>
    <w:rsid w:val="00A22D86"/>
    <w:rsid w:val="00A24988"/>
    <w:rsid w:val="00A305A0"/>
    <w:rsid w:val="00A41980"/>
    <w:rsid w:val="00A428C1"/>
    <w:rsid w:val="00A522D6"/>
    <w:rsid w:val="00A52334"/>
    <w:rsid w:val="00A60962"/>
    <w:rsid w:val="00A61522"/>
    <w:rsid w:val="00A638AF"/>
    <w:rsid w:val="00A66719"/>
    <w:rsid w:val="00A66F44"/>
    <w:rsid w:val="00A675F0"/>
    <w:rsid w:val="00A67A46"/>
    <w:rsid w:val="00A72E47"/>
    <w:rsid w:val="00A74139"/>
    <w:rsid w:val="00A74C6A"/>
    <w:rsid w:val="00A75F59"/>
    <w:rsid w:val="00A773D6"/>
    <w:rsid w:val="00A84137"/>
    <w:rsid w:val="00A87906"/>
    <w:rsid w:val="00A9181A"/>
    <w:rsid w:val="00AA0A4C"/>
    <w:rsid w:val="00AA219A"/>
    <w:rsid w:val="00AA421A"/>
    <w:rsid w:val="00AA5C57"/>
    <w:rsid w:val="00AB1F03"/>
    <w:rsid w:val="00AB4FBA"/>
    <w:rsid w:val="00AB5956"/>
    <w:rsid w:val="00AB5D43"/>
    <w:rsid w:val="00AC2E88"/>
    <w:rsid w:val="00AC43B1"/>
    <w:rsid w:val="00AC7908"/>
    <w:rsid w:val="00AD3892"/>
    <w:rsid w:val="00AD417D"/>
    <w:rsid w:val="00AD4F70"/>
    <w:rsid w:val="00AD6E10"/>
    <w:rsid w:val="00AE05B6"/>
    <w:rsid w:val="00AE3B42"/>
    <w:rsid w:val="00AF2A83"/>
    <w:rsid w:val="00AF490F"/>
    <w:rsid w:val="00AF520B"/>
    <w:rsid w:val="00B05ACC"/>
    <w:rsid w:val="00B1751D"/>
    <w:rsid w:val="00B203D0"/>
    <w:rsid w:val="00B23C9D"/>
    <w:rsid w:val="00B35B23"/>
    <w:rsid w:val="00B40499"/>
    <w:rsid w:val="00B41748"/>
    <w:rsid w:val="00B42EB9"/>
    <w:rsid w:val="00B433A2"/>
    <w:rsid w:val="00B436F1"/>
    <w:rsid w:val="00B474CB"/>
    <w:rsid w:val="00B51B27"/>
    <w:rsid w:val="00B5255D"/>
    <w:rsid w:val="00B52DF1"/>
    <w:rsid w:val="00B5754A"/>
    <w:rsid w:val="00B618A5"/>
    <w:rsid w:val="00B61F6F"/>
    <w:rsid w:val="00B64FEB"/>
    <w:rsid w:val="00B66089"/>
    <w:rsid w:val="00B66E42"/>
    <w:rsid w:val="00B67EF7"/>
    <w:rsid w:val="00B70336"/>
    <w:rsid w:val="00B71854"/>
    <w:rsid w:val="00B92573"/>
    <w:rsid w:val="00B9341F"/>
    <w:rsid w:val="00BA0FE2"/>
    <w:rsid w:val="00BA161C"/>
    <w:rsid w:val="00BB63F4"/>
    <w:rsid w:val="00BB6BFC"/>
    <w:rsid w:val="00BC08C5"/>
    <w:rsid w:val="00BC0942"/>
    <w:rsid w:val="00BC357F"/>
    <w:rsid w:val="00BC5BD2"/>
    <w:rsid w:val="00BD0C2B"/>
    <w:rsid w:val="00BD2093"/>
    <w:rsid w:val="00BD4229"/>
    <w:rsid w:val="00BD65D3"/>
    <w:rsid w:val="00BE5EED"/>
    <w:rsid w:val="00BE7177"/>
    <w:rsid w:val="00BE7BF6"/>
    <w:rsid w:val="00BF00BE"/>
    <w:rsid w:val="00BF4058"/>
    <w:rsid w:val="00C04E00"/>
    <w:rsid w:val="00C149E8"/>
    <w:rsid w:val="00C1610E"/>
    <w:rsid w:val="00C16578"/>
    <w:rsid w:val="00C20A58"/>
    <w:rsid w:val="00C2133B"/>
    <w:rsid w:val="00C22B29"/>
    <w:rsid w:val="00C22C74"/>
    <w:rsid w:val="00C239C7"/>
    <w:rsid w:val="00C33DA2"/>
    <w:rsid w:val="00C34B4F"/>
    <w:rsid w:val="00C37569"/>
    <w:rsid w:val="00C41E9C"/>
    <w:rsid w:val="00C47AD4"/>
    <w:rsid w:val="00C62904"/>
    <w:rsid w:val="00C64F3B"/>
    <w:rsid w:val="00C652F8"/>
    <w:rsid w:val="00C73D60"/>
    <w:rsid w:val="00C76888"/>
    <w:rsid w:val="00C77521"/>
    <w:rsid w:val="00C77D65"/>
    <w:rsid w:val="00C918E6"/>
    <w:rsid w:val="00C95C5F"/>
    <w:rsid w:val="00CA32FC"/>
    <w:rsid w:val="00CA6245"/>
    <w:rsid w:val="00CA6EA5"/>
    <w:rsid w:val="00CB0572"/>
    <w:rsid w:val="00CB17E9"/>
    <w:rsid w:val="00CB5165"/>
    <w:rsid w:val="00CB791B"/>
    <w:rsid w:val="00CC68D1"/>
    <w:rsid w:val="00CD42AC"/>
    <w:rsid w:val="00CD6D41"/>
    <w:rsid w:val="00CE00BD"/>
    <w:rsid w:val="00CE03F4"/>
    <w:rsid w:val="00CF4336"/>
    <w:rsid w:val="00CF5F23"/>
    <w:rsid w:val="00D0002D"/>
    <w:rsid w:val="00D016E7"/>
    <w:rsid w:val="00D116B3"/>
    <w:rsid w:val="00D12266"/>
    <w:rsid w:val="00D125BA"/>
    <w:rsid w:val="00D12C60"/>
    <w:rsid w:val="00D12FB2"/>
    <w:rsid w:val="00D15093"/>
    <w:rsid w:val="00D176C2"/>
    <w:rsid w:val="00D21FE1"/>
    <w:rsid w:val="00D3143C"/>
    <w:rsid w:val="00D34029"/>
    <w:rsid w:val="00D413DD"/>
    <w:rsid w:val="00D43031"/>
    <w:rsid w:val="00D43F95"/>
    <w:rsid w:val="00D5162B"/>
    <w:rsid w:val="00D53086"/>
    <w:rsid w:val="00D53368"/>
    <w:rsid w:val="00D54A9E"/>
    <w:rsid w:val="00D560BA"/>
    <w:rsid w:val="00D56130"/>
    <w:rsid w:val="00D62A91"/>
    <w:rsid w:val="00D62DD2"/>
    <w:rsid w:val="00D62E9D"/>
    <w:rsid w:val="00D63A11"/>
    <w:rsid w:val="00D647CC"/>
    <w:rsid w:val="00D657A3"/>
    <w:rsid w:val="00D65CF5"/>
    <w:rsid w:val="00D755E9"/>
    <w:rsid w:val="00D77233"/>
    <w:rsid w:val="00D8213E"/>
    <w:rsid w:val="00D86DFF"/>
    <w:rsid w:val="00D905F3"/>
    <w:rsid w:val="00DA215F"/>
    <w:rsid w:val="00DA4A3C"/>
    <w:rsid w:val="00DA7814"/>
    <w:rsid w:val="00DA7F5A"/>
    <w:rsid w:val="00DB2036"/>
    <w:rsid w:val="00DB2EA5"/>
    <w:rsid w:val="00DB5D60"/>
    <w:rsid w:val="00DC123A"/>
    <w:rsid w:val="00DC34AB"/>
    <w:rsid w:val="00DC364F"/>
    <w:rsid w:val="00DC5977"/>
    <w:rsid w:val="00DC77D4"/>
    <w:rsid w:val="00DD0818"/>
    <w:rsid w:val="00DD13E8"/>
    <w:rsid w:val="00DD1C76"/>
    <w:rsid w:val="00DD3029"/>
    <w:rsid w:val="00DE51F0"/>
    <w:rsid w:val="00DF0941"/>
    <w:rsid w:val="00DF5F45"/>
    <w:rsid w:val="00E00AAE"/>
    <w:rsid w:val="00E02F0C"/>
    <w:rsid w:val="00E05575"/>
    <w:rsid w:val="00E05670"/>
    <w:rsid w:val="00E13D96"/>
    <w:rsid w:val="00E1750F"/>
    <w:rsid w:val="00E24EFE"/>
    <w:rsid w:val="00E25638"/>
    <w:rsid w:val="00E2717D"/>
    <w:rsid w:val="00E33FE9"/>
    <w:rsid w:val="00E50251"/>
    <w:rsid w:val="00E51525"/>
    <w:rsid w:val="00E5371F"/>
    <w:rsid w:val="00E61A5B"/>
    <w:rsid w:val="00E630E4"/>
    <w:rsid w:val="00E63998"/>
    <w:rsid w:val="00E63FE4"/>
    <w:rsid w:val="00E660DF"/>
    <w:rsid w:val="00E75A4F"/>
    <w:rsid w:val="00E766EE"/>
    <w:rsid w:val="00E820F5"/>
    <w:rsid w:val="00E86FF0"/>
    <w:rsid w:val="00E873C4"/>
    <w:rsid w:val="00E9026E"/>
    <w:rsid w:val="00E92452"/>
    <w:rsid w:val="00E97730"/>
    <w:rsid w:val="00EB2EE3"/>
    <w:rsid w:val="00EC0DC4"/>
    <w:rsid w:val="00EC3F78"/>
    <w:rsid w:val="00EC5709"/>
    <w:rsid w:val="00EC6F8D"/>
    <w:rsid w:val="00ED56A0"/>
    <w:rsid w:val="00ED6C8D"/>
    <w:rsid w:val="00EE0117"/>
    <w:rsid w:val="00EE0B33"/>
    <w:rsid w:val="00EE291C"/>
    <w:rsid w:val="00EF3AAC"/>
    <w:rsid w:val="00EF3E21"/>
    <w:rsid w:val="00EF4ECD"/>
    <w:rsid w:val="00EF749B"/>
    <w:rsid w:val="00F013EF"/>
    <w:rsid w:val="00F05333"/>
    <w:rsid w:val="00F0596D"/>
    <w:rsid w:val="00F14DAF"/>
    <w:rsid w:val="00F259B1"/>
    <w:rsid w:val="00F373AC"/>
    <w:rsid w:val="00F37B47"/>
    <w:rsid w:val="00F653A6"/>
    <w:rsid w:val="00F66A4E"/>
    <w:rsid w:val="00F6718E"/>
    <w:rsid w:val="00F7423C"/>
    <w:rsid w:val="00F76B28"/>
    <w:rsid w:val="00F77366"/>
    <w:rsid w:val="00F80770"/>
    <w:rsid w:val="00F84251"/>
    <w:rsid w:val="00F84390"/>
    <w:rsid w:val="00F8458B"/>
    <w:rsid w:val="00F86F49"/>
    <w:rsid w:val="00F91A90"/>
    <w:rsid w:val="00F92F37"/>
    <w:rsid w:val="00F951BA"/>
    <w:rsid w:val="00F975C3"/>
    <w:rsid w:val="00FA03C1"/>
    <w:rsid w:val="00FA120E"/>
    <w:rsid w:val="00FA1644"/>
    <w:rsid w:val="00FA2D84"/>
    <w:rsid w:val="00FA689A"/>
    <w:rsid w:val="00FA6B9F"/>
    <w:rsid w:val="00FA749C"/>
    <w:rsid w:val="00FB45A1"/>
    <w:rsid w:val="00FB53DA"/>
    <w:rsid w:val="00FB54B4"/>
    <w:rsid w:val="00FC0B97"/>
    <w:rsid w:val="00FC3B1E"/>
    <w:rsid w:val="00FC700D"/>
    <w:rsid w:val="00FD433A"/>
    <w:rsid w:val="00FD4A76"/>
    <w:rsid w:val="00FD6131"/>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xl33">
    <w:name w:val="xl33"/>
    <w:basedOn w:val="Normalny"/>
    <w:rsid w:val="00C239C7"/>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xl33">
    <w:name w:val="xl33"/>
    <w:basedOn w:val="Normalny"/>
    <w:rsid w:val="00C239C7"/>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rpo.dolnyslask.pl/analiza-finansowa-na-potrzeby-aplikacji-o-srodki-europejskiego-funduszu-rozwoju-regionalnego-w-ramach-rpo-wd-2014-2020-przyklady/" TargetMode="External"/><Relationship Id="rId26"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mailto:pife@dolnyslask.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www.rpo.dolnyslask.pl" TargetMode="External"/><Relationship Id="rId25"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funduszeeuropejskie.gov.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walbrzych@dolnyslask.pl" TargetMode="Externa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mailto:pife.legnica@dolnyslask.pl" TargetMode="External"/><Relationship Id="rId28" Type="http://schemas.openxmlformats.org/officeDocument/2006/relationships/hyperlink" Target="http://www.funduszeeuropejskie.gov.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mailto:pife.jeleniagora@dolnyslask.pl" TargetMode="External"/><Relationship Id="rId27" Type="http://schemas.openxmlformats.org/officeDocument/2006/relationships/hyperlink" Target="http://&#8230;&#8230;&#8230;&#8230;&#8230;&#8230;&#8230;.."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3D6E-29FA-4BF4-978D-97CFC7B1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9653</Words>
  <Characters>57920</Characters>
  <Application>Microsoft Office Word</Application>
  <DocSecurity>4</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2</cp:revision>
  <cp:lastPrinted>2016-03-22T10:01:00Z</cp:lastPrinted>
  <dcterms:created xsi:type="dcterms:W3CDTF">2016-04-29T10:52:00Z</dcterms:created>
  <dcterms:modified xsi:type="dcterms:W3CDTF">2016-04-29T10:52:00Z</dcterms:modified>
</cp:coreProperties>
</file>