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B24" w:rsidRPr="009B2B24" w:rsidRDefault="009B2B24" w:rsidP="009B2B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bookmarkStart w:id="0" w:name="_GoBack"/>
      <w:bookmarkEnd w:id="0"/>
    </w:p>
    <w:p w:rsidR="009B2B24" w:rsidRDefault="009B2B24" w:rsidP="009B2B2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u w:val="single"/>
        </w:rPr>
      </w:pPr>
      <w:r w:rsidRPr="009B2B24">
        <w:rPr>
          <w:rFonts w:ascii="Arial" w:hAnsi="Arial" w:cs="Arial"/>
          <w:b/>
          <w:color w:val="000000"/>
          <w:u w:val="single"/>
        </w:rPr>
        <w:t>Standard wyposażenia szkolnych pracowni</w:t>
      </w:r>
    </w:p>
    <w:p w:rsidR="001C18CC" w:rsidRDefault="001C18CC" w:rsidP="009B2B2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u w:val="single"/>
        </w:rPr>
      </w:pPr>
    </w:p>
    <w:p w:rsidR="001C18CC" w:rsidRDefault="001C18CC" w:rsidP="009B2B2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u w:val="single"/>
        </w:rPr>
      </w:pPr>
    </w:p>
    <w:p w:rsidR="001C18CC" w:rsidRDefault="001C18CC" w:rsidP="001C18C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Warunki ogólne</w:t>
      </w:r>
    </w:p>
    <w:p w:rsidR="001C18CC" w:rsidRDefault="001C18CC" w:rsidP="001C18CC">
      <w:pPr>
        <w:pStyle w:val="Default"/>
        <w:jc w:val="both"/>
        <w:rPr>
          <w:sz w:val="22"/>
          <w:szCs w:val="22"/>
        </w:rPr>
      </w:pPr>
    </w:p>
    <w:p w:rsidR="001C18CC" w:rsidRDefault="001C18CC" w:rsidP="001C18C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wyposażenie wszystkich szkolnych pracowni powinno być dostosowane do potrzeb ich użytkowników, w tym wynikających z niepełnosprawności; </w:t>
      </w:r>
    </w:p>
    <w:p w:rsidR="001C18CC" w:rsidRDefault="001C18CC" w:rsidP="001C18CC">
      <w:pPr>
        <w:pStyle w:val="Default"/>
        <w:jc w:val="both"/>
        <w:rPr>
          <w:sz w:val="22"/>
          <w:szCs w:val="22"/>
        </w:rPr>
      </w:pPr>
    </w:p>
    <w:p w:rsidR="001C18CC" w:rsidRDefault="001C18CC" w:rsidP="001C18C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zakupione wyposażenie powinno być dostosowane do odpowiedniego etapu edukacyjnego </w:t>
      </w:r>
      <w:r>
        <w:rPr>
          <w:sz w:val="22"/>
          <w:szCs w:val="22"/>
        </w:rPr>
        <w:br/>
        <w:t>i zakresu realizacji podstawy programowej kształcenia ogólnego w poszczególnych typach szkół (podstawowego lub rozszerzonego).</w:t>
      </w:r>
    </w:p>
    <w:p w:rsidR="001C18CC" w:rsidRPr="009B2B24" w:rsidRDefault="001C18CC" w:rsidP="009B2B2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u w:val="single"/>
        </w:rPr>
      </w:pPr>
    </w:p>
    <w:p w:rsidR="009B2B24" w:rsidRDefault="009B2B24" w:rsidP="003870F9">
      <w:pPr>
        <w:pStyle w:val="Default"/>
        <w:rPr>
          <w:sz w:val="22"/>
          <w:szCs w:val="22"/>
        </w:rPr>
      </w:pPr>
    </w:p>
    <w:p w:rsidR="003870F9" w:rsidRDefault="003870F9" w:rsidP="009B2B24">
      <w:pPr>
        <w:pStyle w:val="Default"/>
        <w:jc w:val="both"/>
        <w:rPr>
          <w:sz w:val="22"/>
          <w:szCs w:val="22"/>
        </w:rPr>
      </w:pPr>
      <w:r w:rsidRPr="009B2B24">
        <w:rPr>
          <w:b/>
          <w:sz w:val="22"/>
          <w:szCs w:val="22"/>
          <w:u w:val="single"/>
        </w:rPr>
        <w:t>Wyposażenie szkolnych pracowni w narzędzia do nauczania przedmiotów przyrodniczych musi spełniać poniższe warunki</w:t>
      </w:r>
      <w:r>
        <w:rPr>
          <w:sz w:val="22"/>
          <w:szCs w:val="22"/>
        </w:rPr>
        <w:t xml:space="preserve">: </w:t>
      </w:r>
    </w:p>
    <w:p w:rsidR="00690A61" w:rsidRDefault="00690A61" w:rsidP="003870F9">
      <w:pPr>
        <w:pStyle w:val="Default"/>
        <w:rPr>
          <w:sz w:val="22"/>
          <w:szCs w:val="22"/>
        </w:rPr>
      </w:pPr>
    </w:p>
    <w:p w:rsidR="003870F9" w:rsidRDefault="003870F9" w:rsidP="003870F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katalog wydatków kwalifikowalnych w ramach wyposażenia szkolnych pracowni przedmiotów przyrodniczych obejmuje: </w:t>
      </w:r>
    </w:p>
    <w:p w:rsidR="003870F9" w:rsidRDefault="003870F9" w:rsidP="003870F9">
      <w:pPr>
        <w:pStyle w:val="Default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3870F9">
        <w:rPr>
          <w:sz w:val="22"/>
          <w:szCs w:val="22"/>
        </w:rPr>
        <w:t xml:space="preserve">podstawowe wyposażenie pracowni (wagi, szafy laboratoryjne itp.); </w:t>
      </w:r>
    </w:p>
    <w:p w:rsidR="003870F9" w:rsidRDefault="003870F9" w:rsidP="003870F9">
      <w:pPr>
        <w:pStyle w:val="Default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- sprzęt niezbędny do przeprowadzania doświadczeń, eksperymentów, obserwacji (przyrządy pomiarowe, przyrządy optyczne, szkło laboratoryjne, szkiełka mikroskopowe itp.), w tym narzędzia TIK wraz z odpowiednimi aplikacjami tematycznymi; </w:t>
      </w:r>
    </w:p>
    <w:p w:rsidR="003870F9" w:rsidRDefault="003870F9" w:rsidP="003870F9">
      <w:pPr>
        <w:pStyle w:val="Default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- odczynniki lub substancje chemiczne; </w:t>
      </w:r>
    </w:p>
    <w:p w:rsidR="003870F9" w:rsidRDefault="003870F9" w:rsidP="003870F9">
      <w:pPr>
        <w:pStyle w:val="Default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- środki czystości; </w:t>
      </w:r>
    </w:p>
    <w:p w:rsidR="003870F9" w:rsidRDefault="003870F9" w:rsidP="003870F9">
      <w:pPr>
        <w:pStyle w:val="Default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- pomoce dydaktyczne (środki trwałe, mapy, atlasy, roczniki statystyczne itp.); </w:t>
      </w:r>
    </w:p>
    <w:p w:rsidR="003870F9" w:rsidRDefault="003870F9" w:rsidP="003870F9">
      <w:pPr>
        <w:pStyle w:val="Default"/>
        <w:ind w:left="720"/>
        <w:rPr>
          <w:sz w:val="22"/>
          <w:szCs w:val="22"/>
        </w:rPr>
      </w:pPr>
    </w:p>
    <w:p w:rsidR="003870F9" w:rsidRDefault="003870F9" w:rsidP="003870F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szczegółowy katalog wyposażenia szkolnych pracowni przedmiotów przyrodniczych został opracowany przez MEN i jest udostępniany za pośrednictwem strony internetowej </w:t>
      </w:r>
      <w:hyperlink r:id="rId8" w:history="1">
        <w:r w:rsidRPr="001F20AE">
          <w:rPr>
            <w:rStyle w:val="Hipercze"/>
            <w:sz w:val="22"/>
            <w:szCs w:val="22"/>
          </w:rPr>
          <w:t>http://efs.men.gov.pl</w:t>
        </w:r>
      </w:hyperlink>
    </w:p>
    <w:p w:rsidR="003870F9" w:rsidRDefault="003870F9" w:rsidP="003870F9">
      <w:pPr>
        <w:pStyle w:val="Default"/>
        <w:jc w:val="both"/>
        <w:rPr>
          <w:sz w:val="22"/>
          <w:szCs w:val="22"/>
        </w:rPr>
      </w:pPr>
    </w:p>
    <w:p w:rsidR="003870F9" w:rsidRDefault="003870F9" w:rsidP="003870F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d) liczba zestawów laboratoryjnych (doświadczalnych) zakupionych w ramach wyposażenia szkolnych pracowni przedmiotów przyrodniczych jest zależna od wielkości szkoły lub placówki systemu oświaty, mierzonej liczbą uczniów, a także liczby grup zadaniowych, które będą realizowały doświadczenia. Co do zasady, jeden zestaw laboratoryjny jest przewidziany dla grupy zadaniowej liczącej od 2 do 5 osób; </w:t>
      </w:r>
    </w:p>
    <w:p w:rsidR="009B2B24" w:rsidRDefault="009B2B24" w:rsidP="003870F9">
      <w:pPr>
        <w:pStyle w:val="Default"/>
        <w:rPr>
          <w:sz w:val="22"/>
          <w:szCs w:val="22"/>
        </w:rPr>
      </w:pPr>
    </w:p>
    <w:p w:rsidR="009B2B24" w:rsidRDefault="009B2B24" w:rsidP="009B2B24">
      <w:pPr>
        <w:pStyle w:val="Default"/>
        <w:rPr>
          <w:sz w:val="22"/>
          <w:szCs w:val="22"/>
        </w:rPr>
      </w:pPr>
    </w:p>
    <w:p w:rsidR="009B2B24" w:rsidRPr="009B2B24" w:rsidRDefault="009B2B24" w:rsidP="009B2B24">
      <w:pPr>
        <w:pStyle w:val="Default"/>
        <w:jc w:val="both"/>
        <w:rPr>
          <w:b/>
          <w:sz w:val="22"/>
          <w:szCs w:val="22"/>
          <w:u w:val="single"/>
        </w:rPr>
      </w:pPr>
      <w:r w:rsidRPr="009B2B24">
        <w:rPr>
          <w:b/>
          <w:sz w:val="22"/>
          <w:szCs w:val="22"/>
          <w:u w:val="single"/>
        </w:rPr>
        <w:t xml:space="preserve">Wyposażenie szkolnych pracowni w narzędzia do nauczania matematyki musi spełniać poniższe warunki: </w:t>
      </w:r>
    </w:p>
    <w:p w:rsidR="009B2B24" w:rsidRDefault="009B2B24" w:rsidP="009B2B24">
      <w:pPr>
        <w:pStyle w:val="Default"/>
        <w:rPr>
          <w:sz w:val="22"/>
          <w:szCs w:val="22"/>
        </w:rPr>
      </w:pPr>
    </w:p>
    <w:p w:rsidR="009B2B24" w:rsidRDefault="009B2B24" w:rsidP="009B2B24">
      <w:pPr>
        <w:pStyle w:val="NormalnyWeb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4E31E6">
        <w:rPr>
          <w:rFonts w:ascii="Calibri" w:hAnsi="Calibri"/>
          <w:color w:val="000000"/>
          <w:sz w:val="22"/>
          <w:szCs w:val="22"/>
        </w:rPr>
        <w:t>W ramach projektu możliwy jest zakup następujących elementów pracowni</w:t>
      </w:r>
      <w:r>
        <w:rPr>
          <w:rFonts w:ascii="Calibri" w:hAnsi="Calibri"/>
          <w:color w:val="000000"/>
          <w:sz w:val="22"/>
          <w:szCs w:val="22"/>
        </w:rPr>
        <w:t xml:space="preserve"> wpisujących się w poniższe kategorie. </w:t>
      </w:r>
      <w:r w:rsidRPr="004E31E6">
        <w:rPr>
          <w:rFonts w:ascii="Calibri" w:hAnsi="Calibri"/>
          <w:color w:val="000000"/>
          <w:sz w:val="22"/>
          <w:szCs w:val="22"/>
        </w:rPr>
        <w:t>:</w:t>
      </w:r>
    </w:p>
    <w:p w:rsidR="009B2B24" w:rsidRPr="004E31E6" w:rsidRDefault="009B2B24" w:rsidP="009B2B24">
      <w:pPr>
        <w:pStyle w:val="NormalnyWeb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</w:p>
    <w:p w:rsidR="009B2B24" w:rsidRPr="004E31E6" w:rsidRDefault="009B2B24" w:rsidP="009B2B24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6C0412">
        <w:rPr>
          <w:rFonts w:ascii="Calibri" w:hAnsi="Calibri"/>
          <w:b/>
          <w:color w:val="000000"/>
          <w:sz w:val="22"/>
          <w:szCs w:val="22"/>
        </w:rPr>
        <w:lastRenderedPageBreak/>
        <w:t>Meble</w:t>
      </w:r>
      <w:r w:rsidRPr="004E31E6">
        <w:rPr>
          <w:rFonts w:ascii="Calibri" w:hAnsi="Calibri"/>
          <w:color w:val="000000"/>
          <w:sz w:val="22"/>
          <w:szCs w:val="22"/>
        </w:rPr>
        <w:t xml:space="preserve"> - podstawowe wyposażenie </w:t>
      </w:r>
      <w:r>
        <w:rPr>
          <w:rFonts w:ascii="Calibri" w:hAnsi="Calibri"/>
          <w:color w:val="000000"/>
          <w:sz w:val="22"/>
          <w:szCs w:val="22"/>
        </w:rPr>
        <w:t>wynikające z przeznaczenia</w:t>
      </w:r>
      <w:r w:rsidRPr="004E31E6">
        <w:rPr>
          <w:rFonts w:ascii="Calibri" w:hAnsi="Calibri"/>
          <w:color w:val="000000"/>
          <w:sz w:val="22"/>
          <w:szCs w:val="22"/>
        </w:rPr>
        <w:t xml:space="preserve"> pracowni takie jak: szafy, szafki, tablice zwykłe i magnetyczne wraz z przyrządami, stojaki do przechowywania plansz itp.)</w:t>
      </w:r>
    </w:p>
    <w:p w:rsidR="009B2B24" w:rsidRPr="004E31E6" w:rsidRDefault="009B2B24" w:rsidP="009B2B24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6C0412">
        <w:rPr>
          <w:rFonts w:ascii="Calibri" w:hAnsi="Calibri"/>
          <w:b/>
          <w:color w:val="000000"/>
          <w:sz w:val="22"/>
          <w:szCs w:val="22"/>
        </w:rPr>
        <w:t>Sprzęt niezbędny do przeprowadzenia zajęć</w:t>
      </w:r>
      <w:r w:rsidRPr="004E31E6">
        <w:rPr>
          <w:rFonts w:ascii="Calibri" w:hAnsi="Calibri"/>
          <w:color w:val="000000"/>
          <w:sz w:val="22"/>
          <w:szCs w:val="22"/>
        </w:rPr>
        <w:t xml:space="preserve">, w tym narzędzia Technologii Informacyjno-Komunikacyjnych wraz z aplikacjami tematycznymi np. </w:t>
      </w:r>
      <w:proofErr w:type="spellStart"/>
      <w:r w:rsidRPr="004E31E6">
        <w:rPr>
          <w:rFonts w:ascii="Calibri" w:hAnsi="Calibri"/>
          <w:color w:val="000000"/>
          <w:sz w:val="22"/>
          <w:szCs w:val="22"/>
        </w:rPr>
        <w:t>wizualizer</w:t>
      </w:r>
      <w:proofErr w:type="spellEnd"/>
      <w:r w:rsidRPr="004E31E6">
        <w:rPr>
          <w:rFonts w:ascii="Calibri" w:hAnsi="Calibri"/>
          <w:color w:val="000000"/>
          <w:sz w:val="22"/>
          <w:szCs w:val="22"/>
        </w:rPr>
        <w:t xml:space="preserve"> przestrzenny, komputer z projektorem i tablicą interaktywną.</w:t>
      </w:r>
    </w:p>
    <w:p w:rsidR="009B2B24" w:rsidRPr="004E31E6" w:rsidRDefault="009B2B24" w:rsidP="009B2B24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6C0412">
        <w:rPr>
          <w:rFonts w:ascii="Calibri" w:hAnsi="Calibri"/>
          <w:b/>
          <w:color w:val="000000"/>
          <w:sz w:val="22"/>
          <w:szCs w:val="22"/>
        </w:rPr>
        <w:t>Pomoce dydaktyczne</w:t>
      </w:r>
      <w:r w:rsidRPr="004E31E6">
        <w:rPr>
          <w:rFonts w:ascii="Calibri" w:hAnsi="Calibri"/>
          <w:color w:val="000000"/>
          <w:sz w:val="22"/>
          <w:szCs w:val="22"/>
        </w:rPr>
        <w:t xml:space="preserve"> takie jak:</w:t>
      </w:r>
    </w:p>
    <w:p w:rsidR="009B2B24" w:rsidRPr="004E31E6" w:rsidRDefault="009B2B24" w:rsidP="009B2B24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511C94">
        <w:rPr>
          <w:rFonts w:ascii="Calibri" w:hAnsi="Calibri"/>
          <w:color w:val="000000"/>
          <w:sz w:val="22"/>
          <w:szCs w:val="22"/>
        </w:rPr>
        <w:t>przyrządy do mierzenia długości: linijka, miara, koło metryczne itp.,</w:t>
      </w:r>
    </w:p>
    <w:p w:rsidR="009B2B24" w:rsidRPr="004E31E6" w:rsidRDefault="009B2B24" w:rsidP="009B2B24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511C94">
        <w:rPr>
          <w:rFonts w:ascii="Calibri" w:hAnsi="Calibri"/>
          <w:color w:val="000000"/>
          <w:sz w:val="22"/>
          <w:szCs w:val="22"/>
        </w:rPr>
        <w:t xml:space="preserve"> przyrządy do nauki o zbiorach i okręgach: puzzle i układanki,</w:t>
      </w:r>
    </w:p>
    <w:p w:rsidR="009B2B24" w:rsidRPr="004E31E6" w:rsidRDefault="009B2B24" w:rsidP="009B2B24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511C94">
        <w:rPr>
          <w:rFonts w:ascii="Calibri" w:hAnsi="Calibri"/>
          <w:color w:val="000000"/>
          <w:sz w:val="22"/>
          <w:szCs w:val="22"/>
        </w:rPr>
        <w:t>przyrządy, zestawy do mierzenia jednostek i objętości: wagi, odważniki, klepsydry, cylindry, miarki objętości, termometry,</w:t>
      </w:r>
    </w:p>
    <w:p w:rsidR="009B2B24" w:rsidRPr="004E31E6" w:rsidRDefault="009B2B24" w:rsidP="009B2B24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511C94">
        <w:rPr>
          <w:rFonts w:ascii="Calibri" w:hAnsi="Calibri"/>
          <w:color w:val="000000"/>
          <w:sz w:val="22"/>
          <w:szCs w:val="22"/>
        </w:rPr>
        <w:t>przyrządy, zestawy do nauki ułamków: odcinki tablicowe- magnetyczne, ułamki magnetyczne z sortownikiem koła,</w:t>
      </w:r>
    </w:p>
    <w:p w:rsidR="009B2B24" w:rsidRPr="004E31E6" w:rsidRDefault="009B2B24" w:rsidP="009B2B24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511C94">
        <w:rPr>
          <w:rFonts w:ascii="Calibri" w:hAnsi="Calibri"/>
          <w:color w:val="000000"/>
          <w:sz w:val="22"/>
          <w:szCs w:val="22"/>
        </w:rPr>
        <w:t>przyrządy, zestawy do budowy brył przestrzennych i szkieletów brył,</w:t>
      </w:r>
    </w:p>
    <w:p w:rsidR="009B2B24" w:rsidRPr="004E31E6" w:rsidRDefault="009B2B24" w:rsidP="009B2B24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511C94">
        <w:rPr>
          <w:rFonts w:ascii="Calibri" w:hAnsi="Calibri"/>
          <w:color w:val="000000"/>
          <w:sz w:val="22"/>
          <w:szCs w:val="22"/>
        </w:rPr>
        <w:t>przeźroczyste modele brył i przyrządy do ich demonstracji,</w:t>
      </w:r>
    </w:p>
    <w:p w:rsidR="009B2B24" w:rsidRPr="004E31E6" w:rsidRDefault="009B2B24" w:rsidP="009B2B24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511C94">
        <w:rPr>
          <w:rFonts w:ascii="Calibri" w:hAnsi="Calibri"/>
          <w:color w:val="000000"/>
          <w:sz w:val="22"/>
          <w:szCs w:val="22"/>
        </w:rPr>
        <w:t>anaglify – wizualizacja brył w przestrzeni,</w:t>
      </w:r>
    </w:p>
    <w:p w:rsidR="009B2B24" w:rsidRPr="004E31E6" w:rsidRDefault="009B2B24" w:rsidP="009B2B24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511C94">
        <w:rPr>
          <w:rFonts w:ascii="Calibri" w:hAnsi="Calibri"/>
          <w:color w:val="000000"/>
          <w:sz w:val="22"/>
          <w:szCs w:val="22"/>
        </w:rPr>
        <w:t>zestaw brył do mierzenia i porównywania objętości,</w:t>
      </w:r>
    </w:p>
    <w:p w:rsidR="009B2B24" w:rsidRPr="004E31E6" w:rsidRDefault="009B2B24" w:rsidP="009B2B24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511C94">
        <w:rPr>
          <w:rFonts w:ascii="Calibri" w:hAnsi="Calibri"/>
          <w:color w:val="000000"/>
          <w:sz w:val="22"/>
          <w:szCs w:val="22"/>
        </w:rPr>
        <w:t>zestaw do demonstracji jednostek pola i jednostek objętości,</w:t>
      </w:r>
    </w:p>
    <w:p w:rsidR="009B2B24" w:rsidRPr="009E1E85" w:rsidRDefault="009B2B24" w:rsidP="009B2B24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511C94">
        <w:rPr>
          <w:rFonts w:ascii="Calibri" w:hAnsi="Calibri"/>
          <w:color w:val="000000"/>
          <w:sz w:val="22"/>
          <w:szCs w:val="22"/>
        </w:rPr>
        <w:t>magnetyczne zestawy do prezentacji: pól wielokątów, twierdzenia Pitagorasa, twierdzenia Talesa, kątów wpisanych i środkowych itp.,</w:t>
      </w:r>
    </w:p>
    <w:p w:rsidR="009B2B24" w:rsidRPr="009E1E85" w:rsidRDefault="009B2B24" w:rsidP="009B2B24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511C94">
        <w:rPr>
          <w:rFonts w:ascii="Calibri" w:hAnsi="Calibri"/>
          <w:color w:val="000000"/>
          <w:sz w:val="22"/>
          <w:szCs w:val="22"/>
        </w:rPr>
        <w:t>matematyczne gry dydaktyczne i logiczne,</w:t>
      </w:r>
    </w:p>
    <w:p w:rsidR="009B2B24" w:rsidRPr="009E1E85" w:rsidRDefault="009B2B24" w:rsidP="009B2B24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511C94">
        <w:rPr>
          <w:rFonts w:ascii="Calibri" w:hAnsi="Calibri"/>
          <w:color w:val="000000"/>
          <w:sz w:val="22"/>
          <w:szCs w:val="22"/>
        </w:rPr>
        <w:t>programy komputerowe do nauki matematyki na określonym poziomie,</w:t>
      </w:r>
    </w:p>
    <w:p w:rsidR="009B2B24" w:rsidRPr="009E1E85" w:rsidRDefault="009B2B24" w:rsidP="009B2B24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511C94">
        <w:rPr>
          <w:rFonts w:ascii="Calibri" w:hAnsi="Calibri"/>
          <w:color w:val="000000"/>
          <w:sz w:val="22"/>
          <w:szCs w:val="22"/>
        </w:rPr>
        <w:t>zestawy tablicowe, plansze dydaktyczne do prezentacji poszczególnych zagadnień matematycznych w tym potęg, pierwiastków, algebry, geometrii, trygonometrii itd.,</w:t>
      </w:r>
    </w:p>
    <w:p w:rsidR="009B2B24" w:rsidRPr="009E1E85" w:rsidRDefault="009B2B24" w:rsidP="009B2B24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511C94">
        <w:rPr>
          <w:rFonts w:ascii="Calibri" w:hAnsi="Calibri"/>
          <w:color w:val="000000"/>
          <w:sz w:val="22"/>
          <w:szCs w:val="22"/>
        </w:rPr>
        <w:t>inne przyrządy: duże liczydło, kalkulatory, zbiory zadań konkursowych itp.</w:t>
      </w:r>
    </w:p>
    <w:p w:rsidR="009B2B24" w:rsidRPr="009E1E85" w:rsidRDefault="009B2B24" w:rsidP="009B2B24">
      <w:pPr>
        <w:spacing w:line="360" w:lineRule="auto"/>
        <w:jc w:val="both"/>
      </w:pPr>
    </w:p>
    <w:p w:rsidR="00690A61" w:rsidRPr="001C18CC" w:rsidRDefault="001C18CC" w:rsidP="003870F9">
      <w:pPr>
        <w:rPr>
          <w:b/>
          <w:u w:val="single"/>
        </w:rPr>
      </w:pPr>
      <w:r w:rsidRPr="001C18CC">
        <w:rPr>
          <w:b/>
          <w:u w:val="single"/>
        </w:rPr>
        <w:t>Wymagania dotyczące pomocy dydaktycznych oraz narzędzi TIK w tym infrastruktury sieciowo - usługowej</w:t>
      </w:r>
    </w:p>
    <w:p w:rsidR="001C18CC" w:rsidRPr="001C18CC" w:rsidRDefault="001C18CC" w:rsidP="001C18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5569E" w:rsidRDefault="001C18CC" w:rsidP="001C18CC">
      <w:pPr>
        <w:jc w:val="both"/>
      </w:pPr>
      <w:r>
        <w:t xml:space="preserve">szczegółowy wykaz pomocy dydaktycznych oraz narzędzi TIK (Technologie Informacyjno-Komunikacyjne) , na zakup których udziela się wsparcia finansowego został określony przez MEN i jest udostępniany za pośrednictwem strony internetowej </w:t>
      </w:r>
      <w:hyperlink r:id="rId9" w:history="1">
        <w:r w:rsidRPr="001F20AE">
          <w:rPr>
            <w:rStyle w:val="Hipercze"/>
          </w:rPr>
          <w:t>http://efs.men.gov.pl</w:t>
        </w:r>
      </w:hyperlink>
    </w:p>
    <w:sectPr w:rsidR="00A5569E" w:rsidSect="00A5569E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BF1" w:rsidRDefault="00D85BF1" w:rsidP="00D85BF1">
      <w:pPr>
        <w:spacing w:after="0" w:line="240" w:lineRule="auto"/>
      </w:pPr>
      <w:r>
        <w:separator/>
      </w:r>
    </w:p>
  </w:endnote>
  <w:endnote w:type="continuationSeparator" w:id="0">
    <w:p w:rsidR="00D85BF1" w:rsidRDefault="00D85BF1" w:rsidP="00D85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128941"/>
      <w:docPartObj>
        <w:docPartGallery w:val="Page Numbers (Bottom of Page)"/>
        <w:docPartUnique/>
      </w:docPartObj>
    </w:sdtPr>
    <w:sdtContent>
      <w:p w:rsidR="003D5E35" w:rsidRDefault="003D5E3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3D5E35" w:rsidRDefault="003D5E3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BF1" w:rsidRDefault="00D85BF1" w:rsidP="00D85BF1">
      <w:pPr>
        <w:spacing w:after="0" w:line="240" w:lineRule="auto"/>
      </w:pPr>
      <w:r>
        <w:separator/>
      </w:r>
    </w:p>
  </w:footnote>
  <w:footnote w:type="continuationSeparator" w:id="0">
    <w:p w:rsidR="00D85BF1" w:rsidRDefault="00D85BF1" w:rsidP="00D85B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376" w:rsidRDefault="00926376" w:rsidP="00D85BF1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 w:val="20"/>
        <w:szCs w:val="20"/>
        <w:lang w:eastAsia="pl-PL"/>
      </w:rPr>
    </w:pPr>
  </w:p>
  <w:p w:rsidR="00926376" w:rsidRDefault="00926376" w:rsidP="00926376">
    <w:pPr>
      <w:tabs>
        <w:tab w:val="center" w:pos="4536"/>
        <w:tab w:val="right" w:pos="9072"/>
      </w:tabs>
      <w:spacing w:after="0" w:line="240" w:lineRule="auto"/>
      <w:rPr>
        <w:rFonts w:eastAsia="Times New Roman" w:cs="Times New Roman"/>
        <w:sz w:val="20"/>
        <w:szCs w:val="20"/>
        <w:lang w:eastAsia="pl-PL"/>
      </w:rPr>
    </w:pPr>
    <w:r>
      <w:rPr>
        <w:rFonts w:eastAsia="Times New Roman" w:cs="Times New Roman"/>
        <w:noProof/>
        <w:sz w:val="20"/>
        <w:szCs w:val="20"/>
        <w:lang w:eastAsia="pl-PL"/>
      </w:rPr>
      <w:drawing>
        <wp:inline distT="0" distB="0" distL="0" distR="0" wp14:anchorId="6DA5A086" wp14:editId="060C2261">
          <wp:extent cx="5760720" cy="99366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93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eastAsia="Times New Roman" w:cs="Times New Roman"/>
        <w:sz w:val="20"/>
        <w:szCs w:val="20"/>
        <w:lang w:eastAsia="pl-PL"/>
      </w:rPr>
      <w:tab/>
    </w:r>
  </w:p>
  <w:p w:rsidR="00D85BF1" w:rsidRPr="00DA1747" w:rsidRDefault="00926376" w:rsidP="00926376">
    <w:pPr>
      <w:tabs>
        <w:tab w:val="left" w:pos="360"/>
        <w:tab w:val="center" w:pos="4536"/>
        <w:tab w:val="right" w:pos="9072"/>
      </w:tabs>
      <w:spacing w:after="0" w:line="240" w:lineRule="auto"/>
      <w:rPr>
        <w:rFonts w:eastAsia="Times New Roman" w:cs="Times New Roman"/>
        <w:sz w:val="20"/>
        <w:szCs w:val="20"/>
        <w:lang w:eastAsia="pl-PL"/>
      </w:rPr>
    </w:pPr>
    <w:r>
      <w:rPr>
        <w:rFonts w:eastAsia="Times New Roman" w:cs="Times New Roman"/>
        <w:sz w:val="20"/>
        <w:szCs w:val="20"/>
        <w:lang w:eastAsia="pl-PL"/>
      </w:rPr>
      <w:tab/>
    </w:r>
    <w:r>
      <w:rPr>
        <w:rFonts w:eastAsia="Times New Roman" w:cs="Times New Roman"/>
        <w:sz w:val="20"/>
        <w:szCs w:val="20"/>
        <w:lang w:eastAsia="pl-PL"/>
      </w:rPr>
      <w:tab/>
      <w:t xml:space="preserve">                                                                                                                     </w:t>
    </w:r>
    <w:r w:rsidR="00D85BF1">
      <w:rPr>
        <w:rFonts w:eastAsia="Times New Roman" w:cs="Times New Roman"/>
        <w:sz w:val="20"/>
        <w:szCs w:val="20"/>
        <w:lang w:eastAsia="pl-PL"/>
      </w:rPr>
      <w:t>Załącznik  nr 3</w:t>
    </w:r>
    <w:r w:rsidR="00D85BF1" w:rsidRPr="00DA1747">
      <w:rPr>
        <w:rFonts w:eastAsia="Times New Roman" w:cs="Times New Roman"/>
        <w:sz w:val="20"/>
        <w:szCs w:val="20"/>
        <w:lang w:eastAsia="pl-PL"/>
      </w:rPr>
      <w:t xml:space="preserve"> do Regulaminu konkursu </w:t>
    </w:r>
  </w:p>
  <w:p w:rsidR="00FD6B45" w:rsidRDefault="00FD6B45" w:rsidP="00FD6B45">
    <w:pPr>
      <w:jc w:val="right"/>
    </w:pPr>
    <w:r w:rsidRPr="00C0278F">
      <w:rPr>
        <w:sz w:val="20"/>
      </w:rPr>
      <w:t>Nr n</w:t>
    </w:r>
    <w:r>
      <w:rPr>
        <w:sz w:val="20"/>
      </w:rPr>
      <w:t xml:space="preserve">aboru </w:t>
    </w:r>
    <w:r w:rsidR="0021620F">
      <w:rPr>
        <w:sz w:val="20"/>
      </w:rPr>
      <w:t>RPDS.07.02.01-IZ.00-02-077</w:t>
    </w:r>
    <w:r>
      <w:rPr>
        <w:sz w:val="20"/>
      </w:rPr>
      <w:t>/16</w:t>
    </w:r>
  </w:p>
  <w:p w:rsidR="00D85BF1" w:rsidRDefault="00D85BF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3429AB"/>
    <w:multiLevelType w:val="hybridMultilevel"/>
    <w:tmpl w:val="54F0D1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EC1C46"/>
    <w:multiLevelType w:val="hybridMultilevel"/>
    <w:tmpl w:val="6CDCCB40"/>
    <w:lvl w:ilvl="0" w:tplc="FF609352">
      <w:start w:val="1"/>
      <w:numFmt w:val="lowerLetter"/>
      <w:lvlText w:val="%1)"/>
      <w:lvlJc w:val="left"/>
      <w:pPr>
        <w:ind w:left="720" w:hanging="360"/>
      </w:pPr>
      <w:rPr>
        <w:rFonts w:ascii="Calibri" w:eastAsiaTheme="minorHAns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4216CB"/>
    <w:multiLevelType w:val="hybridMultilevel"/>
    <w:tmpl w:val="24CAE1E8"/>
    <w:lvl w:ilvl="0" w:tplc="53CE66E4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70F9"/>
    <w:rsid w:val="001C18CC"/>
    <w:rsid w:val="0021620F"/>
    <w:rsid w:val="003870F9"/>
    <w:rsid w:val="003D5E35"/>
    <w:rsid w:val="004E6766"/>
    <w:rsid w:val="00511C94"/>
    <w:rsid w:val="005416AB"/>
    <w:rsid w:val="006476F8"/>
    <w:rsid w:val="00690A61"/>
    <w:rsid w:val="008848E0"/>
    <w:rsid w:val="00926376"/>
    <w:rsid w:val="009B2B24"/>
    <w:rsid w:val="00A5569E"/>
    <w:rsid w:val="00B84DDA"/>
    <w:rsid w:val="00D85BF1"/>
    <w:rsid w:val="00FD6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56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870F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870F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870F9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9B2B2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85B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5BF1"/>
  </w:style>
  <w:style w:type="paragraph" w:styleId="Stopka">
    <w:name w:val="footer"/>
    <w:basedOn w:val="Normalny"/>
    <w:link w:val="StopkaZnak"/>
    <w:uiPriority w:val="99"/>
    <w:unhideWhenUsed/>
    <w:rsid w:val="00D85B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5BF1"/>
  </w:style>
  <w:style w:type="paragraph" w:styleId="Tekstdymka">
    <w:name w:val="Balloon Text"/>
    <w:basedOn w:val="Normalny"/>
    <w:link w:val="TekstdymkaZnak"/>
    <w:uiPriority w:val="99"/>
    <w:semiHidden/>
    <w:unhideWhenUsed/>
    <w:rsid w:val="00926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63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fs.men.gov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efs.men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552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Krzysiek</dc:creator>
  <cp:lastModifiedBy>Bożena Pencakowska</cp:lastModifiedBy>
  <cp:revision>5</cp:revision>
  <dcterms:created xsi:type="dcterms:W3CDTF">2016-02-21T18:30:00Z</dcterms:created>
  <dcterms:modified xsi:type="dcterms:W3CDTF">2016-02-22T08:24:00Z</dcterms:modified>
</cp:coreProperties>
</file>