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CF" w:rsidRDefault="00B714CF"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bookmarkStart w:id="3" w:name="_GoBack"/>
      <w:bookmarkEnd w:id="3"/>
      <w:r>
        <w:rPr>
          <w:rFonts w:ascii="Calibri" w:hAnsi="Calibri" w:cs="Calibri"/>
          <w:b/>
          <w:noProof/>
          <w:color w:val="000000"/>
          <w:sz w:val="24"/>
          <w:szCs w:val="24"/>
        </w:rPr>
        <w:drawing>
          <wp:inline distT="0" distB="0" distL="0" distR="0" wp14:anchorId="793EB7FC">
            <wp:extent cx="5761355" cy="993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D3C56" w:rsidRPr="00F02218" w:rsidRDefault="009D3C56" w:rsidP="007650AC">
      <w:pPr>
        <w:autoSpaceDE w:val="0"/>
        <w:autoSpaceDN w:val="0"/>
        <w:adjustRightInd w:val="0"/>
        <w:spacing w:line="240" w:lineRule="auto"/>
        <w:jc w:val="center"/>
        <w:rPr>
          <w:b/>
          <w:sz w:val="24"/>
          <w:szCs w:val="24"/>
        </w:rPr>
      </w:pPr>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9449EE" w:rsidRPr="009449EE">
        <w:rPr>
          <w:rFonts w:ascii="Calibri" w:hAnsi="Calibri" w:cs="Calibri"/>
          <w:b/>
          <w:color w:val="000000"/>
          <w:sz w:val="24"/>
          <w:szCs w:val="24"/>
        </w:rPr>
        <w:t>7.1.</w:t>
      </w:r>
      <w:r w:rsidR="000F2F7C">
        <w:rPr>
          <w:rFonts w:ascii="Calibri" w:hAnsi="Calibri" w:cs="Calibri"/>
          <w:b/>
          <w:color w:val="000000"/>
          <w:sz w:val="24"/>
          <w:szCs w:val="24"/>
        </w:rPr>
        <w:t>2</w:t>
      </w:r>
      <w:r w:rsidR="009449EE" w:rsidRPr="009449EE">
        <w:rPr>
          <w:rFonts w:ascii="Calibri" w:hAnsi="Calibri" w:cs="Calibri"/>
          <w:b/>
          <w:color w:val="000000"/>
          <w:sz w:val="24"/>
          <w:szCs w:val="24"/>
        </w:rPr>
        <w:t xml:space="preserve"> Inwestycje w edukację przedszkolną, podstawową i gimnazjalną</w:t>
      </w:r>
      <w:r w:rsidR="009449EE">
        <w:rPr>
          <w:rFonts w:ascii="Calibri" w:hAnsi="Calibri" w:cs="Calibri"/>
          <w:b/>
          <w:color w:val="000000"/>
          <w:sz w:val="24"/>
          <w:szCs w:val="24"/>
        </w:rPr>
        <w:t xml:space="preserve"> </w:t>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223F1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F303C6" w:rsidRPr="008A09D1" w:rsidRDefault="00F303C6" w:rsidP="00F303C6">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223F1F">
        <w:rPr>
          <w:rFonts w:asciiTheme="minorHAnsi" w:hAnsiTheme="minorHAnsi"/>
          <w:b/>
          <w:sz w:val="22"/>
          <w:szCs w:val="22"/>
        </w:rPr>
        <w:t xml:space="preserve"> WD 2014-2020</w:t>
      </w:r>
      <w:r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lastRenderedPageBreak/>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 xml:space="preserve">W ramach Działania </w:t>
      </w:r>
      <w:r w:rsidR="00B145AE">
        <w:rPr>
          <w:rFonts w:asciiTheme="minorHAnsi" w:hAnsiTheme="minorHAnsi"/>
          <w:szCs w:val="22"/>
        </w:rPr>
        <w:t xml:space="preserve">7.1 </w:t>
      </w:r>
      <w:r w:rsidRPr="00911273">
        <w:rPr>
          <w:rFonts w:asciiTheme="minorHAnsi" w:hAnsiTheme="minorHAnsi"/>
          <w:szCs w:val="22"/>
        </w:rPr>
        <w:t xml:space="preserve"> </w:t>
      </w:r>
      <w:r w:rsidR="005A1857">
        <w:rPr>
          <w:rFonts w:asciiTheme="minorHAnsi" w:hAnsiTheme="minorHAnsi"/>
          <w:szCs w:val="22"/>
        </w:rPr>
        <w:t>w przypadku projektów dotycząc</w:t>
      </w:r>
      <w:r w:rsidR="000F2F7C">
        <w:rPr>
          <w:rFonts w:asciiTheme="minorHAnsi" w:hAnsiTheme="minorHAnsi"/>
          <w:szCs w:val="22"/>
        </w:rPr>
        <w:t>ych infrastruktury edukacji ogólnej</w:t>
      </w:r>
      <w:r w:rsidR="005A1857">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lastRenderedPageBreak/>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Liczba użytkowników, którzy mogą korzystać z nowo wybudowanej lub udoskonalonej (przebudowanej, rozbudowanej, zaadaptowanej) infrastruktury opieki nad dziećmi lub edukacyjnej.</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Number of users who can use newly built or improved </w:t>
            </w:r>
            <w:proofErr w:type="spellStart"/>
            <w:r w:rsidRPr="006413DA">
              <w:rPr>
                <w:rFonts w:asciiTheme="minorHAnsi" w:eastAsiaTheme="minorHAnsi" w:hAnsiTheme="minorHAnsi" w:cs="Arial"/>
                <w:szCs w:val="22"/>
                <w:lang w:val="en-029" w:eastAsia="en-US"/>
              </w:rPr>
              <w:t>chidcare</w:t>
            </w:r>
            <w:proofErr w:type="spellEnd"/>
            <w:r w:rsidRPr="006413DA">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6413DA">
              <w:rPr>
                <w:rFonts w:asciiTheme="minorHAnsi" w:eastAsiaTheme="minorHAnsi" w:hAnsiTheme="minorHAnsi" w:cs="Arial"/>
                <w:szCs w:val="22"/>
                <w:lang w:val="en-029" w:eastAsia="en-US"/>
              </w:rPr>
              <w:t>facikities</w:t>
            </w:r>
            <w:proofErr w:type="spellEnd"/>
            <w:r w:rsidRPr="006413DA">
              <w:rPr>
                <w:rFonts w:asciiTheme="minorHAnsi" w:eastAsiaTheme="minorHAnsi" w:hAnsiTheme="minorHAnsi" w:cs="Arial"/>
                <w:szCs w:val="22"/>
                <w:lang w:val="en-029" w:eastAsia="en-US"/>
              </w:rPr>
              <w:t xml:space="preserve"> too. </w:t>
            </w: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It includes new or </w:t>
            </w:r>
            <w:proofErr w:type="spellStart"/>
            <w:r w:rsidRPr="006413DA">
              <w:rPr>
                <w:rFonts w:asciiTheme="minorHAnsi" w:eastAsiaTheme="minorHAnsi" w:hAnsiTheme="minorHAnsi" w:cs="Arial"/>
                <w:szCs w:val="22"/>
                <w:lang w:val="en-029" w:eastAsia="en-US"/>
              </w:rPr>
              <w:t>omproved</w:t>
            </w:r>
            <w:proofErr w:type="spellEnd"/>
            <w:r w:rsidRPr="006413DA">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6413DA">
              <w:rPr>
                <w:rFonts w:asciiTheme="minorHAnsi" w:eastAsiaTheme="minorHAnsi" w:hAnsiTheme="minorHAnsi" w:cs="Arial"/>
                <w:szCs w:val="22"/>
                <w:lang w:val="en-029" w:eastAsia="en-US"/>
              </w:rPr>
              <w:t>numer</w:t>
            </w:r>
            <w:proofErr w:type="spellEnd"/>
            <w:r w:rsidRPr="006413DA">
              <w:rPr>
                <w:rFonts w:asciiTheme="minorHAnsi" w:eastAsiaTheme="minorHAnsi" w:hAnsiTheme="minorHAnsi" w:cs="Arial"/>
                <w:szCs w:val="22"/>
                <w:lang w:val="en-029" w:eastAsia="en-US"/>
              </w:rPr>
              <w:t xml:space="preserve"> of possible users which is usually higher than or equal to the number of actual users)</w:t>
            </w:r>
          </w:p>
          <w:p w:rsidR="003A6137" w:rsidRPr="006413DA" w:rsidRDefault="003A6137"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370466" w:rsidRPr="00911273" w:rsidTr="008554A8">
        <w:trPr>
          <w:trHeight w:val="20"/>
          <w:jc w:val="center"/>
        </w:trPr>
        <w:tc>
          <w:tcPr>
            <w:tcW w:w="1120" w:type="pct"/>
            <w:shd w:val="clear" w:color="auto" w:fill="auto"/>
          </w:tcPr>
          <w:p w:rsidR="00E6017F" w:rsidRPr="00E6017F" w:rsidRDefault="00E6017F" w:rsidP="00E6017F">
            <w:pPr>
              <w:pStyle w:val="Default"/>
              <w:rPr>
                <w:rFonts w:asciiTheme="minorHAnsi" w:hAnsiTheme="minorHAnsi" w:cs="Times New Roman"/>
                <w:sz w:val="22"/>
                <w:szCs w:val="22"/>
              </w:rPr>
            </w:pPr>
            <w:r w:rsidRPr="00E6017F">
              <w:rPr>
                <w:rFonts w:asciiTheme="minorHAnsi" w:hAnsiTheme="minorHAnsi" w:cs="Times New Roman"/>
                <w:sz w:val="22"/>
                <w:szCs w:val="22"/>
              </w:rPr>
              <w:t xml:space="preserve">Liczba wspartych obiektów infrastruktury edukacji ogólnej </w:t>
            </w:r>
          </w:p>
          <w:p w:rsidR="005657D8" w:rsidRPr="00911273" w:rsidRDefault="005657D8" w:rsidP="007650AC">
            <w:pPr>
              <w:spacing w:before="60" w:after="60" w:line="240" w:lineRule="auto"/>
              <w:rPr>
                <w:rFonts w:asciiTheme="minorHAnsi" w:hAnsiTheme="minorHAnsi"/>
                <w:szCs w:val="22"/>
              </w:rPr>
            </w:pPr>
          </w:p>
        </w:tc>
        <w:tc>
          <w:tcPr>
            <w:tcW w:w="491" w:type="pct"/>
          </w:tcPr>
          <w:p w:rsidR="005657D8" w:rsidRPr="00911273" w:rsidRDefault="005657D8" w:rsidP="007650AC">
            <w:pPr>
              <w:spacing w:line="240" w:lineRule="auto"/>
              <w:jc w:val="both"/>
              <w:rPr>
                <w:szCs w:val="22"/>
              </w:rPr>
            </w:pPr>
            <w:r w:rsidRPr="00911273">
              <w:rPr>
                <w:rFonts w:asciiTheme="minorHAnsi" w:hAnsiTheme="minorHAnsi"/>
                <w:szCs w:val="22"/>
              </w:rPr>
              <w:t>szt.</w:t>
            </w:r>
          </w:p>
        </w:tc>
        <w:tc>
          <w:tcPr>
            <w:tcW w:w="2425" w:type="pct"/>
            <w:shd w:val="clear" w:color="auto" w:fill="auto"/>
          </w:tcPr>
          <w:p w:rsidR="005657D8" w:rsidRPr="00911273" w:rsidRDefault="00DB617A" w:rsidP="008B673D">
            <w:pPr>
              <w:spacing w:line="240" w:lineRule="auto"/>
              <w:jc w:val="both"/>
              <w:rPr>
                <w:rFonts w:asciiTheme="minorHAnsi" w:hAnsiTheme="minorHAnsi"/>
                <w:szCs w:val="22"/>
              </w:rPr>
            </w:pPr>
            <w:r>
              <w:rPr>
                <w:rFonts w:asciiTheme="minorHAnsi" w:hAnsiTheme="minorHAnsi"/>
                <w:szCs w:val="22"/>
              </w:rPr>
              <w:t>L</w:t>
            </w:r>
            <w:r w:rsidR="003F6A6D" w:rsidRPr="003F6A6D">
              <w:rPr>
                <w:rFonts w:asciiTheme="minorHAnsi" w:hAnsiTheme="minorHAnsi"/>
                <w:szCs w:val="22"/>
              </w:rPr>
              <w:t>iczba wybudowanych, przebudowanych,</w:t>
            </w:r>
            <w:r w:rsidR="003F6A6D">
              <w:rPr>
                <w:rFonts w:asciiTheme="minorHAnsi" w:hAnsiTheme="minorHAnsi"/>
                <w:szCs w:val="22"/>
              </w:rPr>
              <w:t xml:space="preserve"> rozbudowanych,</w:t>
            </w:r>
            <w:r w:rsidR="003F6A6D" w:rsidRPr="003F6A6D">
              <w:rPr>
                <w:rFonts w:asciiTheme="minorHAnsi" w:hAnsiTheme="minorHAnsi"/>
                <w:szCs w:val="22"/>
              </w:rPr>
              <w:t xml:space="preserve"> zaadoptowanych budynków na potr</w:t>
            </w:r>
            <w:r w:rsidR="00E6017F">
              <w:rPr>
                <w:rFonts w:asciiTheme="minorHAnsi" w:hAnsiTheme="minorHAnsi"/>
                <w:szCs w:val="22"/>
              </w:rPr>
              <w:t>zeby edukacji ogólne</w:t>
            </w:r>
            <w:r w:rsidR="003F6A6D" w:rsidRPr="003F6A6D">
              <w:rPr>
                <w:rFonts w:asciiTheme="minorHAnsi" w:hAnsiTheme="minorHAnsi"/>
                <w:szCs w:val="22"/>
              </w:rPr>
              <w:t>j.</w:t>
            </w:r>
          </w:p>
        </w:tc>
        <w:tc>
          <w:tcPr>
            <w:tcW w:w="964" w:type="pct"/>
          </w:tcPr>
          <w:p w:rsidR="005657D8" w:rsidRPr="00911273" w:rsidRDefault="0015486C" w:rsidP="007650AC">
            <w:pPr>
              <w:spacing w:line="240" w:lineRule="auto"/>
              <w:jc w:val="both"/>
              <w:rPr>
                <w:rFonts w:asciiTheme="minorHAnsi" w:hAnsiTheme="minorHAnsi"/>
                <w:szCs w:val="22"/>
              </w:rPr>
            </w:pPr>
            <w:r>
              <w:rPr>
                <w:rFonts w:asciiTheme="minorHAnsi" w:hAnsiTheme="minorHAnsi"/>
                <w:szCs w:val="22"/>
              </w:rPr>
              <w:t>RPO</w:t>
            </w:r>
            <w:r w:rsidR="00002E70">
              <w:t xml:space="preserve"> </w:t>
            </w:r>
            <w:r w:rsidR="00002E70" w:rsidRPr="00002E70">
              <w:rPr>
                <w:rFonts w:asciiTheme="minorHAnsi" w:hAnsiTheme="minorHAnsi"/>
                <w:szCs w:val="22"/>
              </w:rPr>
              <w:t>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obiektów, należy zliczyć wszystkie, które </w:t>
            </w:r>
            <w:r w:rsidRPr="00911273">
              <w:rPr>
                <w:rFonts w:asciiTheme="minorHAnsi" w:eastAsiaTheme="minorHAnsi" w:hAnsiTheme="minorHAnsi"/>
                <w:szCs w:val="22"/>
                <w:lang w:eastAsia="en-US"/>
              </w:rPr>
              <w:lastRenderedPageBreak/>
              <w:t>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lastRenderedPageBreak/>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bl>
    <w:p w:rsidR="0046493A" w:rsidRPr="0046493A" w:rsidRDefault="000F2F7C" w:rsidP="0046493A">
      <w:pPr>
        <w:spacing w:line="240" w:lineRule="auto"/>
        <w:jc w:val="both"/>
        <w:rPr>
          <w:rFonts w:asciiTheme="minorHAnsi" w:hAnsiTheme="minorHAnsi"/>
          <w:b/>
          <w:szCs w:val="22"/>
        </w:rPr>
      </w:pPr>
      <w:r w:rsidRPr="000F2F7C">
        <w:rPr>
          <w:rFonts w:asciiTheme="minorHAnsi" w:hAnsiTheme="minorHAnsi"/>
          <w:b/>
          <w:szCs w:val="22"/>
        </w:rPr>
        <w:t xml:space="preserve"> </w:t>
      </w:r>
      <w:r w:rsidRPr="00335935">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t>
      </w:r>
      <w:r w:rsidRPr="002A51DB">
        <w:rPr>
          <w:rFonts w:asciiTheme="minorHAnsi" w:hAnsiTheme="minorHAnsi"/>
          <w:b/>
          <w:szCs w:val="22"/>
        </w:rPr>
        <w:t>wskaźniki produktu</w:t>
      </w:r>
      <w:r w:rsidRPr="00335935">
        <w:rPr>
          <w:rFonts w:asciiTheme="minorHAnsi" w:hAnsiTheme="minorHAnsi"/>
          <w:b/>
          <w:szCs w:val="22"/>
        </w:rPr>
        <w:t xml:space="preserve"> weryfikowane na etapie oceny zgodności ze Strategią ZIT </w:t>
      </w:r>
      <w:proofErr w:type="spellStart"/>
      <w:r w:rsidRPr="00335935">
        <w:rPr>
          <w:rFonts w:asciiTheme="minorHAnsi" w:hAnsiTheme="minorHAnsi"/>
          <w:b/>
          <w:szCs w:val="22"/>
        </w:rPr>
        <w:t>WrOF</w:t>
      </w:r>
      <w:proofErr w:type="spellEnd"/>
      <w:r w:rsidRPr="00335935">
        <w:rPr>
          <w:rFonts w:asciiTheme="minorHAnsi" w:hAnsiTheme="minorHAnsi"/>
          <w:b/>
          <w:szCs w:val="22"/>
        </w:rPr>
        <w:t xml:space="preserve"> są tożsame z wyżej wskazanymi tj.:</w:t>
      </w:r>
    </w:p>
    <w:p w:rsidR="002A51DB" w:rsidRDefault="002A51DB" w:rsidP="002A51DB">
      <w:pPr>
        <w:autoSpaceDE w:val="0"/>
        <w:autoSpaceDN w:val="0"/>
        <w:adjustRightInd w:val="0"/>
        <w:spacing w:before="0" w:line="240" w:lineRule="auto"/>
        <w:rPr>
          <w:rFonts w:asciiTheme="minorHAnsi" w:hAnsiTheme="minorHAnsi"/>
          <w:b/>
          <w:szCs w:val="22"/>
        </w:rPr>
      </w:pPr>
    </w:p>
    <w:p w:rsidR="00E6017F" w:rsidRDefault="0046493A" w:rsidP="002A51DB">
      <w:pPr>
        <w:autoSpaceDE w:val="0"/>
        <w:autoSpaceDN w:val="0"/>
        <w:adjustRightInd w:val="0"/>
        <w:spacing w:before="0"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 xml:space="preserve">Opieka nad dziećmi i edukacja: Liczba miejsc w objętej wsparciem infrastrukturze w zakresie opieki nad dziećmi lub infrastrukturze edukacyjnej (CI 35) </w:t>
      </w:r>
      <w:r w:rsidR="002A51DB">
        <w:rPr>
          <w:rFonts w:asciiTheme="minorHAnsi" w:hAnsiTheme="minorHAnsi"/>
          <w:b/>
          <w:szCs w:val="22"/>
        </w:rPr>
        <w:t>[</w:t>
      </w:r>
      <w:r w:rsidR="002A51DB" w:rsidRPr="00946665">
        <w:rPr>
          <w:rFonts w:asciiTheme="minorHAnsi" w:hAnsiTheme="minorHAnsi"/>
          <w:szCs w:val="22"/>
        </w:rPr>
        <w:t>Potencjał objętej wsparciem infrastruktury w zakresie opieki nad dziećmi lub</w:t>
      </w:r>
      <w:r w:rsidR="002A51DB">
        <w:rPr>
          <w:rFonts w:asciiTheme="minorHAnsi" w:hAnsiTheme="minorHAnsi"/>
          <w:szCs w:val="22"/>
        </w:rPr>
        <w:t xml:space="preserve"> </w:t>
      </w:r>
      <w:r w:rsidR="002A51DB" w:rsidRPr="00946665">
        <w:rPr>
          <w:rFonts w:asciiTheme="minorHAnsi" w:hAnsiTheme="minorHAnsi"/>
          <w:szCs w:val="22"/>
        </w:rPr>
        <w:t>infrastruktury edukacyjnej [osoby] (CI 35)</w:t>
      </w:r>
      <w:r w:rsidR="002A51DB">
        <w:rPr>
          <w:rFonts w:asciiTheme="minorHAnsi" w:hAnsiTheme="minorHAnsi"/>
          <w:szCs w:val="22"/>
        </w:rPr>
        <w:t>]</w:t>
      </w:r>
    </w:p>
    <w:p w:rsidR="00E6017F" w:rsidRPr="0046493A" w:rsidRDefault="00E6017F" w:rsidP="0046493A">
      <w:pPr>
        <w:spacing w:line="240" w:lineRule="auto"/>
        <w:jc w:val="both"/>
        <w:rPr>
          <w:rFonts w:asciiTheme="minorHAnsi" w:hAnsiTheme="minorHAnsi"/>
          <w:b/>
          <w:szCs w:val="22"/>
        </w:rPr>
      </w:pPr>
    </w:p>
    <w:p w:rsidR="00E6017F" w:rsidRDefault="0046493A" w:rsidP="00E6017F">
      <w:pPr>
        <w:pStyle w:val="Default"/>
        <w:rPr>
          <w:rFonts w:asciiTheme="minorHAnsi" w:hAnsiTheme="minorHAnsi" w:cs="Times New Roman"/>
          <w:sz w:val="22"/>
          <w:szCs w:val="22"/>
        </w:rPr>
      </w:pPr>
      <w:r>
        <w:rPr>
          <w:rFonts w:asciiTheme="minorHAnsi" w:hAnsiTheme="minorHAnsi"/>
          <w:b/>
          <w:szCs w:val="22"/>
        </w:rPr>
        <w:t xml:space="preserve">- </w:t>
      </w:r>
      <w:r w:rsidR="00E6017F" w:rsidRPr="00E6017F">
        <w:rPr>
          <w:rFonts w:asciiTheme="minorHAnsi" w:hAnsiTheme="minorHAnsi" w:cs="Times New Roman"/>
          <w:b/>
          <w:sz w:val="22"/>
          <w:szCs w:val="22"/>
        </w:rPr>
        <w:t>Liczba wspartych obiektów infrastruktury edukacji ogólnej</w:t>
      </w:r>
      <w:r w:rsidR="00E6017F" w:rsidRPr="00E6017F">
        <w:rPr>
          <w:rFonts w:asciiTheme="minorHAnsi" w:hAnsiTheme="minorHAnsi" w:cs="Times New Roman"/>
          <w:sz w:val="22"/>
          <w:szCs w:val="22"/>
        </w:rPr>
        <w:t xml:space="preserve"> </w:t>
      </w:r>
    </w:p>
    <w:p w:rsidR="002408B0" w:rsidRPr="00E6017F" w:rsidRDefault="002408B0" w:rsidP="00E6017F">
      <w:pPr>
        <w:pStyle w:val="Default"/>
        <w:rPr>
          <w:rFonts w:asciiTheme="minorHAnsi" w:hAnsiTheme="minorHAnsi" w:cs="Times New Roman"/>
          <w:sz w:val="22"/>
          <w:szCs w:val="22"/>
        </w:rPr>
      </w:pP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lastRenderedPageBreak/>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6413DA">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8554A8" w:rsidRPr="00911273" w:rsidRDefault="008554A8" w:rsidP="008554A8">
      <w:pPr>
        <w:autoSpaceDE w:val="0"/>
        <w:autoSpaceDN w:val="0"/>
        <w:adjustRightInd w:val="0"/>
        <w:spacing w:before="120" w:after="120" w:line="240" w:lineRule="auto"/>
        <w:jc w:val="both"/>
        <w:rPr>
          <w:rFonts w:asciiTheme="minorHAnsi" w:hAnsiTheme="minorHAnsi"/>
          <w:szCs w:val="22"/>
        </w:rPr>
      </w:pPr>
      <w:r w:rsidRPr="0044238B">
        <w:rPr>
          <w:rFonts w:asciiTheme="minorHAnsi" w:hAnsiTheme="minorHAnsi"/>
          <w:szCs w:val="22"/>
        </w:rPr>
        <w:t xml:space="preserve">W ramach Działania 7.1 </w:t>
      </w:r>
      <w:r w:rsidR="00D57D29" w:rsidRPr="00D57D29">
        <w:rPr>
          <w:rFonts w:asciiTheme="minorHAnsi" w:hAnsiTheme="minorHAnsi"/>
          <w:szCs w:val="22"/>
        </w:rPr>
        <w:t xml:space="preserve">określono poniższe wskaźniki </w:t>
      </w:r>
      <w:r w:rsidR="00D57D29" w:rsidRPr="00D57D29">
        <w:rPr>
          <w:rFonts w:asciiTheme="minorHAnsi" w:hAnsiTheme="minorHAnsi"/>
          <w:b/>
          <w:szCs w:val="22"/>
        </w:rPr>
        <w:t>rezultatu bezpośredniego</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E6017F" w:rsidRPr="00911273" w:rsidTr="00350E4E">
        <w:trPr>
          <w:trHeight w:val="20"/>
          <w:jc w:val="center"/>
        </w:trPr>
        <w:tc>
          <w:tcPr>
            <w:tcW w:w="1189" w:type="pct"/>
            <w:shd w:val="clear" w:color="auto" w:fill="auto"/>
          </w:tcPr>
          <w:p w:rsidR="00E6017F" w:rsidRPr="00E6017F" w:rsidRDefault="00E6017F" w:rsidP="00E6017F">
            <w:pPr>
              <w:pStyle w:val="Default"/>
              <w:rPr>
                <w:rFonts w:asciiTheme="minorHAnsi" w:eastAsiaTheme="minorHAnsi" w:hAnsiTheme="minorHAnsi" w:cs="Arial"/>
                <w:sz w:val="22"/>
                <w:szCs w:val="22"/>
                <w:lang w:eastAsia="en-US"/>
              </w:rPr>
            </w:pPr>
            <w:r w:rsidRPr="00E6017F">
              <w:rPr>
                <w:rFonts w:asciiTheme="minorHAnsi" w:eastAsiaTheme="minorHAnsi" w:hAnsiTheme="minorHAnsi" w:cs="Arial"/>
                <w:sz w:val="22"/>
                <w:szCs w:val="22"/>
                <w:lang w:eastAsia="en-US"/>
              </w:rPr>
              <w:t xml:space="preserve">Liczba użytkowników infrastruktury edukacyjnej wspartej w programie </w:t>
            </w:r>
          </w:p>
          <w:p w:rsidR="00E6017F" w:rsidRPr="005A1857" w:rsidRDefault="00E6017F" w:rsidP="00BF6400">
            <w:pPr>
              <w:spacing w:before="60" w:after="60" w:line="240" w:lineRule="auto"/>
              <w:rPr>
                <w:rFonts w:asciiTheme="minorHAnsi" w:hAnsiTheme="minorHAnsi"/>
                <w:szCs w:val="22"/>
              </w:rPr>
            </w:pPr>
          </w:p>
        </w:tc>
        <w:tc>
          <w:tcPr>
            <w:tcW w:w="701" w:type="pct"/>
          </w:tcPr>
          <w:p w:rsidR="00E6017F" w:rsidRPr="00911273" w:rsidRDefault="00E6017F" w:rsidP="00BF6400">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B83633" w:rsidRPr="007043AB" w:rsidRDefault="00B83633" w:rsidP="00B83633">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Liczba rzeczywistych użytkowników, którzy korzystają ze wspartej w wyniku projektu infrastruktury edukacyjnej</w:t>
            </w:r>
          </w:p>
          <w:p w:rsidR="00B83633" w:rsidRPr="007043AB" w:rsidRDefault="00B83633" w:rsidP="00B83633">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Przez użytkowników w tym kontekście należy rozumieć uczniów, nie należy uwzględniać nauczycieli, rodziców lub inne osoby, które mogą korzystać z infrastruktury.</w:t>
            </w:r>
          </w:p>
          <w:p w:rsidR="00E6017F" w:rsidRPr="00B83633" w:rsidRDefault="00B83633" w:rsidP="00B83633">
            <w:pPr>
              <w:spacing w:before="100" w:beforeAutospacing="1" w:after="120" w:line="240" w:lineRule="auto"/>
              <w:jc w:val="both"/>
              <w:rPr>
                <w:rFonts w:asciiTheme="minorHAnsi" w:eastAsiaTheme="minorHAnsi" w:hAnsiTheme="minorHAnsi" w:cs="Arial"/>
                <w:szCs w:val="22"/>
                <w:lang w:eastAsia="en-US"/>
              </w:rPr>
            </w:pPr>
            <w:r w:rsidRPr="007043AB">
              <w:rPr>
                <w:rFonts w:asciiTheme="minorHAnsi" w:eastAsiaTheme="minorHAnsi" w:hAnsiTheme="minorHAnsi" w:cs="Arial"/>
                <w:szCs w:val="22"/>
                <w:lang w:eastAsia="en-US"/>
              </w:rPr>
              <w:t>Wskaźnik dotyczy nowych lub udoskonalonych budynków, lub nowego doposażenia w ramach projektu</w:t>
            </w:r>
            <w:r>
              <w:rPr>
                <w:rFonts w:asciiTheme="minorHAnsi" w:eastAsiaTheme="minorHAnsi" w:hAnsiTheme="minorHAnsi" w:cs="Arial"/>
                <w:szCs w:val="22"/>
                <w:lang w:eastAsia="en-US"/>
              </w:rPr>
              <w:t>.</w:t>
            </w:r>
          </w:p>
        </w:tc>
        <w:tc>
          <w:tcPr>
            <w:tcW w:w="1049" w:type="pct"/>
          </w:tcPr>
          <w:p w:rsidR="00E6017F" w:rsidRDefault="00E6017F" w:rsidP="00BF6400">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w:t>
            </w:r>
            <w:r w:rsidRPr="007650AC">
              <w:rPr>
                <w:rFonts w:asciiTheme="minorHAnsi" w:hAnsiTheme="minorHAnsi"/>
                <w:szCs w:val="22"/>
                <w:lang w:val="en-US"/>
              </w:rPr>
              <w:lastRenderedPageBreak/>
              <w:t>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w:t>
            </w:r>
            <w:r w:rsidRPr="00B840A9">
              <w:rPr>
                <w:rFonts w:asciiTheme="minorHAnsi" w:hAnsiTheme="minorHAnsi"/>
                <w:i/>
              </w:rPr>
              <w:lastRenderedPageBreak/>
              <w:t xml:space="preserve">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E6017F" w:rsidRPr="0046493A" w:rsidRDefault="000F2F7C" w:rsidP="00E6017F">
      <w:pPr>
        <w:spacing w:line="240" w:lineRule="auto"/>
        <w:jc w:val="both"/>
        <w:rPr>
          <w:rFonts w:asciiTheme="minorHAnsi" w:hAnsiTheme="minorHAnsi"/>
          <w:b/>
          <w:szCs w:val="22"/>
        </w:rPr>
      </w:pPr>
      <w:r w:rsidRPr="00335935">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w:t>
      </w:r>
      <w:r>
        <w:rPr>
          <w:rFonts w:asciiTheme="minorHAnsi" w:hAnsiTheme="minorHAnsi"/>
          <w:b/>
          <w:szCs w:val="22"/>
        </w:rPr>
        <w:t xml:space="preserve">rezultatu </w:t>
      </w:r>
      <w:r w:rsidRPr="00335935">
        <w:rPr>
          <w:rFonts w:asciiTheme="minorHAnsi" w:hAnsiTheme="minorHAnsi"/>
          <w:b/>
          <w:szCs w:val="22"/>
        </w:rPr>
        <w:t xml:space="preserve">weryfikowane na etapie oceny zgodności ze Strategią ZIT </w:t>
      </w:r>
      <w:proofErr w:type="spellStart"/>
      <w:r w:rsidRPr="00335935">
        <w:rPr>
          <w:rFonts w:asciiTheme="minorHAnsi" w:hAnsiTheme="minorHAnsi"/>
          <w:b/>
          <w:szCs w:val="22"/>
        </w:rPr>
        <w:t>WrOF</w:t>
      </w:r>
      <w:proofErr w:type="spellEnd"/>
      <w:r w:rsidRPr="00335935">
        <w:rPr>
          <w:rFonts w:asciiTheme="minorHAnsi" w:hAnsiTheme="minorHAnsi"/>
          <w:b/>
          <w:szCs w:val="22"/>
        </w:rPr>
        <w:t xml:space="preserve"> są tożsame z wyżej wskazanymi tj.:</w:t>
      </w:r>
    </w:p>
    <w:p w:rsidR="002408B0" w:rsidRDefault="002408B0" w:rsidP="002408B0">
      <w:pPr>
        <w:pStyle w:val="Default"/>
        <w:rPr>
          <w:rFonts w:asciiTheme="minorHAnsi" w:eastAsiaTheme="minorHAnsi" w:hAnsiTheme="minorHAnsi" w:cs="Arial"/>
          <w:sz w:val="22"/>
          <w:szCs w:val="22"/>
          <w:lang w:eastAsia="en-US"/>
        </w:rPr>
      </w:pPr>
    </w:p>
    <w:p w:rsidR="002408B0" w:rsidRPr="002408B0" w:rsidRDefault="002408B0" w:rsidP="002408B0">
      <w:pPr>
        <w:pStyle w:val="Default"/>
        <w:rPr>
          <w:rFonts w:asciiTheme="minorHAnsi" w:hAnsiTheme="minorHAnsi" w:cs="ArialNarrow"/>
          <w:sz w:val="22"/>
          <w:szCs w:val="22"/>
        </w:rPr>
      </w:pPr>
      <w:r w:rsidRPr="002408B0">
        <w:rPr>
          <w:rFonts w:asciiTheme="minorHAnsi" w:hAnsiTheme="minorHAnsi" w:cs="ArialNarrow"/>
          <w:sz w:val="22"/>
          <w:szCs w:val="22"/>
        </w:rPr>
        <w:t xml:space="preserve">- Liczba użytkowników infrastruktury edukacyjnej wspartej w programie </w:t>
      </w:r>
    </w:p>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28" w:rsidRDefault="009F5E28" w:rsidP="008C495E">
      <w:pPr>
        <w:spacing w:before="0" w:line="240" w:lineRule="auto"/>
      </w:pPr>
      <w:r>
        <w:separator/>
      </w:r>
    </w:p>
  </w:endnote>
  <w:endnote w:type="continuationSeparator" w:id="0">
    <w:p w:rsidR="009F5E28" w:rsidRDefault="009F5E28"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88235"/>
      <w:docPartObj>
        <w:docPartGallery w:val="Page Numbers (Bottom of Page)"/>
        <w:docPartUnique/>
      </w:docPartObj>
    </w:sdtPr>
    <w:sdtContent>
      <w:p w:rsidR="00B714CF" w:rsidRDefault="00B714CF">
        <w:pPr>
          <w:pStyle w:val="Stopka"/>
          <w:jc w:val="right"/>
        </w:pPr>
        <w:r>
          <w:fldChar w:fldCharType="begin"/>
        </w:r>
        <w:r>
          <w:instrText>PAGE   \* MERGEFORMAT</w:instrText>
        </w:r>
        <w:r>
          <w:fldChar w:fldCharType="separate"/>
        </w:r>
        <w:r>
          <w:rPr>
            <w:noProof/>
          </w:rPr>
          <w:t>4</w:t>
        </w:r>
        <w:r>
          <w:fldChar w:fldCharType="end"/>
        </w:r>
      </w:p>
    </w:sdtContent>
  </w:sdt>
  <w:p w:rsidR="00B714CF" w:rsidRDefault="00B714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28" w:rsidRDefault="009F5E28" w:rsidP="008C495E">
      <w:pPr>
        <w:spacing w:before="0" w:line="240" w:lineRule="auto"/>
      </w:pPr>
      <w:r>
        <w:separator/>
      </w:r>
    </w:p>
  </w:footnote>
  <w:footnote w:type="continuationSeparator" w:id="0">
    <w:p w:rsidR="009F5E28" w:rsidRDefault="009F5E28"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B714CF">
    <w:pPr>
      <w:pStyle w:val="Nagwek"/>
      <w:jc w:val="right"/>
      <w:rPr>
        <w:rFonts w:asciiTheme="minorHAnsi" w:hAnsiTheme="minorHAnsi"/>
        <w:sz w:val="20"/>
      </w:rPr>
    </w:pPr>
    <w:r>
      <w:tab/>
    </w: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B714CF">
    <w:pPr>
      <w:spacing w:before="0" w:line="240" w:lineRule="auto"/>
      <w:jc w:val="right"/>
      <w:rPr>
        <w:rFonts w:asciiTheme="minorHAnsi" w:hAnsiTheme="minorHAnsi"/>
        <w:sz w:val="20"/>
      </w:rPr>
    </w:pPr>
    <w:r w:rsidRPr="00C0278F">
      <w:rPr>
        <w:rFonts w:asciiTheme="minorHAnsi" w:hAnsiTheme="minorHAnsi"/>
        <w:sz w:val="20"/>
      </w:rPr>
      <w:t>Nr n</w:t>
    </w:r>
    <w:r w:rsidR="000C0A4C">
      <w:rPr>
        <w:rFonts w:asciiTheme="minorHAnsi" w:hAnsiTheme="minorHAnsi"/>
        <w:sz w:val="20"/>
      </w:rPr>
      <w:t xml:space="preserve">aboru </w:t>
    </w:r>
    <w:r w:rsidR="000F2F7C" w:rsidRPr="000F2F7C">
      <w:rPr>
        <w:rFonts w:asciiTheme="minorHAnsi" w:hAnsiTheme="minorHAnsi"/>
        <w:sz w:val="20"/>
      </w:rPr>
      <w:t>RPDS.07.01.02-IZ.00-02-074/16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95E"/>
    <w:rsid w:val="00002E70"/>
    <w:rsid w:val="00094C3F"/>
    <w:rsid w:val="000A2BAF"/>
    <w:rsid w:val="000B05C7"/>
    <w:rsid w:val="000C0A4C"/>
    <w:rsid w:val="000F2F7C"/>
    <w:rsid w:val="000F5C98"/>
    <w:rsid w:val="00141571"/>
    <w:rsid w:val="0015486C"/>
    <w:rsid w:val="00184A53"/>
    <w:rsid w:val="00191605"/>
    <w:rsid w:val="001C4F9E"/>
    <w:rsid w:val="00223F1F"/>
    <w:rsid w:val="00237177"/>
    <w:rsid w:val="002408B0"/>
    <w:rsid w:val="00253FAA"/>
    <w:rsid w:val="002972E4"/>
    <w:rsid w:val="002A51DB"/>
    <w:rsid w:val="002B5DA0"/>
    <w:rsid w:val="002D5507"/>
    <w:rsid w:val="002F6273"/>
    <w:rsid w:val="0032765F"/>
    <w:rsid w:val="00335935"/>
    <w:rsid w:val="00340A6B"/>
    <w:rsid w:val="00370466"/>
    <w:rsid w:val="00380861"/>
    <w:rsid w:val="00396F3C"/>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16B06"/>
    <w:rsid w:val="00522930"/>
    <w:rsid w:val="00530E5D"/>
    <w:rsid w:val="00535E8F"/>
    <w:rsid w:val="00555321"/>
    <w:rsid w:val="005615C8"/>
    <w:rsid w:val="005657D8"/>
    <w:rsid w:val="005A1857"/>
    <w:rsid w:val="0060140B"/>
    <w:rsid w:val="0061737E"/>
    <w:rsid w:val="00620A45"/>
    <w:rsid w:val="00620B41"/>
    <w:rsid w:val="00635DB0"/>
    <w:rsid w:val="006413DA"/>
    <w:rsid w:val="00677786"/>
    <w:rsid w:val="006A09F0"/>
    <w:rsid w:val="006C3827"/>
    <w:rsid w:val="006C652C"/>
    <w:rsid w:val="00701E65"/>
    <w:rsid w:val="00704B1F"/>
    <w:rsid w:val="00726AC4"/>
    <w:rsid w:val="007300ED"/>
    <w:rsid w:val="00732E4C"/>
    <w:rsid w:val="00741B27"/>
    <w:rsid w:val="007650AC"/>
    <w:rsid w:val="00787387"/>
    <w:rsid w:val="007D1CF1"/>
    <w:rsid w:val="007D7DE7"/>
    <w:rsid w:val="007E025A"/>
    <w:rsid w:val="007E26CB"/>
    <w:rsid w:val="007E6D53"/>
    <w:rsid w:val="008554A8"/>
    <w:rsid w:val="008A09D1"/>
    <w:rsid w:val="008A195C"/>
    <w:rsid w:val="008B21E1"/>
    <w:rsid w:val="008B673D"/>
    <w:rsid w:val="008C495E"/>
    <w:rsid w:val="008E3F0D"/>
    <w:rsid w:val="009024D3"/>
    <w:rsid w:val="00911273"/>
    <w:rsid w:val="00916677"/>
    <w:rsid w:val="009449EE"/>
    <w:rsid w:val="009456DB"/>
    <w:rsid w:val="00946665"/>
    <w:rsid w:val="00957260"/>
    <w:rsid w:val="00982504"/>
    <w:rsid w:val="009926BE"/>
    <w:rsid w:val="009D3C56"/>
    <w:rsid w:val="009E65D0"/>
    <w:rsid w:val="009F5E28"/>
    <w:rsid w:val="009F697D"/>
    <w:rsid w:val="00A318E7"/>
    <w:rsid w:val="00A7445E"/>
    <w:rsid w:val="00A804DB"/>
    <w:rsid w:val="00AD2437"/>
    <w:rsid w:val="00B145AE"/>
    <w:rsid w:val="00B204DD"/>
    <w:rsid w:val="00B235B0"/>
    <w:rsid w:val="00B61B7A"/>
    <w:rsid w:val="00B714CF"/>
    <w:rsid w:val="00B73061"/>
    <w:rsid w:val="00B83633"/>
    <w:rsid w:val="00B840A9"/>
    <w:rsid w:val="00BC03CE"/>
    <w:rsid w:val="00C0278F"/>
    <w:rsid w:val="00C10532"/>
    <w:rsid w:val="00C40E8D"/>
    <w:rsid w:val="00C90F5E"/>
    <w:rsid w:val="00CC7758"/>
    <w:rsid w:val="00CF5466"/>
    <w:rsid w:val="00CF69D1"/>
    <w:rsid w:val="00D03CAB"/>
    <w:rsid w:val="00D11CB4"/>
    <w:rsid w:val="00D11E26"/>
    <w:rsid w:val="00D5098A"/>
    <w:rsid w:val="00D57D29"/>
    <w:rsid w:val="00D715C3"/>
    <w:rsid w:val="00D93881"/>
    <w:rsid w:val="00DB617A"/>
    <w:rsid w:val="00DC60F0"/>
    <w:rsid w:val="00E232BD"/>
    <w:rsid w:val="00E32B6F"/>
    <w:rsid w:val="00E6017F"/>
    <w:rsid w:val="00E61834"/>
    <w:rsid w:val="00E72468"/>
    <w:rsid w:val="00E90CA0"/>
    <w:rsid w:val="00F02218"/>
    <w:rsid w:val="00F11106"/>
    <w:rsid w:val="00F17083"/>
    <w:rsid w:val="00F303C6"/>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63708089">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A048-F5E5-4934-968A-BA9509F4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2110</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12</cp:revision>
  <cp:lastPrinted>2015-12-18T11:43:00Z</cp:lastPrinted>
  <dcterms:created xsi:type="dcterms:W3CDTF">2016-02-14T09:03:00Z</dcterms:created>
  <dcterms:modified xsi:type="dcterms:W3CDTF">2016-02-22T06:19:00Z</dcterms:modified>
</cp:coreProperties>
</file>