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AC6D68">
        <w:rPr>
          <w:b/>
          <w:sz w:val="28"/>
          <w:szCs w:val="28"/>
        </w:rPr>
        <w:t>12.02.2016</w:t>
      </w:r>
      <w:r w:rsidRPr="00404122">
        <w:rPr>
          <w:b/>
          <w:sz w:val="28"/>
          <w:szCs w:val="28"/>
        </w:rPr>
        <w:t xml:space="preserve"> r. </w:t>
      </w:r>
      <w:r w:rsidR="00BB1DB5">
        <w:rPr>
          <w:b/>
          <w:sz w:val="28"/>
          <w:szCs w:val="28"/>
        </w:rPr>
        <w:br/>
        <w:t xml:space="preserve">(Uchwała </w:t>
      </w:r>
      <w:r w:rsidRPr="000306CC">
        <w:rPr>
          <w:b/>
          <w:sz w:val="28"/>
          <w:szCs w:val="28"/>
        </w:rPr>
        <w:t xml:space="preserve">nr </w:t>
      </w:r>
      <w:r w:rsidR="000306CC" w:rsidRPr="000306CC">
        <w:rPr>
          <w:b/>
          <w:sz w:val="28"/>
          <w:szCs w:val="28"/>
        </w:rPr>
        <w:t>25</w:t>
      </w:r>
      <w:r w:rsidR="00AC6D68" w:rsidRPr="000306CC">
        <w:rPr>
          <w:b/>
          <w:sz w:val="28"/>
          <w:szCs w:val="28"/>
        </w:rPr>
        <w:t>/</w:t>
      </w:r>
      <w:r w:rsidR="00AC6D68">
        <w:rPr>
          <w:b/>
          <w:sz w:val="28"/>
          <w:szCs w:val="28"/>
        </w:rPr>
        <w:t>16</w:t>
      </w:r>
      <w:r w:rsidRPr="00404122">
        <w:rPr>
          <w:b/>
          <w:sz w:val="28"/>
          <w:szCs w:val="28"/>
        </w:rPr>
        <w:t xml:space="preserve"> KM RPO WD) obowiązujących w naborze RPDS.</w:t>
      </w:r>
      <w:r w:rsidR="00AB157B">
        <w:rPr>
          <w:b/>
          <w:sz w:val="28"/>
          <w:szCs w:val="28"/>
        </w:rPr>
        <w:t>07.02.01-IZ.00-02-078</w:t>
      </w:r>
      <w:r w:rsidR="00AC6D68">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82F9C">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82F9C">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82F9C">
        <w:tc>
          <w:tcPr>
            <w:tcW w:w="904" w:type="dxa"/>
          </w:tcPr>
          <w:p w:rsidR="004260E9" w:rsidRPr="004260E9" w:rsidRDefault="000306CC"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bookmarkStart w:id="1" w:name="_GoBack"/>
            <w:bookmarkEnd w:id="1"/>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82F9C">
        <w:trPr>
          <w:trHeight w:val="2522"/>
        </w:trPr>
        <w:tc>
          <w:tcPr>
            <w:tcW w:w="904" w:type="dxa"/>
          </w:tcPr>
          <w:p w:rsidR="004260E9" w:rsidRPr="004260E9" w:rsidRDefault="000306CC" w:rsidP="004260E9">
            <w:pPr>
              <w:spacing w:after="120"/>
              <w:jc w:val="center"/>
              <w:rPr>
                <w:rFonts w:eastAsia="Times New Roman" w:cs="Arial"/>
                <w:kern w:val="1"/>
              </w:rPr>
            </w:pPr>
            <w:r>
              <w:rPr>
                <w:rFonts w:eastAsia="Times New Roman" w:cs="Arial"/>
                <w:kern w:val="1"/>
              </w:rPr>
              <w:lastRenderedPageBreak/>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82F9C">
        <w:trPr>
          <w:trHeight w:val="426"/>
        </w:trPr>
        <w:tc>
          <w:tcPr>
            <w:tcW w:w="904" w:type="dxa"/>
          </w:tcPr>
          <w:p w:rsidR="004260E9" w:rsidRPr="004260E9" w:rsidRDefault="000306CC"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82F9C">
        <w:tc>
          <w:tcPr>
            <w:tcW w:w="904" w:type="dxa"/>
          </w:tcPr>
          <w:p w:rsidR="004260E9" w:rsidRPr="004260E9" w:rsidRDefault="000306CC" w:rsidP="004260E9">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82F9C">
        <w:tc>
          <w:tcPr>
            <w:tcW w:w="904" w:type="dxa"/>
          </w:tcPr>
          <w:p w:rsidR="004260E9" w:rsidRPr="004260E9" w:rsidRDefault="000306CC" w:rsidP="004260E9">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82F9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0306CC"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w:t>
            </w:r>
            <w:r w:rsidRPr="004260E9">
              <w:rPr>
                <w:rFonts w:eastAsia="Times New Roman" w:cs="Arial"/>
                <w:kern w:val="1"/>
                <w:sz w:val="18"/>
                <w:szCs w:val="18"/>
              </w:rPr>
              <w:lastRenderedPageBreak/>
              <w:t>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lastRenderedPageBreak/>
              <w:t>Brak możliwości korekty</w:t>
            </w:r>
            <w:r w:rsidRPr="004260E9">
              <w:rPr>
                <w:rFonts w:eastAsia="Times New Roman" w:cs="Arial"/>
                <w:b/>
                <w:kern w:val="1"/>
              </w:rPr>
              <w:t xml:space="preserve"> </w:t>
            </w:r>
          </w:p>
        </w:tc>
      </w:tr>
      <w:tr w:rsidR="004260E9" w:rsidRPr="004260E9" w:rsidTr="00A82F9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0306CC"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82F9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0306CC"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w:t>
            </w:r>
            <w:r w:rsidRPr="004260E9">
              <w:rPr>
                <w:rFonts w:cs="Arial"/>
                <w:sz w:val="20"/>
                <w:szCs w:val="20"/>
              </w:rPr>
              <w:lastRenderedPageBreak/>
              <w:t>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82F9C">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0306CC" w:rsidP="004260E9">
            <w:pPr>
              <w:spacing w:after="120"/>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82F9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0306CC"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82F9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0306CC"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lastRenderedPageBreak/>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t>
            </w:r>
            <w:r w:rsidRPr="004260E9">
              <w:rPr>
                <w:rFonts w:eastAsia="Times New Roman" w:cs="Arial"/>
                <w:kern w:val="1"/>
              </w:rPr>
              <w:lastRenderedPageBreak/>
              <w:t>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0306CC">
        <w:trPr>
          <w:trHeight w:val="886"/>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0306CC"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3. Czy wartość wygenerowanego dochodu wskazana we wniosku o dofinansowanie odpowiada wartości uzyskanej w  analizie finansowej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82F9C">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0306CC"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82F9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0306CC"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2"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lastRenderedPageBreak/>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t>
            </w:r>
            <w:r w:rsidRPr="00DB4FBC">
              <w:rPr>
                <w:rFonts w:cs="Arial"/>
              </w:rPr>
              <w:lastRenderedPageBreak/>
              <w:t xml:space="preserve">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w:t>
            </w:r>
            <w:r w:rsidRPr="00DB4FBC">
              <w:rPr>
                <w:rFonts w:cs="Arial"/>
              </w:rPr>
              <w:lastRenderedPageBreak/>
              <w:t>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0306CC">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 xml:space="preserve">a także odporność </w:t>
            </w:r>
            <w:r w:rsidRPr="00DB4FBC">
              <w:rPr>
                <w:rFonts w:cs="Arial"/>
              </w:rPr>
              <w:lastRenderedPageBreak/>
              <w:t>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lastRenderedPageBreak/>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lastRenderedPageBreak/>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lastRenderedPageBreak/>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w:t>
            </w:r>
            <w:r w:rsidRPr="00DB4FBC">
              <w:rPr>
                <w:rFonts w:cs="Arial"/>
                <w:sz w:val="18"/>
                <w:szCs w:val="18"/>
              </w:rPr>
              <w:lastRenderedPageBreak/>
              <w:t>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lastRenderedPageBreak/>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t>
            </w:r>
            <w:r w:rsidRPr="00DB4FBC">
              <w:rPr>
                <w:rFonts w:cs="Arial"/>
              </w:rPr>
              <w:lastRenderedPageBreak/>
              <w:t xml:space="preserve">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lastRenderedPageBreak/>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sidR="000306CC">
              <w:rPr>
                <w:rFonts w:cs="Arial"/>
                <w:b/>
              </w:rPr>
              <w:t>5</w:t>
            </w:r>
            <w:r w:rsidRPr="00DB4FBC">
              <w:rPr>
                <w:rFonts w:cs="Arial"/>
                <w:b/>
              </w:rPr>
              <w:t xml:space="preserve"> pkt</w:t>
            </w:r>
          </w:p>
        </w:tc>
      </w:tr>
    </w:tbl>
    <w:p w:rsidR="00383310" w:rsidRDefault="00383310" w:rsidP="00383310">
      <w:pPr>
        <w:rPr>
          <w:rFonts w:eastAsia="Times New Roman" w:cs="Times New Roman"/>
          <w:color w:val="000000"/>
          <w:sz w:val="18"/>
          <w:szCs w:val="18"/>
        </w:rPr>
      </w:pPr>
    </w:p>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 xml:space="preserve">Uzyskanie przez projekt minimum </w:t>
            </w:r>
            <w:r w:rsidRPr="00DA0804">
              <w:rPr>
                <w:rFonts w:cs="Arial"/>
                <w:b/>
              </w:rPr>
              <w:lastRenderedPageBreak/>
              <w:t>punktowego</w:t>
            </w:r>
          </w:p>
        </w:tc>
        <w:tc>
          <w:tcPr>
            <w:tcW w:w="6378" w:type="dxa"/>
          </w:tcPr>
          <w:p w:rsidR="00383310" w:rsidRPr="00EE4FFC" w:rsidRDefault="00383310" w:rsidP="00A8492C">
            <w:pPr>
              <w:jc w:val="both"/>
              <w:rPr>
                <w:rFonts w:cs="Arial"/>
              </w:rPr>
            </w:pPr>
            <w:r w:rsidRPr="00EE4FFC">
              <w:rPr>
                <w:rFonts w:cs="Arial"/>
              </w:rPr>
              <w:lastRenderedPageBreak/>
              <w:t>W ramach tego kryterium będzie sprawdzane czy</w:t>
            </w:r>
            <w:r>
              <w:rPr>
                <w:rFonts w:cs="Arial"/>
              </w:rPr>
              <w:t>, projekt otrzymał co najmniej 1</w:t>
            </w:r>
            <w:r w:rsidRPr="00EE4FFC">
              <w:rPr>
                <w:rFonts w:cs="Arial"/>
              </w:rPr>
              <w:t xml:space="preserve">5% możliwych do uzyskania punktów za kryteria </w:t>
            </w:r>
            <w:r w:rsidRPr="00EE4FFC">
              <w:rPr>
                <w:rFonts w:cs="Arial"/>
              </w:rPr>
              <w:lastRenderedPageBreak/>
              <w:t>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lastRenderedPageBreak/>
              <w:t>Tak/Nie</w:t>
            </w:r>
          </w:p>
          <w:p w:rsidR="00383310" w:rsidRPr="00EE4FFC" w:rsidRDefault="00383310" w:rsidP="00A8492C">
            <w:pPr>
              <w:spacing w:after="0" w:line="240" w:lineRule="auto"/>
              <w:jc w:val="center"/>
              <w:rPr>
                <w:rFonts w:cs="Arial"/>
              </w:rPr>
            </w:pPr>
            <w:r w:rsidRPr="00EE4FFC">
              <w:rPr>
                <w:rFonts w:cs="Arial"/>
              </w:rPr>
              <w:lastRenderedPageBreak/>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357E1" w:rsidRPr="00B357E1" w:rsidTr="0082547D">
        <w:trPr>
          <w:trHeight w:val="499"/>
          <w:tblHeader/>
        </w:trPr>
        <w:tc>
          <w:tcPr>
            <w:tcW w:w="567" w:type="dxa"/>
            <w:shd w:val="clear" w:color="auto" w:fill="auto"/>
            <w:vAlign w:val="center"/>
          </w:tcPr>
          <w:p w:rsidR="00B357E1" w:rsidRPr="00B357E1" w:rsidRDefault="00B357E1" w:rsidP="00B357E1">
            <w:pPr>
              <w:rPr>
                <w:b/>
              </w:rPr>
            </w:pPr>
            <w:r w:rsidRPr="00B357E1">
              <w:rPr>
                <w:b/>
              </w:rPr>
              <w:t>Lp.</w:t>
            </w:r>
          </w:p>
        </w:tc>
        <w:tc>
          <w:tcPr>
            <w:tcW w:w="3686" w:type="dxa"/>
            <w:shd w:val="clear" w:color="auto" w:fill="auto"/>
            <w:vAlign w:val="center"/>
          </w:tcPr>
          <w:p w:rsidR="00B357E1" w:rsidRPr="00B357E1" w:rsidRDefault="00B357E1" w:rsidP="00B357E1">
            <w:pPr>
              <w:rPr>
                <w:b/>
              </w:rPr>
            </w:pPr>
            <w:r w:rsidRPr="00B357E1">
              <w:rPr>
                <w:b/>
              </w:rPr>
              <w:t>Nazwa kryterium</w:t>
            </w:r>
          </w:p>
        </w:tc>
        <w:tc>
          <w:tcPr>
            <w:tcW w:w="6378" w:type="dxa"/>
            <w:shd w:val="clear" w:color="auto" w:fill="auto"/>
            <w:vAlign w:val="center"/>
          </w:tcPr>
          <w:p w:rsidR="00B357E1" w:rsidRPr="00B357E1" w:rsidRDefault="00B357E1" w:rsidP="00B357E1">
            <w:r w:rsidRPr="00B357E1">
              <w:rPr>
                <w:b/>
              </w:rPr>
              <w:t>Definicja kryterium</w:t>
            </w:r>
          </w:p>
        </w:tc>
        <w:tc>
          <w:tcPr>
            <w:tcW w:w="3544" w:type="dxa"/>
            <w:shd w:val="clear" w:color="auto" w:fill="auto"/>
            <w:vAlign w:val="center"/>
          </w:tcPr>
          <w:p w:rsidR="00B357E1" w:rsidRPr="00B357E1" w:rsidRDefault="00B357E1" w:rsidP="00B357E1">
            <w:r w:rsidRPr="00B357E1">
              <w:rPr>
                <w:b/>
              </w:rPr>
              <w:t>Opis znaczenia kryterium</w:t>
            </w:r>
          </w:p>
        </w:tc>
      </w:tr>
      <w:tr w:rsidR="00B357E1" w:rsidRPr="00B357E1" w:rsidTr="0082547D">
        <w:trPr>
          <w:trHeight w:val="952"/>
        </w:trPr>
        <w:tc>
          <w:tcPr>
            <w:tcW w:w="567" w:type="dxa"/>
            <w:vAlign w:val="center"/>
          </w:tcPr>
          <w:p w:rsidR="00B357E1" w:rsidRPr="00B357E1" w:rsidRDefault="00B357E1" w:rsidP="00B357E1">
            <w:r w:rsidRPr="00B357E1">
              <w:t>1.</w:t>
            </w:r>
          </w:p>
        </w:tc>
        <w:tc>
          <w:tcPr>
            <w:tcW w:w="3686" w:type="dxa"/>
            <w:vAlign w:val="center"/>
          </w:tcPr>
          <w:p w:rsidR="00B357E1" w:rsidRPr="00B357E1" w:rsidRDefault="00B357E1" w:rsidP="00B357E1">
            <w:pPr>
              <w:spacing w:after="0" w:line="240" w:lineRule="auto"/>
              <w:rPr>
                <w:b/>
              </w:rPr>
            </w:pPr>
          </w:p>
          <w:p w:rsidR="00B357E1" w:rsidRPr="00B357E1" w:rsidRDefault="00B357E1" w:rsidP="00B357E1">
            <w:pPr>
              <w:spacing w:after="0" w:line="240" w:lineRule="auto"/>
              <w:rPr>
                <w:b/>
              </w:rPr>
            </w:pPr>
            <w:r w:rsidRPr="00B357E1">
              <w:rPr>
                <w:b/>
              </w:rPr>
              <w:t xml:space="preserve">Posiadanie kompleksowego planu wykorzystania powstałej </w:t>
            </w:r>
            <w:r w:rsidRPr="00B357E1">
              <w:rPr>
                <w:b/>
              </w:rPr>
              <w:br/>
              <w:t>w wyniku realizacji projektu infrastruktury</w:t>
            </w:r>
          </w:p>
          <w:p w:rsidR="00B357E1" w:rsidRPr="00B357E1" w:rsidRDefault="00B357E1" w:rsidP="00B357E1">
            <w:pPr>
              <w:spacing w:after="0" w:line="240" w:lineRule="auto"/>
              <w:rPr>
                <w:rFonts w:ascii="Arial" w:hAnsi="Arial" w:cs="Arial"/>
                <w:b/>
                <w:color w:val="FF0000"/>
              </w:rPr>
            </w:pPr>
          </w:p>
        </w:tc>
        <w:tc>
          <w:tcPr>
            <w:tcW w:w="6378" w:type="dxa"/>
            <w:vAlign w:val="center"/>
          </w:tcPr>
          <w:p w:rsidR="00B357E1" w:rsidRPr="00B357E1" w:rsidRDefault="00B357E1" w:rsidP="00B357E1">
            <w:pPr>
              <w:spacing w:after="0" w:line="240" w:lineRule="auto"/>
              <w:jc w:val="both"/>
            </w:pPr>
            <w:r w:rsidRPr="00B357E1">
              <w:t>W ramach tego kryterium będzie weryfikowane czy projektodawca posiada wizję i kompleksowy plan wykorzystania powstałej w wyniku realizacji projektu infrastruktury</w:t>
            </w:r>
            <w:r w:rsidRPr="00B357E1">
              <w:rPr>
                <w:rFonts w:eastAsiaTheme="minorEastAsia"/>
                <w:lang w:eastAsia="pl-PL"/>
              </w:rPr>
              <w:t xml:space="preserve"> </w:t>
            </w:r>
            <w:r w:rsidRPr="00B357E1">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357E1" w:rsidRPr="00B357E1" w:rsidRDefault="00B357E1" w:rsidP="00B357E1">
            <w:pPr>
              <w:spacing w:after="0" w:line="240" w:lineRule="auto"/>
              <w:jc w:val="both"/>
            </w:pPr>
          </w:p>
          <w:p w:rsidR="00B357E1" w:rsidRPr="00B357E1" w:rsidRDefault="00B357E1" w:rsidP="00B357E1">
            <w:pPr>
              <w:spacing w:after="0" w:line="240" w:lineRule="auto"/>
              <w:jc w:val="both"/>
              <w:rPr>
                <w:sz w:val="18"/>
                <w:szCs w:val="18"/>
              </w:rPr>
            </w:pPr>
            <w:r w:rsidRPr="00B357E1">
              <w:rPr>
                <w:sz w:val="18"/>
                <w:szCs w:val="18"/>
              </w:rPr>
              <w:t>W projekcie zawarta będzie analiza trendów demograficznych na terenie realizacji projektu, która w wiarygodny sposób będzie wskazywać, iż projekt uwzględnia zmiany demograficzne, które nastąpią w okresie realizacji i trwałości projektu.</w:t>
            </w:r>
          </w:p>
          <w:p w:rsidR="00B357E1" w:rsidRPr="00B357E1" w:rsidRDefault="00B357E1" w:rsidP="00B357E1">
            <w:pPr>
              <w:spacing w:after="0" w:line="240" w:lineRule="auto"/>
              <w:jc w:val="both"/>
              <w:rPr>
                <w:sz w:val="18"/>
                <w:szCs w:val="18"/>
              </w:rPr>
            </w:pP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r w:rsidRPr="00B357E1">
              <w:rPr>
                <w:rFonts w:eastAsiaTheme="minorEastAsia"/>
                <w:sz w:val="18"/>
                <w:szCs w:val="18"/>
                <w:lang w:eastAsia="pl-PL"/>
              </w:rPr>
              <w:t xml:space="preserve">Wsparcie inwestycyjne w działaniu 7.2 przewidziano przede wszystkim w powiązaniu z działaniami realizowanymi z EFS w ramach  działania 10.2 Zapewnienie równego dostępu do wysokiej jakości edukacji podstawowej, gimnazjalnej i </w:t>
            </w:r>
            <w:r w:rsidRPr="00B357E1">
              <w:rPr>
                <w:rFonts w:eastAsiaTheme="minorEastAsia"/>
                <w:sz w:val="18"/>
                <w:szCs w:val="18"/>
                <w:lang w:eastAsia="pl-PL"/>
              </w:rPr>
              <w:lastRenderedPageBreak/>
              <w:t xml:space="preserve">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r w:rsidRPr="00B357E1">
              <w:rPr>
                <w:rFonts w:eastAsiaTheme="minorEastAsia"/>
                <w:sz w:val="18"/>
                <w:szCs w:val="18"/>
                <w:lang w:eastAsia="pl-PL"/>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357E1" w:rsidRPr="00B357E1" w:rsidRDefault="00B357E1" w:rsidP="00B357E1">
            <w:pPr>
              <w:snapToGrid w:val="0"/>
              <w:spacing w:after="0" w:line="240" w:lineRule="auto"/>
              <w:jc w:val="center"/>
              <w:rPr>
                <w:rFonts w:cs="Arial"/>
              </w:rPr>
            </w:pPr>
            <w:r w:rsidRPr="00B357E1">
              <w:rPr>
                <w:rFonts w:cs="Arial"/>
              </w:rPr>
              <w:lastRenderedPageBreak/>
              <w:t>Tak/Nie</w:t>
            </w:r>
          </w:p>
          <w:p w:rsidR="00B357E1" w:rsidRPr="00B357E1" w:rsidRDefault="00B357E1" w:rsidP="00B357E1">
            <w:pPr>
              <w:snapToGrid w:val="0"/>
              <w:spacing w:after="0" w:line="240" w:lineRule="auto"/>
              <w:jc w:val="center"/>
              <w:rPr>
                <w:rFonts w:cs="Arial"/>
              </w:rPr>
            </w:pPr>
            <w:r w:rsidRPr="00B357E1">
              <w:rPr>
                <w:rFonts w:cs="Arial"/>
              </w:rPr>
              <w:t>Kryterium obligatoryjne</w:t>
            </w:r>
          </w:p>
          <w:p w:rsidR="00B357E1" w:rsidRPr="00B357E1" w:rsidRDefault="00B357E1" w:rsidP="00B357E1">
            <w:pPr>
              <w:snapToGrid w:val="0"/>
              <w:spacing w:after="0" w:line="240" w:lineRule="auto"/>
              <w:jc w:val="center"/>
              <w:rPr>
                <w:rFonts w:cs="Arial"/>
              </w:rPr>
            </w:pPr>
            <w:r w:rsidRPr="00B357E1">
              <w:rPr>
                <w:rFonts w:cs="Arial"/>
              </w:rPr>
              <w:t>(spełnienie jest niezbędne dla możliwości otrzymania dofinansowania)</w:t>
            </w:r>
          </w:p>
          <w:p w:rsidR="00B357E1" w:rsidRPr="00B357E1" w:rsidRDefault="00B357E1" w:rsidP="00B357E1">
            <w:pPr>
              <w:snapToGrid w:val="0"/>
              <w:spacing w:after="0" w:line="240" w:lineRule="auto"/>
              <w:jc w:val="center"/>
              <w:rPr>
                <w:rFonts w:cs="Arial"/>
              </w:rPr>
            </w:pPr>
            <w:r w:rsidRPr="00B357E1">
              <w:rPr>
                <w:rFonts w:cs="Arial"/>
              </w:rPr>
              <w:t>Niespełnienie kryterium oznacza</w:t>
            </w:r>
          </w:p>
          <w:p w:rsidR="00B357E1" w:rsidRPr="00B357E1" w:rsidRDefault="00B357E1" w:rsidP="00B357E1">
            <w:pPr>
              <w:snapToGrid w:val="0"/>
              <w:spacing w:after="0" w:line="240" w:lineRule="auto"/>
              <w:jc w:val="center"/>
              <w:rPr>
                <w:rFonts w:cs="Arial"/>
                <w:b/>
              </w:rPr>
            </w:pPr>
            <w:r w:rsidRPr="00B357E1">
              <w:rPr>
                <w:rFonts w:cs="Arial"/>
              </w:rPr>
              <w:t>odrzucenie wniosku</w:t>
            </w:r>
          </w:p>
        </w:tc>
      </w:tr>
      <w:tr w:rsidR="00B357E1" w:rsidRPr="00B357E1" w:rsidTr="0082547D">
        <w:trPr>
          <w:trHeight w:val="952"/>
        </w:trPr>
        <w:tc>
          <w:tcPr>
            <w:tcW w:w="567" w:type="dxa"/>
            <w:vAlign w:val="center"/>
          </w:tcPr>
          <w:p w:rsidR="00B357E1" w:rsidRPr="00B357E1" w:rsidRDefault="00B357E1" w:rsidP="00B357E1">
            <w:r w:rsidRPr="00B357E1">
              <w:lastRenderedPageBreak/>
              <w:t>2.</w:t>
            </w:r>
          </w:p>
        </w:tc>
        <w:tc>
          <w:tcPr>
            <w:tcW w:w="3686" w:type="dxa"/>
          </w:tcPr>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rFonts w:ascii="Calibri" w:eastAsia="Arial" w:hAnsi="Calibri" w:cs="Times New Roman"/>
                <w:b/>
                <w:color w:val="000000"/>
                <w:sz w:val="20"/>
                <w:szCs w:val="16"/>
                <w:lang w:eastAsia="ar-SA"/>
              </w:rPr>
            </w:pPr>
            <w:r w:rsidRPr="00B357E1">
              <w:rPr>
                <w:b/>
              </w:rPr>
              <w:t>Wpływ projektu na warunki nauczania</w:t>
            </w:r>
          </w:p>
        </w:tc>
        <w:tc>
          <w:tcPr>
            <w:tcW w:w="6378" w:type="dxa"/>
          </w:tcPr>
          <w:p w:rsidR="00B357E1" w:rsidRPr="00B357E1" w:rsidRDefault="00B357E1" w:rsidP="00B357E1">
            <w:pPr>
              <w:autoSpaceDE w:val="0"/>
              <w:autoSpaceDN w:val="0"/>
              <w:adjustRightInd w:val="0"/>
              <w:spacing w:after="0" w:line="240" w:lineRule="auto"/>
              <w:jc w:val="both"/>
              <w:rPr>
                <w:rFonts w:eastAsiaTheme="minorEastAsia"/>
                <w:lang w:eastAsia="pl-PL"/>
              </w:rPr>
            </w:pPr>
            <w:r w:rsidRPr="00B357E1">
              <w:rPr>
                <w:rFonts w:eastAsiaTheme="minorEastAsia"/>
                <w:lang w:eastAsia="pl-PL"/>
              </w:rPr>
              <w:t>W ramach tego kryterium weryfikowane jest czy realizacja projektu przyczyni się bezpośrednio do poprawy warunków nauczania w szkole której dotyczy projekt.</w:t>
            </w:r>
          </w:p>
        </w:tc>
        <w:tc>
          <w:tcPr>
            <w:tcW w:w="3544" w:type="dxa"/>
          </w:tcPr>
          <w:p w:rsidR="00B357E1" w:rsidRPr="00B357E1" w:rsidRDefault="00B357E1" w:rsidP="00B357E1">
            <w:pPr>
              <w:snapToGrid w:val="0"/>
              <w:spacing w:after="0" w:line="240" w:lineRule="auto"/>
              <w:jc w:val="center"/>
              <w:rPr>
                <w:rFonts w:cs="Arial"/>
              </w:rPr>
            </w:pPr>
            <w:r w:rsidRPr="00B357E1">
              <w:rPr>
                <w:rFonts w:cs="Arial"/>
              </w:rPr>
              <w:t>Tak/Nie</w:t>
            </w:r>
          </w:p>
          <w:p w:rsidR="00B357E1" w:rsidRPr="00B357E1" w:rsidRDefault="00B357E1" w:rsidP="00B357E1">
            <w:pPr>
              <w:snapToGrid w:val="0"/>
              <w:spacing w:after="0" w:line="240" w:lineRule="auto"/>
              <w:jc w:val="center"/>
              <w:rPr>
                <w:rFonts w:cs="Arial"/>
              </w:rPr>
            </w:pPr>
            <w:r w:rsidRPr="00B357E1">
              <w:rPr>
                <w:rFonts w:cs="Arial"/>
              </w:rPr>
              <w:t>Kryterium obligatoryjne</w:t>
            </w:r>
          </w:p>
          <w:p w:rsidR="00B357E1" w:rsidRPr="00B357E1" w:rsidRDefault="00B357E1" w:rsidP="00B357E1">
            <w:pPr>
              <w:snapToGrid w:val="0"/>
              <w:spacing w:after="0" w:line="240" w:lineRule="auto"/>
              <w:jc w:val="center"/>
              <w:rPr>
                <w:rFonts w:cs="Arial"/>
              </w:rPr>
            </w:pPr>
            <w:r w:rsidRPr="00B357E1">
              <w:rPr>
                <w:rFonts w:cs="Arial"/>
              </w:rPr>
              <w:t>(spełnienie jest niezbędne dla możliwości otrzymania dofinansowania)</w:t>
            </w:r>
          </w:p>
          <w:p w:rsidR="00B357E1" w:rsidRPr="00B357E1" w:rsidRDefault="00B357E1" w:rsidP="00B357E1">
            <w:pPr>
              <w:snapToGrid w:val="0"/>
              <w:spacing w:after="0" w:line="240" w:lineRule="auto"/>
              <w:jc w:val="center"/>
              <w:rPr>
                <w:rFonts w:cs="Arial"/>
              </w:rPr>
            </w:pPr>
            <w:r w:rsidRPr="00B357E1">
              <w:rPr>
                <w:rFonts w:cs="Arial"/>
              </w:rPr>
              <w:t>Niespełnienie kryterium oznacza</w:t>
            </w:r>
          </w:p>
          <w:p w:rsidR="00B357E1" w:rsidRPr="00B357E1" w:rsidRDefault="00B357E1" w:rsidP="00B357E1">
            <w:pPr>
              <w:snapToGrid w:val="0"/>
              <w:spacing w:after="0" w:line="240" w:lineRule="auto"/>
              <w:jc w:val="center"/>
              <w:rPr>
                <w:rFonts w:ascii="Arial" w:eastAsiaTheme="minorEastAsia" w:hAnsi="Arial" w:cs="Arial"/>
                <w:lang w:eastAsia="pl-PL"/>
              </w:rPr>
            </w:pPr>
            <w:r w:rsidRPr="00B357E1">
              <w:rPr>
                <w:rFonts w:cs="Arial"/>
              </w:rPr>
              <w:t>odrzucenie wniosku</w:t>
            </w:r>
            <w:r w:rsidRPr="00B357E1">
              <w:rPr>
                <w:rFonts w:ascii="Calibri" w:eastAsia="Arial" w:hAnsi="Calibri" w:cs="Times New Roman"/>
                <w:color w:val="000000"/>
                <w:sz w:val="20"/>
                <w:szCs w:val="16"/>
                <w:lang w:eastAsia="ar-SA"/>
              </w:rPr>
              <w:t>)</w:t>
            </w:r>
          </w:p>
        </w:tc>
      </w:tr>
      <w:tr w:rsidR="00B357E1" w:rsidRPr="00B357E1" w:rsidTr="0082547D">
        <w:trPr>
          <w:trHeight w:val="952"/>
        </w:trPr>
        <w:tc>
          <w:tcPr>
            <w:tcW w:w="567" w:type="dxa"/>
            <w:vAlign w:val="center"/>
          </w:tcPr>
          <w:p w:rsidR="00B357E1" w:rsidRPr="00B357E1" w:rsidRDefault="00B357E1" w:rsidP="00B357E1">
            <w:r w:rsidRPr="00B357E1">
              <w:t>3.</w:t>
            </w:r>
          </w:p>
        </w:tc>
        <w:tc>
          <w:tcPr>
            <w:tcW w:w="3686" w:type="dxa"/>
          </w:tcPr>
          <w:p w:rsidR="00B357E1" w:rsidRPr="00B357E1" w:rsidRDefault="00B357E1" w:rsidP="00B357E1">
            <w:pPr>
              <w:autoSpaceDE w:val="0"/>
              <w:autoSpaceDN w:val="0"/>
              <w:adjustRightInd w:val="0"/>
              <w:spacing w:after="0" w:line="240" w:lineRule="auto"/>
              <w:rPr>
                <w:rFonts w:ascii="Calibri" w:eastAsiaTheme="minorEastAsia" w:hAnsi="Calibri"/>
                <w:sz w:val="24"/>
                <w:szCs w:val="24"/>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r w:rsidRPr="00B357E1">
              <w:rPr>
                <w:rFonts w:eastAsiaTheme="minorEastAsia"/>
                <w:b/>
                <w:lang w:eastAsia="pl-PL"/>
              </w:rPr>
              <w:lastRenderedPageBreak/>
              <w:t xml:space="preserve">Zapewnienie rozwoju infrastruktury szkoły w zakresie nauk matematyczno-przyrodniczych i cyfrowych </w:t>
            </w:r>
          </w:p>
          <w:p w:rsidR="00B357E1" w:rsidRPr="00B357E1" w:rsidRDefault="00B357E1" w:rsidP="00B357E1">
            <w:pPr>
              <w:spacing w:after="0" w:line="240" w:lineRule="auto"/>
              <w:rPr>
                <w:b/>
              </w:rPr>
            </w:pPr>
          </w:p>
        </w:tc>
        <w:tc>
          <w:tcPr>
            <w:tcW w:w="6378" w:type="dxa"/>
          </w:tcPr>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r w:rsidRPr="00B357E1">
              <w:rPr>
                <w:rFonts w:eastAsiaTheme="minorEastAsia"/>
                <w:lang w:eastAsia="pl-PL"/>
              </w:rPr>
              <w:lastRenderedPageBreak/>
              <w:t xml:space="preserve">W ramach tego kryterium weryfikowane jest czy projekt dotyczy zapewnienie rozwoju infrastruktury szkoły w zakresie nauk matematyczno-przyrodniczych i/lub cyfrowych (np. </w:t>
            </w:r>
            <w:r w:rsidRPr="00B357E1">
              <w:rPr>
                <w:rFonts w:ascii="Calibri" w:eastAsiaTheme="minorEastAsia" w:hAnsi="Calibri" w:cs="Calibri"/>
                <w:color w:val="000000"/>
                <w:lang w:eastAsia="pl-PL"/>
              </w:rPr>
              <w:t>wyposażenia w nowoczesny sprzęt i materiały dydaktyczne pracowni matematyczno-przyrodniczych i cyfrowych):</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główny cel projektu – 10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wyłącznie zakupu </w:t>
            </w:r>
            <w:r w:rsidRPr="00B357E1">
              <w:rPr>
                <w:rFonts w:eastAsiaTheme="minorEastAsia"/>
                <w:lang w:eastAsia="pl-PL"/>
              </w:rPr>
              <w:lastRenderedPageBreak/>
              <w:t>wyposażenia do pracowni matematyczno-przyrodniczych i/lub cyfrowych i ewentualnie dostosowania/adaptacji sal na potrzeby zakupionego sprzętu/wyposażenia.</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element projektu (ale nie jego główny cel) – 5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Nie – 0 pkt</w:t>
            </w:r>
          </w:p>
          <w:p w:rsidR="00B357E1" w:rsidRPr="00B357E1" w:rsidRDefault="00B357E1" w:rsidP="00B357E1">
            <w:pPr>
              <w:spacing w:after="0" w:line="240" w:lineRule="auto"/>
              <w:jc w:val="both"/>
            </w:pPr>
            <w:r w:rsidRPr="00B357E1">
              <w:t>Kryterium nie dotyczy naborów w ramach ZIT AW, gdzie te kwestie będą punktowane podczas oceny zgodności ze Strategią ZIT.</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- 10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cs="Arial"/>
              </w:rPr>
            </w:pPr>
            <w:r w:rsidRPr="00B357E1">
              <w:rPr>
                <w:rFonts w:cs="Arial"/>
              </w:rPr>
              <w:t>odrzucenia wniosku)</w:t>
            </w:r>
          </w:p>
        </w:tc>
      </w:tr>
      <w:tr w:rsidR="00B357E1" w:rsidRPr="00B357E1" w:rsidTr="0082547D">
        <w:trPr>
          <w:trHeight w:val="952"/>
        </w:trPr>
        <w:tc>
          <w:tcPr>
            <w:tcW w:w="567" w:type="dxa"/>
            <w:vAlign w:val="center"/>
          </w:tcPr>
          <w:p w:rsidR="00B357E1" w:rsidRPr="00B357E1" w:rsidRDefault="00B357E1" w:rsidP="00B357E1">
            <w:r w:rsidRPr="00B357E1">
              <w:lastRenderedPageBreak/>
              <w:t>4.</w:t>
            </w:r>
          </w:p>
        </w:tc>
        <w:tc>
          <w:tcPr>
            <w:tcW w:w="3686" w:type="dxa"/>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b/>
              </w:rPr>
            </w:pPr>
            <w:r w:rsidRPr="00B357E1">
              <w:rPr>
                <w:rFonts w:eastAsiaTheme="minorEastAsia"/>
                <w:b/>
                <w:lang w:eastAsia="pl-PL"/>
              </w:rPr>
              <w:t>Dostosowanie szkoły do pracy z uczniem o specjalnych potrzebach edukacyjnych</w:t>
            </w:r>
            <w:r w:rsidRPr="00B357E1">
              <w:rPr>
                <w:rFonts w:eastAsiaTheme="minorEastAsia"/>
                <w:b/>
                <w:vertAlign w:val="superscript"/>
                <w:lang w:eastAsia="pl-PL"/>
              </w:rPr>
              <w:footnoteReference w:id="4"/>
            </w:r>
          </w:p>
        </w:tc>
        <w:tc>
          <w:tcPr>
            <w:tcW w:w="6378" w:type="dxa"/>
          </w:tcPr>
          <w:p w:rsidR="00B357E1" w:rsidRPr="00B357E1" w:rsidRDefault="00B357E1" w:rsidP="00B357E1">
            <w:pPr>
              <w:spacing w:line="240" w:lineRule="auto"/>
              <w:jc w:val="both"/>
              <w:rPr>
                <w:rFonts w:eastAsiaTheme="minorEastAsia"/>
                <w:lang w:eastAsia="pl-PL"/>
              </w:rPr>
            </w:pPr>
            <w:r w:rsidRPr="00B357E1">
              <w:lastRenderedPageBreak/>
              <w:t xml:space="preserve">W ramach tego kryterium weryfikowane jest czy projekt dotyczy </w:t>
            </w:r>
            <w:r w:rsidRPr="00B357E1">
              <w:rPr>
                <w:rFonts w:eastAsiaTheme="minorEastAsia"/>
                <w:lang w:eastAsia="pl-PL"/>
              </w:rPr>
              <w:t>dostosowania szkoły do pracy z uczniem o specjalnych potrzebach edukacyjnych – (np. wyposażenia w sprzęt specjalistyczny i pomoce dydaktyczne do wspomagania rozwoju takich uczniów):</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główny cel projektu – 8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wyłącznie dostosowania </w:t>
            </w:r>
            <w:r w:rsidRPr="00B357E1">
              <w:rPr>
                <w:rFonts w:eastAsiaTheme="minorEastAsia"/>
                <w:lang w:eastAsia="pl-PL"/>
              </w:rPr>
              <w:lastRenderedPageBreak/>
              <w:t xml:space="preserve">szkoły do pracy z uczniem o specjalnych potrzebach edukacyjnych - (np. wyposażenia w sprzęt specjalistyczny i pomoce dydaktyczne do wspomagania rozwoju takich uczniów i ewentualnie dostosowania/adaptacji sal na potrzeby zakupionego sprzętu/wyposażenia).  </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element projektu (ale nie jego główny cel) – 4 pkt.;</w:t>
            </w:r>
          </w:p>
          <w:p w:rsidR="00B357E1" w:rsidRPr="00B357E1" w:rsidRDefault="00B357E1" w:rsidP="00B357E1">
            <w:pPr>
              <w:ind w:left="720"/>
              <w:contextualSpacing/>
              <w:rPr>
                <w:rFonts w:eastAsiaTheme="minorEastAsia"/>
                <w:lang w:eastAsia="pl-PL"/>
              </w:rPr>
            </w:pP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w:t>
            </w:r>
            <w:r w:rsidRPr="00B357E1">
              <w:rPr>
                <w:rFonts w:eastAsiaTheme="minorEastAsia"/>
                <w:lang w:eastAsia="pl-PL"/>
              </w:rPr>
              <w:lastRenderedPageBreak/>
              <w:t>potrzeby zakupionego sprzętu/wyposażenia) np. przebudowy, rozbudowy, budowy, adaptacji całych obiektów szkolnych/placówek.</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Nie – 0 pkt.</w:t>
            </w:r>
          </w:p>
          <w:p w:rsidR="00B357E1" w:rsidRPr="00B357E1" w:rsidRDefault="00B357E1" w:rsidP="00B357E1">
            <w:pPr>
              <w:spacing w:after="0" w:line="240" w:lineRule="auto"/>
              <w:contextualSpacing/>
              <w:jc w:val="both"/>
            </w:pP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- 8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cs="Arial"/>
              </w:rPr>
            </w:pPr>
            <w:r w:rsidRPr="00B357E1">
              <w:rPr>
                <w:rFonts w:cs="Arial"/>
              </w:rPr>
              <w:t>odrzucenia wniosku)</w:t>
            </w:r>
          </w:p>
        </w:tc>
      </w:tr>
      <w:tr w:rsidR="00B357E1" w:rsidRPr="00B357E1" w:rsidTr="0082547D">
        <w:trPr>
          <w:trHeight w:val="952"/>
        </w:trPr>
        <w:tc>
          <w:tcPr>
            <w:tcW w:w="567" w:type="dxa"/>
            <w:vAlign w:val="center"/>
          </w:tcPr>
          <w:p w:rsidR="00B357E1" w:rsidRPr="00B357E1" w:rsidRDefault="00B357E1" w:rsidP="00B357E1">
            <w:r w:rsidRPr="00B357E1">
              <w:lastRenderedPageBreak/>
              <w:t>5.</w:t>
            </w:r>
          </w:p>
        </w:tc>
        <w:tc>
          <w:tcPr>
            <w:tcW w:w="3686" w:type="dxa"/>
          </w:tcPr>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b/>
              </w:rPr>
            </w:pPr>
            <w:r w:rsidRPr="00B357E1">
              <w:rPr>
                <w:b/>
              </w:rPr>
              <w:t>Komplementarność projektu</w:t>
            </w:r>
          </w:p>
        </w:tc>
        <w:tc>
          <w:tcPr>
            <w:tcW w:w="6378" w:type="dxa"/>
          </w:tcPr>
          <w:p w:rsidR="00B357E1" w:rsidRPr="00B357E1" w:rsidRDefault="00B357E1" w:rsidP="00B357E1">
            <w:pPr>
              <w:snapToGrid w:val="0"/>
              <w:spacing w:line="240" w:lineRule="auto"/>
              <w:jc w:val="both"/>
              <w:rPr>
                <w:rFonts w:eastAsiaTheme="minorEastAsia" w:cs="Arial"/>
                <w:lang w:eastAsia="pl-PL"/>
              </w:rPr>
            </w:pPr>
            <w:r w:rsidRPr="00B357E1">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bądź są w trakcie realizacji. </w:t>
            </w:r>
          </w:p>
          <w:p w:rsidR="00B357E1" w:rsidRPr="00B357E1" w:rsidRDefault="00B357E1" w:rsidP="00B357E1">
            <w:pPr>
              <w:snapToGrid w:val="0"/>
              <w:spacing w:line="240" w:lineRule="auto"/>
              <w:jc w:val="both"/>
              <w:rPr>
                <w:rFonts w:eastAsiaTheme="minorEastAsia" w:cs="Arial"/>
                <w:lang w:eastAsia="pl-PL"/>
              </w:rPr>
            </w:pPr>
            <w:r w:rsidRPr="00B357E1">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357E1" w:rsidRPr="00B357E1" w:rsidRDefault="00B357E1" w:rsidP="00B357E1">
            <w:pPr>
              <w:numPr>
                <w:ilvl w:val="0"/>
                <w:numId w:val="41"/>
              </w:numPr>
              <w:snapToGrid w:val="0"/>
              <w:spacing w:line="240" w:lineRule="auto"/>
              <w:contextualSpacing/>
              <w:jc w:val="both"/>
              <w:rPr>
                <w:rFonts w:eastAsiaTheme="minorEastAsia" w:cs="Arial"/>
                <w:lang w:eastAsia="pl-PL"/>
              </w:rPr>
            </w:pPr>
            <w:r w:rsidRPr="00B357E1">
              <w:rPr>
                <w:rFonts w:eastAsiaTheme="minorEastAsia" w:cs="Arial"/>
                <w:lang w:eastAsia="pl-PL"/>
              </w:rPr>
              <w:t xml:space="preserve">Komplementarność z projektami nie infrastrukturalnymi (tzw. „projektami miękkimi”) finansowanymi np. ze środków EFS: </w:t>
            </w:r>
          </w:p>
          <w:p w:rsidR="00B357E1" w:rsidRPr="00B357E1" w:rsidRDefault="00B357E1" w:rsidP="00B357E1">
            <w:pPr>
              <w:numPr>
                <w:ilvl w:val="0"/>
                <w:numId w:val="2"/>
              </w:numPr>
              <w:tabs>
                <w:tab w:val="left" w:pos="243"/>
              </w:tabs>
              <w:suppressAutoHyphens/>
              <w:spacing w:after="0" w:line="240" w:lineRule="auto"/>
              <w:ind w:left="243" w:hanging="180"/>
              <w:jc w:val="both"/>
              <w:rPr>
                <w:rFonts w:eastAsiaTheme="minorEastAsia" w:cs="Arial"/>
                <w:lang w:eastAsia="pl-PL"/>
              </w:rPr>
            </w:pPr>
            <w:r w:rsidRPr="00B357E1">
              <w:rPr>
                <w:rFonts w:eastAsiaTheme="minorEastAsia" w:cs="Arial"/>
                <w:lang w:eastAsia="pl-PL"/>
              </w:rPr>
              <w:t>brak komplementarności – 0 pkt.;</w:t>
            </w:r>
          </w:p>
          <w:p w:rsidR="00B357E1" w:rsidRPr="00B357E1" w:rsidRDefault="00B357E1" w:rsidP="00B357E1">
            <w:pPr>
              <w:numPr>
                <w:ilvl w:val="0"/>
                <w:numId w:val="2"/>
              </w:numPr>
              <w:tabs>
                <w:tab w:val="left" w:pos="243"/>
              </w:tabs>
              <w:suppressAutoHyphens/>
              <w:spacing w:after="0" w:line="240" w:lineRule="auto"/>
              <w:ind w:left="243" w:hanging="180"/>
              <w:jc w:val="both"/>
              <w:rPr>
                <w:rFonts w:eastAsiaTheme="minorEastAsia" w:cs="Arial"/>
                <w:lang w:eastAsia="pl-PL"/>
              </w:rPr>
            </w:pPr>
            <w:r w:rsidRPr="00B357E1">
              <w:rPr>
                <w:rFonts w:eastAsiaTheme="minorEastAsia" w:cs="Arial"/>
                <w:lang w:eastAsia="pl-PL"/>
              </w:rPr>
              <w:t>komplementarność wobec  zrealizowanych projektów – 2 pkt.;</w:t>
            </w:r>
          </w:p>
          <w:p w:rsidR="00B357E1" w:rsidRPr="00B357E1" w:rsidRDefault="00B357E1" w:rsidP="00B357E1">
            <w:pPr>
              <w:numPr>
                <w:ilvl w:val="0"/>
                <w:numId w:val="2"/>
              </w:numPr>
              <w:tabs>
                <w:tab w:val="left" w:pos="243"/>
              </w:tabs>
              <w:suppressAutoHyphens/>
              <w:spacing w:after="0" w:line="240" w:lineRule="auto"/>
              <w:ind w:left="243" w:hanging="180"/>
              <w:jc w:val="both"/>
              <w:rPr>
                <w:rFonts w:eastAsiaTheme="minorEastAsia" w:cs="Arial"/>
                <w:lang w:eastAsia="pl-PL"/>
              </w:rPr>
            </w:pPr>
            <w:r w:rsidRPr="00B357E1">
              <w:rPr>
                <w:rFonts w:eastAsiaTheme="minorEastAsia" w:cs="Arial"/>
                <w:lang w:eastAsia="pl-PL"/>
              </w:rPr>
              <w:t>komplementarność wobec  realizowanych projektów – 2 pkt.</w:t>
            </w:r>
          </w:p>
          <w:p w:rsidR="00B357E1" w:rsidRPr="00B357E1" w:rsidRDefault="00B357E1" w:rsidP="00B357E1">
            <w:pPr>
              <w:tabs>
                <w:tab w:val="left" w:pos="243"/>
              </w:tabs>
              <w:suppressAutoHyphens/>
              <w:spacing w:after="0" w:line="240" w:lineRule="auto"/>
              <w:ind w:left="243"/>
              <w:jc w:val="both"/>
              <w:rPr>
                <w:rFonts w:eastAsiaTheme="minorEastAsia" w:cs="Arial"/>
                <w:lang w:eastAsia="pl-PL"/>
              </w:rPr>
            </w:pPr>
          </w:p>
          <w:p w:rsidR="00B357E1" w:rsidRPr="00B357E1" w:rsidRDefault="00B357E1" w:rsidP="00B357E1">
            <w:pPr>
              <w:tabs>
                <w:tab w:val="left" w:pos="243"/>
              </w:tabs>
              <w:suppressAutoHyphens/>
              <w:spacing w:after="0" w:line="240" w:lineRule="auto"/>
              <w:ind w:left="243"/>
              <w:jc w:val="both"/>
              <w:rPr>
                <w:rFonts w:eastAsiaTheme="minorEastAsia" w:cs="Arial"/>
                <w:lang w:eastAsia="pl-PL"/>
              </w:rPr>
            </w:pPr>
            <w:r w:rsidRPr="00B357E1">
              <w:rPr>
                <w:rFonts w:eastAsiaTheme="minorEastAsia" w:cs="Arial"/>
                <w:lang w:eastAsia="pl-PL"/>
              </w:rPr>
              <w:t>i/lub</w:t>
            </w:r>
          </w:p>
          <w:p w:rsidR="00B357E1" w:rsidRPr="00B357E1" w:rsidRDefault="00B357E1" w:rsidP="00B357E1">
            <w:pPr>
              <w:tabs>
                <w:tab w:val="left" w:pos="243"/>
              </w:tabs>
              <w:suppressAutoHyphens/>
              <w:spacing w:after="0" w:line="240" w:lineRule="auto"/>
              <w:ind w:left="243"/>
              <w:jc w:val="both"/>
              <w:rPr>
                <w:rFonts w:eastAsiaTheme="minorEastAsia" w:cs="Arial"/>
                <w:lang w:eastAsia="pl-PL"/>
              </w:rPr>
            </w:pPr>
          </w:p>
          <w:p w:rsidR="00B357E1" w:rsidRPr="00B357E1" w:rsidRDefault="00B357E1" w:rsidP="00B357E1">
            <w:pPr>
              <w:numPr>
                <w:ilvl w:val="0"/>
                <w:numId w:val="41"/>
              </w:numPr>
              <w:tabs>
                <w:tab w:val="left" w:pos="243"/>
              </w:tabs>
              <w:suppressAutoHyphens/>
              <w:spacing w:after="0" w:line="240" w:lineRule="auto"/>
              <w:contextualSpacing/>
              <w:jc w:val="both"/>
              <w:rPr>
                <w:rFonts w:eastAsiaTheme="minorEastAsia" w:cs="Arial"/>
                <w:lang w:eastAsia="pl-PL"/>
              </w:rPr>
            </w:pPr>
            <w:r w:rsidRPr="00B357E1">
              <w:rPr>
                <w:rFonts w:eastAsiaTheme="minorEastAsia" w:cs="Arial"/>
                <w:lang w:eastAsia="pl-PL"/>
              </w:rPr>
              <w:t>Komplementarność z projektami infrastrukturalnymi finansowanymi np. ze środków EFRR</w:t>
            </w:r>
          </w:p>
          <w:p w:rsidR="00B357E1" w:rsidRPr="00B357E1" w:rsidRDefault="00B357E1" w:rsidP="00B357E1">
            <w:pPr>
              <w:tabs>
                <w:tab w:val="left" w:pos="243"/>
              </w:tabs>
              <w:suppressAutoHyphens/>
              <w:spacing w:after="0" w:line="240" w:lineRule="auto"/>
              <w:ind w:left="720"/>
              <w:contextualSpacing/>
              <w:jc w:val="both"/>
              <w:rPr>
                <w:rFonts w:eastAsiaTheme="minorEastAsia" w:cs="Arial"/>
                <w:lang w:eastAsia="pl-PL"/>
              </w:rPr>
            </w:pPr>
          </w:p>
          <w:p w:rsidR="00B357E1" w:rsidRPr="00B357E1" w:rsidRDefault="00B357E1" w:rsidP="00B357E1">
            <w:pPr>
              <w:numPr>
                <w:ilvl w:val="0"/>
                <w:numId w:val="2"/>
              </w:numPr>
              <w:tabs>
                <w:tab w:val="clear" w:pos="720"/>
                <w:tab w:val="left" w:pos="243"/>
                <w:tab w:val="num" w:pos="317"/>
              </w:tabs>
              <w:suppressAutoHyphens/>
              <w:spacing w:after="0" w:line="240" w:lineRule="auto"/>
              <w:ind w:hanging="687"/>
              <w:jc w:val="both"/>
              <w:rPr>
                <w:rFonts w:eastAsiaTheme="minorEastAsia" w:cs="Arial"/>
                <w:lang w:eastAsia="pl-PL"/>
              </w:rPr>
            </w:pPr>
            <w:r w:rsidRPr="00B357E1">
              <w:rPr>
                <w:rFonts w:eastAsiaTheme="minorEastAsia" w:cs="Arial"/>
                <w:lang w:eastAsia="pl-PL"/>
              </w:rPr>
              <w:t>brak komplementarności – 0 pkt.;</w:t>
            </w:r>
          </w:p>
          <w:p w:rsidR="00B357E1" w:rsidRPr="00B357E1" w:rsidRDefault="00B357E1" w:rsidP="00B357E1">
            <w:pPr>
              <w:numPr>
                <w:ilvl w:val="0"/>
                <w:numId w:val="2"/>
              </w:numPr>
              <w:tabs>
                <w:tab w:val="clear" w:pos="720"/>
                <w:tab w:val="left" w:pos="243"/>
                <w:tab w:val="num" w:pos="317"/>
              </w:tabs>
              <w:suppressAutoHyphens/>
              <w:spacing w:after="0" w:line="240" w:lineRule="auto"/>
              <w:ind w:hanging="687"/>
              <w:jc w:val="both"/>
              <w:rPr>
                <w:rFonts w:eastAsiaTheme="minorEastAsia" w:cs="Arial"/>
                <w:lang w:eastAsia="pl-PL"/>
              </w:rPr>
            </w:pPr>
            <w:r w:rsidRPr="00B357E1">
              <w:rPr>
                <w:rFonts w:eastAsiaTheme="minorEastAsia" w:cs="Arial"/>
                <w:lang w:eastAsia="pl-PL"/>
              </w:rPr>
              <w:t>komplementarność wobec  zrealizowanych projektów – 1 pkt.;</w:t>
            </w:r>
          </w:p>
          <w:p w:rsidR="00B357E1" w:rsidRPr="00B357E1" w:rsidRDefault="00B357E1" w:rsidP="00B357E1">
            <w:pPr>
              <w:numPr>
                <w:ilvl w:val="0"/>
                <w:numId w:val="2"/>
              </w:numPr>
              <w:tabs>
                <w:tab w:val="clear" w:pos="720"/>
                <w:tab w:val="left" w:pos="243"/>
                <w:tab w:val="num" w:pos="317"/>
              </w:tabs>
              <w:suppressAutoHyphens/>
              <w:spacing w:after="0" w:line="240" w:lineRule="auto"/>
              <w:ind w:hanging="687"/>
              <w:jc w:val="both"/>
              <w:rPr>
                <w:rFonts w:eastAsiaTheme="minorEastAsia" w:cs="Arial"/>
                <w:lang w:eastAsia="pl-PL"/>
              </w:rPr>
            </w:pPr>
            <w:r w:rsidRPr="00B357E1">
              <w:rPr>
                <w:rFonts w:eastAsiaTheme="minorEastAsia" w:cs="Arial"/>
                <w:lang w:eastAsia="pl-PL"/>
              </w:rPr>
              <w:t>komplementarność wobec  realizowanych projektów – 1 pkt.</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lang w:eastAsia="pl-PL"/>
              </w:rPr>
            </w:pPr>
          </w:p>
          <w:p w:rsidR="00B357E1" w:rsidRPr="00B357E1" w:rsidRDefault="00B357E1" w:rsidP="00B357E1">
            <w:pPr>
              <w:contextualSpacing/>
              <w:rPr>
                <w:b/>
                <w:u w:val="single"/>
              </w:rPr>
            </w:pPr>
            <w:r w:rsidRPr="00B357E1">
              <w:rPr>
                <w:b/>
                <w:u w:val="single"/>
              </w:rPr>
              <w:t>Nie dotyczy naborów skierowanych do ZIT.</w:t>
            </w: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- 6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cs="Arial"/>
              </w:rPr>
            </w:pPr>
            <w:r w:rsidRPr="00B357E1">
              <w:rPr>
                <w:rFonts w:cs="Arial"/>
              </w:rPr>
              <w:t>odrzucenia wniosku)</w:t>
            </w:r>
          </w:p>
        </w:tc>
      </w:tr>
      <w:tr w:rsidR="00B357E1" w:rsidRPr="00B357E1" w:rsidTr="0082547D">
        <w:trPr>
          <w:trHeight w:val="952"/>
        </w:trPr>
        <w:tc>
          <w:tcPr>
            <w:tcW w:w="567" w:type="dxa"/>
            <w:vAlign w:val="center"/>
          </w:tcPr>
          <w:p w:rsidR="00B357E1" w:rsidRPr="00B357E1" w:rsidRDefault="00B357E1" w:rsidP="00B357E1">
            <w:pPr>
              <w:rPr>
                <w:rFonts w:eastAsiaTheme="minorEastAsia"/>
                <w:lang w:eastAsia="pl-PL"/>
              </w:rPr>
            </w:pPr>
            <w:r w:rsidRPr="00B357E1">
              <w:rPr>
                <w:rFonts w:eastAsiaTheme="minorEastAsia"/>
                <w:lang w:eastAsia="pl-PL"/>
              </w:rPr>
              <w:lastRenderedPageBreak/>
              <w:t>6.</w:t>
            </w:r>
          </w:p>
        </w:tc>
        <w:tc>
          <w:tcPr>
            <w:tcW w:w="3686" w:type="dxa"/>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r w:rsidRPr="00B357E1">
              <w:rPr>
                <w:rFonts w:eastAsiaTheme="minorEastAsia"/>
                <w:b/>
                <w:lang w:eastAsia="pl-PL"/>
              </w:rPr>
              <w:t>Udostępnianie zakupionej infrastruktury pracowni innym szkołom/placówkom</w:t>
            </w:r>
          </w:p>
        </w:tc>
        <w:tc>
          <w:tcPr>
            <w:tcW w:w="6378" w:type="dxa"/>
          </w:tcPr>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r w:rsidRPr="00B357E1">
              <w:rPr>
                <w:rFonts w:ascii="Calibri" w:eastAsiaTheme="minorEastAsia" w:hAnsi="Calibri" w:cs="Calibri"/>
                <w:color w:val="000000"/>
                <w:sz w:val="20"/>
                <w:szCs w:val="20"/>
                <w:lang w:eastAsia="pl-PL"/>
              </w:rPr>
              <w:t xml:space="preserve">Kryterium ma celu przyczynienie do współpracy w celu lepszego i efektywniejszego wykorzystania posiadanej bazy dydaktycznej. </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Tak – w projekcie założono udostępnianie całej sfinansowanej w ramach projektu infrastruktury pracowni - 4 pkt.;</w:t>
            </w: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 xml:space="preserve">Tak – w projekcie założono udostępnianie części </w:t>
            </w:r>
            <w:r w:rsidRPr="00B357E1">
              <w:rPr>
                <w:rFonts w:eastAsiaTheme="minorEastAsia"/>
                <w:lang w:eastAsia="pl-PL"/>
              </w:rPr>
              <w:lastRenderedPageBreak/>
              <w:t>sfinansowanej w ramach projektu infrastruktury pracowni - 2 pkt.;</w:t>
            </w: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Nie - 0 pkt.</w:t>
            </w: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- 4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eastAsiaTheme="minorEastAsia" w:cs="Arial"/>
                <w:lang w:eastAsia="pl-PL"/>
              </w:rPr>
            </w:pPr>
            <w:r w:rsidRPr="00B357E1">
              <w:rPr>
                <w:rFonts w:cs="Arial"/>
              </w:rPr>
              <w:t>odrzucenia wniosku)</w:t>
            </w:r>
          </w:p>
        </w:tc>
      </w:tr>
      <w:tr w:rsidR="00B357E1" w:rsidRPr="00B357E1" w:rsidTr="0082547D">
        <w:trPr>
          <w:trHeight w:val="553"/>
        </w:trPr>
        <w:tc>
          <w:tcPr>
            <w:tcW w:w="10631" w:type="dxa"/>
            <w:gridSpan w:val="3"/>
            <w:vAlign w:val="center"/>
          </w:tcPr>
          <w:p w:rsidR="00B357E1" w:rsidRPr="00B357E1" w:rsidRDefault="004B44A7" w:rsidP="00B357E1">
            <w:pPr>
              <w:jc w:val="right"/>
            </w:pPr>
            <w:r>
              <w:lastRenderedPageBreak/>
              <w:t>SUMA</w:t>
            </w:r>
            <w:r w:rsidR="00B357E1" w:rsidRPr="00B357E1">
              <w:t xml:space="preserve"> </w:t>
            </w:r>
          </w:p>
        </w:tc>
        <w:tc>
          <w:tcPr>
            <w:tcW w:w="3544" w:type="dxa"/>
            <w:vAlign w:val="center"/>
          </w:tcPr>
          <w:p w:rsidR="00B357E1" w:rsidRPr="00B357E1" w:rsidRDefault="00B357E1" w:rsidP="00B357E1">
            <w:r w:rsidRPr="00B357E1">
              <w:t xml:space="preserve"> 28 pkt.</w:t>
            </w:r>
          </w:p>
        </w:tc>
      </w:tr>
    </w:tbl>
    <w:p w:rsidR="00281D54" w:rsidRDefault="00281D54" w:rsidP="00281D54"/>
    <w:p w:rsidR="0001278E" w:rsidRDefault="0001278E" w:rsidP="00281D54"/>
    <w:p w:rsidR="0001278E" w:rsidRDefault="0001278E" w:rsidP="00281D54"/>
    <w:p w:rsidR="0001278E" w:rsidRDefault="0001278E"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559"/>
        <w:gridCol w:w="2127"/>
        <w:gridCol w:w="3543"/>
        <w:gridCol w:w="2835"/>
        <w:gridCol w:w="3544"/>
      </w:tblGrid>
      <w:tr w:rsidR="00B357E1" w:rsidRPr="00B357E1" w:rsidTr="0082547D">
        <w:trPr>
          <w:trHeight w:val="952"/>
        </w:trPr>
        <w:tc>
          <w:tcPr>
            <w:tcW w:w="567" w:type="dxa"/>
            <w:vAlign w:val="center"/>
          </w:tcPr>
          <w:p w:rsidR="00B357E1" w:rsidRPr="00B357E1" w:rsidRDefault="00B357E1" w:rsidP="00B357E1"/>
          <w:p w:rsidR="00B357E1" w:rsidRPr="00B357E1" w:rsidRDefault="00B357E1" w:rsidP="00B357E1">
            <w:r w:rsidRPr="00B357E1">
              <w:t>1.</w:t>
            </w:r>
          </w:p>
        </w:tc>
        <w:tc>
          <w:tcPr>
            <w:tcW w:w="3686" w:type="dxa"/>
            <w:gridSpan w:val="2"/>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r w:rsidRPr="00B357E1">
              <w:rPr>
                <w:rFonts w:eastAsiaTheme="minorEastAsia"/>
                <w:b/>
                <w:lang w:eastAsia="pl-PL"/>
              </w:rPr>
              <w:t>Wydatki z budżetu powiatu/samorządu województwa  na 1 ucznia (w liceach ogólnokształcących) w 2014 r. (dane BDL, GUS, własne województwa)</w:t>
            </w:r>
          </w:p>
        </w:tc>
        <w:tc>
          <w:tcPr>
            <w:tcW w:w="6378" w:type="dxa"/>
            <w:gridSpan w:val="2"/>
          </w:tcPr>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 ramach kryterium będzie sprawdzana wysokość wydatków z budżetu powiatu w którym realizowany jest projekt/samorządu województwa na 1 ucznia (w liceach ogólnokształcących) (dane BDL, GUS, własne) w 2014 r. w odniesieniu do wartości średniej dla Województwa Dolnośląskiego (wyliczona na postawie wydatków wszystkich powiatów w województwie):</w:t>
            </w:r>
          </w:p>
          <w:p w:rsidR="00B357E1" w:rsidRPr="00B357E1" w:rsidRDefault="00B357E1" w:rsidP="00B357E1">
            <w:pPr>
              <w:spacing w:after="0" w:line="240" w:lineRule="auto"/>
              <w:jc w:val="both"/>
              <w:rPr>
                <w:rFonts w:eastAsiaTheme="minorEastAsia"/>
                <w:lang w:eastAsia="pl-PL"/>
              </w:rPr>
            </w:pPr>
          </w:p>
          <w:p w:rsidR="00B357E1" w:rsidRPr="00B357E1" w:rsidRDefault="00B357E1" w:rsidP="00B357E1">
            <w:pPr>
              <w:numPr>
                <w:ilvl w:val="0"/>
                <w:numId w:val="42"/>
              </w:numPr>
              <w:contextualSpacing/>
              <w:rPr>
                <w:rFonts w:eastAsiaTheme="minorEastAsia"/>
                <w:lang w:eastAsia="pl-PL"/>
              </w:rPr>
            </w:pPr>
            <w:r w:rsidRPr="00B357E1">
              <w:rPr>
                <w:rFonts w:eastAsiaTheme="minorEastAsia"/>
                <w:lang w:eastAsia="pl-PL"/>
              </w:rPr>
              <w:lastRenderedPageBreak/>
              <w:t>Wartość do 75 % średniej dla Województwa Dolnośląskiego – 10 pkt</w:t>
            </w:r>
          </w:p>
          <w:p w:rsidR="00B357E1" w:rsidRPr="00B357E1" w:rsidRDefault="00B357E1" w:rsidP="00B357E1">
            <w:pPr>
              <w:numPr>
                <w:ilvl w:val="0"/>
                <w:numId w:val="42"/>
              </w:numPr>
              <w:contextualSpacing/>
              <w:rPr>
                <w:rFonts w:eastAsiaTheme="minorEastAsia"/>
                <w:lang w:eastAsia="pl-PL"/>
              </w:rPr>
            </w:pPr>
            <w:r w:rsidRPr="00B357E1">
              <w:rPr>
                <w:rFonts w:eastAsiaTheme="minorEastAsia"/>
                <w:lang w:eastAsia="pl-PL"/>
              </w:rPr>
              <w:t>Wartość powyżej 75% do 90% średniej dla Województwa Dolnośląskiego – 7,5 pkt</w:t>
            </w:r>
          </w:p>
          <w:p w:rsidR="00B357E1" w:rsidRPr="00B357E1" w:rsidRDefault="00B357E1" w:rsidP="00B357E1">
            <w:pPr>
              <w:numPr>
                <w:ilvl w:val="0"/>
                <w:numId w:val="42"/>
              </w:numPr>
              <w:contextualSpacing/>
              <w:rPr>
                <w:rFonts w:eastAsiaTheme="minorEastAsia"/>
                <w:lang w:eastAsia="pl-PL"/>
              </w:rPr>
            </w:pPr>
            <w:r w:rsidRPr="00B357E1">
              <w:rPr>
                <w:rFonts w:eastAsiaTheme="minorEastAsia"/>
                <w:lang w:eastAsia="pl-PL"/>
              </w:rPr>
              <w:t>Wartość powyżej 90 % do 110 % średniej dla Województwa Dolnośląskiego – 5,0 pkt</w:t>
            </w:r>
          </w:p>
          <w:p w:rsidR="00B357E1" w:rsidRPr="00B357E1" w:rsidRDefault="00B357E1" w:rsidP="00B357E1">
            <w:pPr>
              <w:numPr>
                <w:ilvl w:val="0"/>
                <w:numId w:val="42"/>
              </w:numPr>
              <w:contextualSpacing/>
              <w:rPr>
                <w:rFonts w:eastAsiaTheme="minorEastAsia"/>
                <w:lang w:eastAsia="pl-PL"/>
              </w:rPr>
            </w:pPr>
            <w:r w:rsidRPr="00B357E1">
              <w:rPr>
                <w:rFonts w:eastAsiaTheme="minorEastAsia"/>
                <w:lang w:eastAsia="pl-PL"/>
              </w:rPr>
              <w:t>Wartość powyżej 110 % do 140 % średniej dla Województwa Dolnośląskiego – 2,5 pkt</w:t>
            </w:r>
          </w:p>
          <w:p w:rsidR="00B357E1" w:rsidRPr="00B357E1" w:rsidRDefault="00B357E1" w:rsidP="00B357E1">
            <w:pPr>
              <w:numPr>
                <w:ilvl w:val="0"/>
                <w:numId w:val="42"/>
              </w:numPr>
              <w:contextualSpacing/>
              <w:rPr>
                <w:rFonts w:eastAsiaTheme="minorEastAsia"/>
                <w:lang w:eastAsia="pl-PL"/>
              </w:rPr>
            </w:pPr>
            <w:r w:rsidRPr="00B357E1">
              <w:rPr>
                <w:rFonts w:eastAsiaTheme="minorEastAsia"/>
                <w:lang w:eastAsia="pl-PL"/>
              </w:rPr>
              <w:t>Wartość powyżej 140 % średniej dla Województwa Dolnośląskiego – 0 pkt</w:t>
            </w:r>
          </w:p>
          <w:p w:rsidR="00B357E1" w:rsidRPr="00B357E1" w:rsidRDefault="00B357E1" w:rsidP="00B357E1">
            <w:pPr>
              <w:ind w:left="720"/>
              <w:contextualSpacing/>
              <w:rPr>
                <w:rFonts w:eastAsiaTheme="minorEastAsia"/>
                <w:lang w:eastAsia="pl-PL"/>
              </w:rPr>
            </w:pPr>
          </w:p>
          <w:p w:rsidR="00B357E1" w:rsidRPr="00B357E1" w:rsidRDefault="00B357E1" w:rsidP="00B357E1">
            <w:pPr>
              <w:jc w:val="both"/>
              <w:rPr>
                <w:rFonts w:eastAsiaTheme="minorEastAsia"/>
                <w:lang w:eastAsia="pl-PL"/>
              </w:rPr>
            </w:pPr>
            <w:r w:rsidRPr="00B357E1">
              <w:rPr>
                <w:rFonts w:eastAsiaTheme="minorEastAsia"/>
                <w:lang w:eastAsia="pl-PL"/>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357E1" w:rsidRPr="00B357E1" w:rsidRDefault="00B357E1" w:rsidP="00B357E1">
            <w:pPr>
              <w:jc w:val="both"/>
              <w:rPr>
                <w:rFonts w:eastAsiaTheme="minorEastAsia"/>
                <w:lang w:eastAsia="pl-PL"/>
              </w:rPr>
            </w:pPr>
            <w:r w:rsidRPr="00B357E1">
              <w:rPr>
                <w:rFonts w:eastAsiaTheme="minorEastAsia"/>
                <w:lang w:eastAsia="pl-PL"/>
              </w:rPr>
              <w:t>W przypadku projektów partnerskich liczba punktów będzie średnią wyliczoną na podstawie danych dla poszczególnych partnerów.</w:t>
            </w:r>
          </w:p>
          <w:p w:rsidR="00B357E1" w:rsidRPr="00B357E1" w:rsidRDefault="00B357E1" w:rsidP="00B357E1">
            <w:pPr>
              <w:jc w:val="both"/>
              <w:rPr>
                <w:rFonts w:eastAsiaTheme="minorEastAsia"/>
                <w:lang w:eastAsia="pl-PL"/>
              </w:rPr>
            </w:pPr>
            <w:r w:rsidRPr="00B357E1">
              <w:rPr>
                <w:rFonts w:eastAsiaTheme="minorEastAsia"/>
                <w:lang w:eastAsia="pl-PL"/>
              </w:rPr>
              <w:t xml:space="preserve">Na przykład -  projekt jest realizowany przez dwóch partnerów – powiat X  w którym wartość wydatków wynosi 70 % średniej dla Województwa (10 pkt) i powiat Y  w którym wartość wydatków </w:t>
            </w:r>
            <w:r w:rsidRPr="00B357E1">
              <w:rPr>
                <w:rFonts w:eastAsiaTheme="minorEastAsia"/>
                <w:lang w:eastAsia="pl-PL"/>
              </w:rPr>
              <w:lastRenderedPageBreak/>
              <w:t>wynosi 150 % średniej dla Województwa (0 pkt) -  w takim przypadku projekt otrzyma 5 pkt ( 10+0/2 = 5)</w:t>
            </w:r>
          </w:p>
        </w:tc>
        <w:tc>
          <w:tcPr>
            <w:tcW w:w="3544" w:type="dxa"/>
          </w:tcPr>
          <w:p w:rsidR="00B357E1" w:rsidRPr="00B357E1" w:rsidRDefault="00B357E1" w:rsidP="00B357E1">
            <w:pPr>
              <w:snapToGrid w:val="0"/>
              <w:spacing w:after="0" w:line="240" w:lineRule="auto"/>
              <w:jc w:val="center"/>
              <w:rPr>
                <w:rFonts w:cs="Arial"/>
              </w:rPr>
            </w:pPr>
          </w:p>
          <w:p w:rsidR="00B357E1" w:rsidRPr="00B357E1" w:rsidRDefault="00B357E1" w:rsidP="00B357E1">
            <w:pPr>
              <w:jc w:val="center"/>
            </w:pPr>
            <w:r w:rsidRPr="00B357E1">
              <w:t>Kryterium fakultatywne</w:t>
            </w:r>
          </w:p>
          <w:p w:rsidR="00B357E1" w:rsidRPr="00B357E1" w:rsidRDefault="00B357E1" w:rsidP="00B357E1">
            <w:pPr>
              <w:jc w:val="center"/>
            </w:pPr>
            <w:r w:rsidRPr="00B357E1">
              <w:t xml:space="preserve"> 0  pkt –10 pkt</w:t>
            </w:r>
          </w:p>
          <w:p w:rsidR="00B357E1" w:rsidRPr="00B357E1" w:rsidRDefault="00B357E1" w:rsidP="00B357E1">
            <w:pPr>
              <w:snapToGrid w:val="0"/>
              <w:spacing w:after="0" w:line="240" w:lineRule="auto"/>
              <w:jc w:val="center"/>
              <w:rPr>
                <w:rFonts w:cs="Arial"/>
              </w:rPr>
            </w:pPr>
            <w:r w:rsidRPr="00B357E1">
              <w:t xml:space="preserve"> (0 punktów w kryterium nie oznacza odrzucenia wniosku)</w:t>
            </w:r>
          </w:p>
        </w:tc>
      </w:tr>
      <w:tr w:rsidR="00B357E1" w:rsidRPr="00B357E1" w:rsidTr="0082547D">
        <w:trPr>
          <w:trHeight w:val="952"/>
        </w:trPr>
        <w:tc>
          <w:tcPr>
            <w:tcW w:w="567" w:type="dxa"/>
            <w:vAlign w:val="center"/>
          </w:tcPr>
          <w:p w:rsidR="00B357E1" w:rsidRPr="00B357E1" w:rsidRDefault="00B357E1" w:rsidP="00B357E1">
            <w:r w:rsidRPr="00B357E1">
              <w:lastRenderedPageBreak/>
              <w:t>2.</w:t>
            </w:r>
          </w:p>
        </w:tc>
        <w:tc>
          <w:tcPr>
            <w:tcW w:w="3686" w:type="dxa"/>
            <w:gridSpan w:val="2"/>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r w:rsidRPr="00B357E1">
              <w:rPr>
                <w:rFonts w:eastAsiaTheme="minorEastAsia"/>
                <w:b/>
                <w:lang w:eastAsia="pl-PL"/>
              </w:rPr>
              <w:t>Udział osób bezrobotnych w wieku 24 lata i mniej w  ogólnej liczbie bezrobotnych zarejestrowanych w  2014 r. (dane BDL, GUS)</w:t>
            </w:r>
          </w:p>
        </w:tc>
        <w:tc>
          <w:tcPr>
            <w:tcW w:w="6378" w:type="dxa"/>
            <w:gridSpan w:val="2"/>
          </w:tcPr>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 ramach kryterium będzie sprawdzana wysokość udziału osób bezrobotnych w wieku 24 lata i mniej w ogólnej liczbie bezrobotnych zarejestrowanych w powiecie w 2014 r:</w:t>
            </w:r>
          </w:p>
          <w:p w:rsidR="00B357E1" w:rsidRPr="00B357E1" w:rsidRDefault="00B357E1" w:rsidP="00B357E1">
            <w:pPr>
              <w:spacing w:after="0" w:line="240" w:lineRule="auto"/>
              <w:jc w:val="both"/>
              <w:rPr>
                <w:rFonts w:eastAsiaTheme="minorEastAsia"/>
                <w:lang w:eastAsia="pl-PL"/>
              </w:rPr>
            </w:pPr>
          </w:p>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t>
            </w:r>
            <w:r w:rsidRPr="00B357E1">
              <w:rPr>
                <w:rFonts w:eastAsiaTheme="minorEastAsia"/>
                <w:lang w:eastAsia="pl-PL"/>
              </w:rPr>
              <w:tab/>
              <w:t>Wartość powyżej 125 % średniej dla Województwa Dolnośląskiego – 10 pkt</w:t>
            </w:r>
          </w:p>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t>
            </w:r>
            <w:r w:rsidRPr="00B357E1">
              <w:rPr>
                <w:rFonts w:eastAsiaTheme="minorEastAsia"/>
                <w:lang w:eastAsia="pl-PL"/>
              </w:rPr>
              <w:tab/>
              <w:t>Wartość powyżej 105 % do 125 % średniej dla Województwa Dolnośląskiego – 7,5 pkt</w:t>
            </w:r>
          </w:p>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t>
            </w:r>
            <w:r w:rsidRPr="00B357E1">
              <w:rPr>
                <w:rFonts w:eastAsiaTheme="minorEastAsia"/>
                <w:lang w:eastAsia="pl-PL"/>
              </w:rPr>
              <w:tab/>
              <w:t>Wartość powyżej 90 % do 105 % średniej dla Województwa Dolnośląskiego –  5,0 pkt</w:t>
            </w:r>
          </w:p>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t>
            </w:r>
            <w:r w:rsidRPr="00B357E1">
              <w:rPr>
                <w:rFonts w:eastAsiaTheme="minorEastAsia"/>
                <w:lang w:eastAsia="pl-PL"/>
              </w:rPr>
              <w:tab/>
              <w:t>Wartość powyżej 75 % do 90 % średniej dla Województwa Dolnośląskiego – 2,5 pkt</w:t>
            </w:r>
          </w:p>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t>
            </w:r>
            <w:r w:rsidRPr="00B357E1">
              <w:rPr>
                <w:rFonts w:eastAsiaTheme="minorEastAsia"/>
                <w:lang w:eastAsia="pl-PL"/>
              </w:rPr>
              <w:tab/>
              <w:t>Wartość do 75% średniej dla Województwa Dolnośląskiego – 0 pkt</w:t>
            </w:r>
          </w:p>
          <w:p w:rsidR="00B357E1" w:rsidRPr="00B357E1" w:rsidRDefault="00B357E1" w:rsidP="00B357E1">
            <w:pPr>
              <w:spacing w:after="0" w:line="240" w:lineRule="auto"/>
              <w:jc w:val="both"/>
              <w:rPr>
                <w:rFonts w:eastAsiaTheme="minorEastAsia"/>
                <w:lang w:eastAsia="pl-PL"/>
              </w:rPr>
            </w:pPr>
          </w:p>
          <w:p w:rsidR="00B357E1" w:rsidRPr="00B357E1" w:rsidRDefault="00B357E1" w:rsidP="00B357E1">
            <w:pPr>
              <w:jc w:val="both"/>
              <w:rPr>
                <w:rFonts w:eastAsiaTheme="minorEastAsia"/>
                <w:lang w:eastAsia="pl-PL"/>
              </w:rPr>
            </w:pPr>
            <w:r w:rsidRPr="00B357E1">
              <w:rPr>
                <w:rFonts w:eastAsiaTheme="minorEastAsia"/>
                <w:lang w:eastAsia="pl-PL"/>
              </w:rPr>
              <w:t>Przy ocenie tego kryterium będzie brana pod uwagę lokalizacja szkoły w której realizowany jest projekt.</w:t>
            </w:r>
          </w:p>
          <w:p w:rsidR="00B357E1" w:rsidRPr="00B357E1" w:rsidRDefault="00B357E1" w:rsidP="00B357E1">
            <w:pPr>
              <w:jc w:val="both"/>
              <w:rPr>
                <w:rFonts w:eastAsiaTheme="minorEastAsia"/>
                <w:lang w:eastAsia="pl-PL"/>
              </w:rPr>
            </w:pPr>
            <w:r w:rsidRPr="00B357E1">
              <w:rPr>
                <w:rFonts w:eastAsiaTheme="minorEastAsia"/>
                <w:lang w:eastAsia="pl-PL"/>
              </w:rPr>
              <w:t>W przypadku projektów partnerskich liczba punktów będzie średnią wyliczoną na podstawie danych dla poszczególnych partnerów.</w:t>
            </w:r>
          </w:p>
          <w:p w:rsidR="00B357E1" w:rsidRPr="00B357E1" w:rsidRDefault="00B357E1" w:rsidP="00B357E1">
            <w:pPr>
              <w:jc w:val="both"/>
              <w:rPr>
                <w:rFonts w:eastAsiaTheme="minorEastAsia"/>
                <w:lang w:eastAsia="pl-PL"/>
              </w:rPr>
            </w:pPr>
            <w:r w:rsidRPr="00B357E1">
              <w:rPr>
                <w:rFonts w:eastAsiaTheme="minorEastAsia"/>
                <w:lang w:eastAsia="pl-PL"/>
              </w:rPr>
              <w:t xml:space="preserve"> Na przykład -  projekt jest realizowany przez dwóch partnerów – </w:t>
            </w:r>
            <w:r w:rsidRPr="00B357E1">
              <w:rPr>
                <w:rFonts w:eastAsiaTheme="minorEastAsia"/>
                <w:lang w:eastAsia="pl-PL"/>
              </w:rPr>
              <w:lastRenderedPageBreak/>
              <w:t>powiat X  w którym udział osób bezrobotnych wynosi 130 % średniej dla Województwa (10 pkt) i powiat Y w którym udział osób bezrobotnych wynosi 70 % średniej dla Województwa ( 0 pkt) -  w takim przypadku projekt otrzyma 5 pkt ( 10+0/2 = 5)</w:t>
            </w:r>
          </w:p>
        </w:tc>
        <w:tc>
          <w:tcPr>
            <w:tcW w:w="3544" w:type="dxa"/>
          </w:tcPr>
          <w:p w:rsidR="00B357E1" w:rsidRPr="00B357E1" w:rsidRDefault="00B357E1" w:rsidP="00B357E1">
            <w:pPr>
              <w:jc w:val="center"/>
            </w:pPr>
            <w:r w:rsidRPr="00B357E1">
              <w:lastRenderedPageBreak/>
              <w:t>Kryterium fakultatywne</w:t>
            </w:r>
          </w:p>
          <w:p w:rsidR="00B357E1" w:rsidRPr="00B357E1" w:rsidRDefault="00B357E1" w:rsidP="00B357E1">
            <w:pPr>
              <w:jc w:val="center"/>
            </w:pPr>
            <w:r w:rsidRPr="00B357E1">
              <w:t xml:space="preserve"> 0  pkt –10 pkt</w:t>
            </w:r>
          </w:p>
          <w:p w:rsidR="00B357E1" w:rsidRPr="00B357E1" w:rsidRDefault="00B357E1" w:rsidP="00B357E1">
            <w:pPr>
              <w:jc w:val="center"/>
            </w:pPr>
            <w:r w:rsidRPr="00B357E1">
              <w:t xml:space="preserve"> (0 punktów w kryterium nie oznacza odrzucenia wniosku)</w:t>
            </w:r>
          </w:p>
        </w:tc>
      </w:tr>
      <w:tr w:rsidR="00B357E1" w:rsidRPr="00B357E1" w:rsidTr="0082547D">
        <w:trPr>
          <w:trHeight w:val="952"/>
        </w:trPr>
        <w:tc>
          <w:tcPr>
            <w:tcW w:w="567" w:type="dxa"/>
            <w:vAlign w:val="center"/>
          </w:tcPr>
          <w:p w:rsidR="00B357E1" w:rsidRPr="00B357E1" w:rsidRDefault="00B357E1" w:rsidP="00B357E1">
            <w:r w:rsidRPr="00B357E1">
              <w:lastRenderedPageBreak/>
              <w:t>3.</w:t>
            </w:r>
          </w:p>
        </w:tc>
        <w:tc>
          <w:tcPr>
            <w:tcW w:w="3686" w:type="dxa"/>
            <w:gridSpan w:val="2"/>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r w:rsidRPr="00B357E1">
              <w:rPr>
                <w:rFonts w:eastAsiaTheme="minorEastAsia"/>
                <w:b/>
                <w:lang w:eastAsia="pl-PL"/>
              </w:rPr>
              <w:t>Realizacja projektu w szkołach o słabych wynikach edukacyjnych w skali regionu</w:t>
            </w:r>
          </w:p>
        </w:tc>
        <w:tc>
          <w:tcPr>
            <w:tcW w:w="6378" w:type="dxa"/>
            <w:gridSpan w:val="2"/>
          </w:tcPr>
          <w:p w:rsidR="00B357E1" w:rsidRPr="00B357E1" w:rsidRDefault="00B357E1" w:rsidP="00B357E1">
            <w:pPr>
              <w:autoSpaceDE w:val="0"/>
              <w:autoSpaceDN w:val="0"/>
              <w:adjustRightInd w:val="0"/>
              <w:spacing w:after="0" w:line="240" w:lineRule="auto"/>
              <w:jc w:val="both"/>
              <w:rPr>
                <w:rFonts w:eastAsiaTheme="minorEastAsia" w:cs="Arial"/>
                <w:lang w:eastAsia="pl-PL"/>
              </w:rPr>
            </w:pPr>
            <w:r w:rsidRPr="00B357E1">
              <w:rPr>
                <w:rFonts w:eastAsiaTheme="minorEastAsia" w:cs="Arial"/>
                <w:lang w:eastAsia="pl-PL"/>
              </w:rPr>
              <w:t>W ramach tego kryterium będzie weryfikowane czy projekt jest realizowany w szkołach osiągających najsłabsze wyniki edukacyjne w skali regionu:</w:t>
            </w:r>
          </w:p>
          <w:p w:rsidR="00B357E1" w:rsidRPr="00B357E1" w:rsidRDefault="00B357E1" w:rsidP="00B357E1">
            <w:pPr>
              <w:autoSpaceDE w:val="0"/>
              <w:autoSpaceDN w:val="0"/>
              <w:adjustRightInd w:val="0"/>
              <w:spacing w:after="0" w:line="240" w:lineRule="auto"/>
              <w:jc w:val="both"/>
              <w:rPr>
                <w:rFonts w:eastAsiaTheme="minorEastAsia" w:cs="Arial"/>
                <w:lang w:eastAsia="pl-PL"/>
              </w:rPr>
            </w:pP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Tak – 10 pkt.;</w:t>
            </w:r>
          </w:p>
          <w:p w:rsidR="00B357E1" w:rsidRPr="00B357E1" w:rsidRDefault="00B357E1" w:rsidP="00B357E1">
            <w:pPr>
              <w:numPr>
                <w:ilvl w:val="0"/>
                <w:numId w:val="39"/>
              </w:numPr>
              <w:autoSpaceDE w:val="0"/>
              <w:autoSpaceDN w:val="0"/>
              <w:adjustRightInd w:val="0"/>
              <w:spacing w:after="0" w:line="240" w:lineRule="auto"/>
              <w:rPr>
                <w:rFonts w:ascii="Calibri" w:eastAsiaTheme="minorEastAsia" w:hAnsi="Calibri" w:cs="Calibri"/>
                <w:color w:val="000000"/>
                <w:lang w:eastAsia="pl-PL"/>
              </w:rPr>
            </w:pPr>
            <w:r w:rsidRPr="00B357E1">
              <w:rPr>
                <w:rFonts w:ascii="Calibri" w:eastAsiaTheme="minorEastAsia" w:hAnsi="Calibri" w:cs="Calibri"/>
                <w:color w:val="000000"/>
                <w:sz w:val="24"/>
                <w:szCs w:val="24"/>
                <w:lang w:eastAsia="pl-PL"/>
              </w:rPr>
              <w:t>Nie - 0 pkt.</w:t>
            </w:r>
          </w:p>
          <w:p w:rsidR="00B357E1" w:rsidRPr="00B357E1" w:rsidRDefault="00B357E1" w:rsidP="00B357E1">
            <w:pPr>
              <w:autoSpaceDE w:val="0"/>
              <w:autoSpaceDN w:val="0"/>
              <w:adjustRightInd w:val="0"/>
              <w:spacing w:after="0" w:line="240" w:lineRule="auto"/>
              <w:ind w:left="720"/>
              <w:rPr>
                <w:rFonts w:ascii="Calibri" w:eastAsiaTheme="minorEastAsia" w:hAnsi="Calibri" w:cs="Calibri"/>
                <w:color w:val="000000"/>
                <w:lang w:eastAsia="pl-PL"/>
              </w:rPr>
            </w:pP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lang w:eastAsia="pl-PL"/>
              </w:rPr>
            </w:pPr>
            <w:r w:rsidRPr="00B357E1">
              <w:rPr>
                <w:rFonts w:ascii="Calibri" w:eastAsiaTheme="minorEastAsia" w:hAnsi="Calibri" w:cs="Calibri"/>
                <w:color w:val="000000"/>
                <w:lang w:eastAsia="pl-PL"/>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lang w:eastAsia="pl-PL"/>
              </w:rPr>
            </w:pP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14"/>
                <w:szCs w:val="14"/>
                <w:lang w:eastAsia="pl-PL"/>
              </w:rPr>
            </w:pPr>
            <w:r w:rsidRPr="00B357E1">
              <w:rPr>
                <w:rFonts w:ascii="Calibri" w:eastAsiaTheme="minorEastAsia" w:hAnsi="Calibri" w:cs="Calibri"/>
                <w:color w:val="000000"/>
                <w:lang w:eastAsia="pl-PL"/>
              </w:rPr>
              <w:t xml:space="preserve">Jako średnia województwa należy rozumieć średnią z ostatniego egzaminu zewnętrznego, którego wyniki zostały opublikowane na stronie Okręgowej Komisji Egzaminacyjnej do dnia opublikowania ogłoszenia o naborze. Kryterium zostanie zweryfikowane na </w:t>
            </w:r>
            <w:r w:rsidRPr="00B357E1">
              <w:rPr>
                <w:rFonts w:ascii="Calibri" w:eastAsiaTheme="minorEastAsia" w:hAnsi="Calibri" w:cs="Calibri"/>
                <w:color w:val="000000"/>
                <w:lang w:eastAsia="pl-PL"/>
              </w:rPr>
              <w:lastRenderedPageBreak/>
              <w:t>podstawie opublikowanych wyników ostatniego wyniku zewnętrznego na stronie Okręgowej Komisji Egzaminacyjnej</w:t>
            </w:r>
          </w:p>
          <w:p w:rsidR="00B357E1" w:rsidRPr="00B357E1" w:rsidRDefault="00B357E1" w:rsidP="00B357E1">
            <w:pPr>
              <w:spacing w:after="0" w:line="240" w:lineRule="auto"/>
              <w:jc w:val="both"/>
              <w:rPr>
                <w:rFonts w:eastAsiaTheme="minorEastAsia"/>
                <w:lang w:eastAsia="pl-PL"/>
              </w:rPr>
            </w:pP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10 pkt</w:t>
            </w:r>
          </w:p>
          <w:p w:rsidR="00B357E1" w:rsidRPr="00B357E1" w:rsidRDefault="00B357E1" w:rsidP="00B357E1">
            <w:pPr>
              <w:snapToGrid w:val="0"/>
              <w:spacing w:after="0" w:line="240" w:lineRule="auto"/>
              <w:jc w:val="center"/>
              <w:rPr>
                <w:rFonts w:cs="Arial"/>
              </w:rPr>
            </w:pPr>
          </w:p>
          <w:p w:rsidR="00B357E1" w:rsidRPr="00B357E1" w:rsidRDefault="00B357E1" w:rsidP="00B357E1">
            <w:pPr>
              <w:spacing w:after="0" w:line="240" w:lineRule="auto"/>
              <w:jc w:val="center"/>
            </w:pPr>
          </w:p>
          <w:p w:rsidR="00B357E1" w:rsidRPr="00B357E1" w:rsidRDefault="00B357E1" w:rsidP="00B357E1">
            <w:pPr>
              <w:autoSpaceDE w:val="0"/>
              <w:autoSpaceDN w:val="0"/>
              <w:adjustRightInd w:val="0"/>
              <w:spacing w:after="0" w:line="240" w:lineRule="auto"/>
              <w:jc w:val="center"/>
              <w:rPr>
                <w:rFonts w:ascii="Calibri" w:eastAsiaTheme="minorEastAsia" w:hAnsi="Calibri" w:cs="Calibri"/>
                <w:color w:val="000000"/>
                <w:lang w:eastAsia="pl-PL"/>
              </w:rPr>
            </w:pPr>
            <w:r w:rsidRPr="00B357E1">
              <w:t>(0 punktów w kryterium nie oznacza odrzucenia wniosku)</w:t>
            </w:r>
          </w:p>
        </w:tc>
      </w:tr>
      <w:tr w:rsidR="00B357E1" w:rsidRPr="00B357E1" w:rsidTr="0082547D">
        <w:trPr>
          <w:trHeight w:val="2321"/>
        </w:trPr>
        <w:tc>
          <w:tcPr>
            <w:tcW w:w="567" w:type="dxa"/>
            <w:vAlign w:val="center"/>
          </w:tcPr>
          <w:p w:rsidR="00B357E1" w:rsidRPr="00B357E1" w:rsidRDefault="00B357E1" w:rsidP="00B357E1">
            <w:r w:rsidRPr="00B357E1">
              <w:lastRenderedPageBreak/>
              <w:t>4.</w:t>
            </w:r>
          </w:p>
        </w:tc>
        <w:tc>
          <w:tcPr>
            <w:tcW w:w="3686" w:type="dxa"/>
            <w:gridSpan w:val="2"/>
          </w:tcPr>
          <w:p w:rsidR="00B357E1" w:rsidRPr="00B357E1" w:rsidRDefault="00B357E1" w:rsidP="00B357E1">
            <w:pPr>
              <w:rPr>
                <w:b/>
              </w:rPr>
            </w:pPr>
          </w:p>
          <w:p w:rsidR="00B357E1" w:rsidRPr="00B357E1" w:rsidRDefault="0082547D" w:rsidP="00B357E1">
            <w:pPr>
              <w:rPr>
                <w:b/>
              </w:rPr>
            </w:pPr>
            <w:r>
              <w:rPr>
                <w:b/>
              </w:rPr>
              <w:t>Wpływ</w:t>
            </w:r>
            <w:r w:rsidR="00B357E1" w:rsidRPr="00B357E1">
              <w:rPr>
                <w:b/>
              </w:rPr>
              <w:t xml:space="preserve"> realizacji projektu na realizację wartości docelowej wskaźników</w:t>
            </w:r>
          </w:p>
        </w:tc>
        <w:tc>
          <w:tcPr>
            <w:tcW w:w="6378" w:type="dxa"/>
            <w:gridSpan w:val="2"/>
          </w:tcPr>
          <w:p w:rsidR="00B357E1" w:rsidRPr="00B357E1" w:rsidRDefault="00B357E1" w:rsidP="00B357E1">
            <w:pPr>
              <w:spacing w:after="0" w:line="240" w:lineRule="auto"/>
              <w:jc w:val="both"/>
            </w:pPr>
            <w:r w:rsidRPr="00B357E1">
              <w:t>Weryfikowany będzie poziom wpływu wskaźników zawartych w projekcie na realizację wartości docelowych wskaźników programowych.</w:t>
            </w:r>
          </w:p>
          <w:p w:rsidR="00B357E1" w:rsidRPr="00B357E1" w:rsidRDefault="00B357E1" w:rsidP="00B357E1">
            <w:pPr>
              <w:spacing w:after="0" w:line="240" w:lineRule="auto"/>
              <w:jc w:val="both"/>
            </w:pPr>
          </w:p>
          <w:p w:rsidR="00B357E1" w:rsidRPr="00B357E1" w:rsidRDefault="00B357E1" w:rsidP="0001278E">
            <w:pPr>
              <w:spacing w:after="0" w:line="240" w:lineRule="auto"/>
              <w:jc w:val="both"/>
            </w:pPr>
          </w:p>
        </w:tc>
        <w:tc>
          <w:tcPr>
            <w:tcW w:w="3544" w:type="dxa"/>
          </w:tcPr>
          <w:p w:rsidR="00B357E1" w:rsidRPr="00B357E1" w:rsidRDefault="00B357E1" w:rsidP="00B357E1">
            <w:pPr>
              <w:spacing w:after="0" w:line="240" w:lineRule="auto"/>
              <w:jc w:val="center"/>
            </w:pPr>
            <w:r w:rsidRPr="00B357E1">
              <w:t>Kryterium fakultatywne</w:t>
            </w:r>
          </w:p>
          <w:p w:rsidR="00B357E1" w:rsidRPr="00B357E1" w:rsidRDefault="00B357E1" w:rsidP="00B357E1">
            <w:pPr>
              <w:spacing w:after="0" w:line="240" w:lineRule="auto"/>
              <w:jc w:val="center"/>
            </w:pPr>
          </w:p>
          <w:p w:rsidR="00B357E1" w:rsidRPr="00B357E1" w:rsidRDefault="00B357E1" w:rsidP="00B357E1">
            <w:pPr>
              <w:spacing w:after="0" w:line="240" w:lineRule="auto"/>
              <w:jc w:val="center"/>
            </w:pPr>
            <w:r w:rsidRPr="00B357E1">
              <w:t xml:space="preserve">0 pkt. -  20 pkt. </w:t>
            </w:r>
          </w:p>
          <w:p w:rsidR="00B357E1" w:rsidRPr="00B357E1" w:rsidRDefault="00B357E1" w:rsidP="00B357E1">
            <w:pPr>
              <w:spacing w:after="0" w:line="240" w:lineRule="auto"/>
              <w:jc w:val="center"/>
            </w:pPr>
          </w:p>
          <w:p w:rsidR="00B357E1" w:rsidRPr="00B357E1" w:rsidRDefault="00B357E1" w:rsidP="00B357E1">
            <w:pPr>
              <w:spacing w:after="0" w:line="240" w:lineRule="auto"/>
              <w:jc w:val="center"/>
            </w:pPr>
            <w:r w:rsidRPr="00B357E1">
              <w:t>(0 punktów w kryterium nie oznacza odrzucenia wniosku)</w:t>
            </w:r>
          </w:p>
        </w:tc>
      </w:tr>
      <w:tr w:rsidR="0001278E" w:rsidRPr="005D1061"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5"/>
        </w:trPr>
        <w:tc>
          <w:tcPr>
            <w:tcW w:w="2126" w:type="dxa"/>
            <w:gridSpan w:val="2"/>
            <w:shd w:val="clear" w:color="auto" w:fill="auto"/>
          </w:tcPr>
          <w:p w:rsidR="0001278E" w:rsidRPr="005D1061" w:rsidRDefault="0001278E" w:rsidP="00525D08">
            <w:pPr>
              <w:rPr>
                <w:b/>
              </w:rPr>
            </w:pPr>
            <w:r w:rsidRPr="005D1061">
              <w:rPr>
                <w:b/>
              </w:rPr>
              <w:t>Wyszczególnienie</w:t>
            </w:r>
          </w:p>
        </w:tc>
        <w:tc>
          <w:tcPr>
            <w:tcW w:w="5670" w:type="dxa"/>
            <w:gridSpan w:val="2"/>
            <w:shd w:val="clear" w:color="auto" w:fill="auto"/>
          </w:tcPr>
          <w:p w:rsidR="0001278E" w:rsidRPr="005D1061" w:rsidRDefault="0001278E" w:rsidP="00525D08">
            <w:pPr>
              <w:rPr>
                <w:b/>
              </w:rPr>
            </w:pPr>
            <w:r w:rsidRPr="005D1061">
              <w:rPr>
                <w:b/>
              </w:rPr>
              <w:t>Wskaźnik nr 1 (wskazany w regulaminie konkursu)</w:t>
            </w:r>
          </w:p>
          <w:p w:rsidR="0001278E" w:rsidRPr="005D1061" w:rsidRDefault="0001278E" w:rsidP="00525D08">
            <w:pPr>
              <w:rPr>
                <w:b/>
              </w:rPr>
            </w:pPr>
            <w:r w:rsidRPr="005D1061">
              <w:t xml:space="preserve">Opieka nad dziećmi i edukacja: Liczba miejsc w objętej wsparciem infrastrukturze w zakresie opieki nad dziećmi lub infrastrukturze edukacyjnej (CI 35) programowy – </w:t>
            </w:r>
            <w:r w:rsidRPr="005D1061">
              <w:rPr>
                <w:b/>
                <w:u w:val="single"/>
              </w:rPr>
              <w:t>RAMY WYKONANIA</w:t>
            </w:r>
          </w:p>
        </w:tc>
        <w:tc>
          <w:tcPr>
            <w:tcW w:w="6379" w:type="dxa"/>
            <w:gridSpan w:val="2"/>
            <w:shd w:val="clear" w:color="auto" w:fill="auto"/>
          </w:tcPr>
          <w:p w:rsidR="0001278E" w:rsidRPr="005D1061" w:rsidRDefault="0001278E" w:rsidP="00525D08">
            <w:pPr>
              <w:rPr>
                <w:b/>
              </w:rPr>
            </w:pPr>
            <w:r>
              <w:rPr>
                <w:b/>
              </w:rPr>
              <w:t>Wskaźnik nr 2</w:t>
            </w:r>
            <w:r w:rsidRPr="005D1061">
              <w:rPr>
                <w:b/>
              </w:rPr>
              <w:t xml:space="preserve"> (wskazany w regulaminie konkursu)</w:t>
            </w:r>
          </w:p>
          <w:p w:rsidR="0001278E" w:rsidRDefault="0001278E" w:rsidP="00525D08">
            <w:pPr>
              <w:rPr>
                <w:b/>
              </w:rPr>
            </w:pPr>
            <w:r w:rsidRPr="001D770B">
              <w:rPr>
                <w:b/>
              </w:rPr>
              <w:t>Liczba użytkowników infrastruktury edukacyjnej wspartej w programie</w:t>
            </w:r>
          </w:p>
          <w:p w:rsidR="0001278E" w:rsidRPr="005D1061" w:rsidRDefault="0001278E" w:rsidP="00525D08">
            <w:pPr>
              <w:rPr>
                <w:b/>
              </w:rPr>
            </w:pPr>
          </w:p>
        </w:tc>
      </w:tr>
      <w:tr w:rsidR="0001278E" w:rsidRPr="00FC2A95"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01278E" w:rsidRPr="005D1061" w:rsidRDefault="0001278E" w:rsidP="00525D08">
            <w:r w:rsidRPr="005D1061">
              <w:lastRenderedPageBreak/>
              <w:t>0 (brak wpływu i wpływ nieznaczący)</w:t>
            </w:r>
          </w:p>
        </w:tc>
        <w:tc>
          <w:tcPr>
            <w:tcW w:w="5670" w:type="dxa"/>
            <w:gridSpan w:val="2"/>
            <w:shd w:val="clear" w:color="auto" w:fill="auto"/>
          </w:tcPr>
          <w:p w:rsidR="0001278E" w:rsidRPr="005D1061" w:rsidRDefault="0001278E" w:rsidP="00525D08">
            <w:r w:rsidRPr="005D1061">
              <w:t xml:space="preserve">Wartość wskaźnika (wyrażona liczbowo) </w:t>
            </w:r>
            <w:r>
              <w:t>/liczba punktów</w:t>
            </w:r>
          </w:p>
          <w:p w:rsidR="0001278E" w:rsidRPr="005D1061" w:rsidRDefault="0001278E" w:rsidP="00525D08"/>
          <w:p w:rsidR="0001278E" w:rsidRDefault="0001278E" w:rsidP="00525D08">
            <w:pPr>
              <w:rPr>
                <w:b/>
                <w:u w:val="single"/>
              </w:rPr>
            </w:pPr>
            <w:r w:rsidRPr="0077470D">
              <w:rPr>
                <w:b/>
                <w:u w:val="single"/>
              </w:rPr>
              <w:t>≤100</w:t>
            </w:r>
          </w:p>
          <w:p w:rsidR="0001278E" w:rsidRPr="00FC2A95" w:rsidRDefault="0001278E" w:rsidP="00525D08">
            <w:pPr>
              <w:rPr>
                <w:b/>
                <w:u w:val="single"/>
              </w:rPr>
            </w:pPr>
            <w:r w:rsidRPr="00FC2A95">
              <w:rPr>
                <w:b/>
                <w:u w:val="single"/>
              </w:rPr>
              <w:t>0 pkt</w:t>
            </w:r>
          </w:p>
        </w:tc>
        <w:tc>
          <w:tcPr>
            <w:tcW w:w="6379" w:type="dxa"/>
            <w:gridSpan w:val="2"/>
            <w:shd w:val="clear" w:color="auto" w:fill="auto"/>
          </w:tcPr>
          <w:p w:rsidR="0001278E" w:rsidRPr="005D1061" w:rsidRDefault="0001278E" w:rsidP="00525D08">
            <w:r w:rsidRPr="005D1061">
              <w:t>Wartość wskaźnika (wyrażona liczbowo)</w:t>
            </w:r>
            <w:r>
              <w:t xml:space="preserve">/ </w:t>
            </w:r>
            <w:r w:rsidRPr="0058491F">
              <w:t>liczba punktów</w:t>
            </w:r>
            <w:r w:rsidRPr="005D1061">
              <w:t>:</w:t>
            </w:r>
          </w:p>
          <w:p w:rsidR="0001278E" w:rsidRPr="005D1061" w:rsidRDefault="0001278E" w:rsidP="00525D08"/>
          <w:p w:rsidR="0001278E" w:rsidRPr="005D1061" w:rsidRDefault="0001278E" w:rsidP="00525D08">
            <w:pPr>
              <w:rPr>
                <w:b/>
              </w:rPr>
            </w:pPr>
            <w:r>
              <w:rPr>
                <w:b/>
              </w:rPr>
              <w:t>≤10</w:t>
            </w:r>
            <w:r w:rsidRPr="005D1061">
              <w:rPr>
                <w:b/>
              </w:rPr>
              <w:t>0</w:t>
            </w:r>
          </w:p>
          <w:p w:rsidR="0001278E" w:rsidRPr="00FC2A95" w:rsidRDefault="0001278E" w:rsidP="00525D08">
            <w:pPr>
              <w:rPr>
                <w:b/>
                <w:u w:val="single"/>
              </w:rPr>
            </w:pPr>
            <w:r w:rsidRPr="00FC2A95">
              <w:rPr>
                <w:b/>
                <w:u w:val="single"/>
              </w:rPr>
              <w:t>0 pkt</w:t>
            </w:r>
          </w:p>
        </w:tc>
      </w:tr>
      <w:tr w:rsidR="0001278E" w:rsidRPr="0058491F"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8"/>
        </w:trPr>
        <w:tc>
          <w:tcPr>
            <w:tcW w:w="2126" w:type="dxa"/>
            <w:gridSpan w:val="2"/>
            <w:shd w:val="clear" w:color="auto" w:fill="auto"/>
          </w:tcPr>
          <w:p w:rsidR="0001278E" w:rsidRPr="005D1061" w:rsidRDefault="0001278E" w:rsidP="00525D08">
            <w:r w:rsidRPr="005D1061">
              <w:t>25% maksymalnej oceny (niski wpływ)</w:t>
            </w:r>
          </w:p>
        </w:tc>
        <w:tc>
          <w:tcPr>
            <w:tcW w:w="5670" w:type="dxa"/>
            <w:gridSpan w:val="2"/>
            <w:shd w:val="clear" w:color="auto" w:fill="auto"/>
          </w:tcPr>
          <w:p w:rsidR="0001278E" w:rsidRPr="005D1061" w:rsidRDefault="0001278E" w:rsidP="00525D08">
            <w:r w:rsidRPr="00FC2A95">
              <w:t>Wartość wskaźnika (wyrażona liczbowo) /liczba punktów</w:t>
            </w:r>
            <w:r>
              <w:t>:</w:t>
            </w:r>
          </w:p>
          <w:p w:rsidR="0001278E" w:rsidRPr="005D1061" w:rsidRDefault="0001278E" w:rsidP="00525D08"/>
          <w:p w:rsidR="0001278E" w:rsidRPr="005D1061" w:rsidRDefault="0001278E" w:rsidP="00525D08">
            <w:pPr>
              <w:rPr>
                <w:b/>
              </w:rPr>
            </w:pPr>
            <w:r w:rsidRPr="0077470D">
              <w:rPr>
                <w:b/>
              </w:rPr>
              <w:t>100&lt; i ≤ 150</w:t>
            </w:r>
          </w:p>
          <w:p w:rsidR="0001278E" w:rsidRPr="0058491F" w:rsidRDefault="0001278E" w:rsidP="00525D08">
            <w:pPr>
              <w:rPr>
                <w:b/>
                <w:u w:val="single"/>
              </w:rPr>
            </w:pPr>
            <w:r>
              <w:rPr>
                <w:b/>
                <w:u w:val="single"/>
              </w:rPr>
              <w:t>3</w:t>
            </w:r>
            <w:r w:rsidRPr="0058491F">
              <w:rPr>
                <w:b/>
                <w:u w:val="single"/>
              </w:rPr>
              <w:t xml:space="preserve"> pkt</w:t>
            </w:r>
          </w:p>
        </w:tc>
        <w:tc>
          <w:tcPr>
            <w:tcW w:w="6379" w:type="dxa"/>
            <w:gridSpan w:val="2"/>
            <w:shd w:val="clear" w:color="auto" w:fill="auto"/>
          </w:tcPr>
          <w:p w:rsidR="0001278E" w:rsidRPr="005D1061" w:rsidRDefault="0001278E" w:rsidP="00525D08">
            <w:r w:rsidRPr="00FC2A95">
              <w:t>Wartość wskaźnika (wyrażona liczbowo) /liczba punktów</w:t>
            </w:r>
          </w:p>
          <w:p w:rsidR="0001278E" w:rsidRPr="005D1061" w:rsidRDefault="0001278E" w:rsidP="00525D08">
            <w:pPr>
              <w:rPr>
                <w:b/>
              </w:rPr>
            </w:pPr>
            <w:r>
              <w:rPr>
                <w:b/>
              </w:rPr>
              <w:t>10</w:t>
            </w:r>
            <w:r w:rsidRPr="005D1061">
              <w:rPr>
                <w:b/>
              </w:rPr>
              <w:t>0&lt; i ≤ 1</w:t>
            </w:r>
            <w:r>
              <w:rPr>
                <w:b/>
              </w:rPr>
              <w:t>5</w:t>
            </w:r>
            <w:r w:rsidRPr="005D1061">
              <w:rPr>
                <w:b/>
              </w:rPr>
              <w:t>0</w:t>
            </w:r>
          </w:p>
          <w:p w:rsidR="0001278E" w:rsidRPr="0058491F" w:rsidRDefault="0001278E" w:rsidP="00525D08">
            <w:pPr>
              <w:rPr>
                <w:b/>
                <w:u w:val="single"/>
              </w:rPr>
            </w:pPr>
            <w:r>
              <w:rPr>
                <w:b/>
                <w:u w:val="single"/>
              </w:rPr>
              <w:t>2</w:t>
            </w:r>
            <w:r w:rsidRPr="0058491F">
              <w:rPr>
                <w:b/>
                <w:u w:val="single"/>
              </w:rPr>
              <w:t xml:space="preserve"> pkt</w:t>
            </w:r>
          </w:p>
        </w:tc>
      </w:tr>
      <w:tr w:rsidR="0001278E" w:rsidRPr="00FC2A95"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01278E" w:rsidRPr="005D1061" w:rsidRDefault="0001278E" w:rsidP="00525D08">
            <w:r w:rsidRPr="005D1061">
              <w:t>50% maksymalnej oceny (średni wpływ)</w:t>
            </w:r>
          </w:p>
        </w:tc>
        <w:tc>
          <w:tcPr>
            <w:tcW w:w="5670" w:type="dxa"/>
            <w:gridSpan w:val="2"/>
            <w:shd w:val="clear" w:color="auto" w:fill="auto"/>
          </w:tcPr>
          <w:p w:rsidR="0001278E" w:rsidRPr="005D1061" w:rsidRDefault="0001278E" w:rsidP="00525D08">
            <w:r w:rsidRPr="00FC2A95">
              <w:t>Wartość wskaźnika (wyrażona liczbowo) /liczba punktów</w:t>
            </w:r>
            <w:r>
              <w:t>:</w:t>
            </w:r>
            <w:r w:rsidRPr="005D1061">
              <w:br/>
            </w:r>
          </w:p>
          <w:p w:rsidR="0001278E" w:rsidRDefault="0001278E" w:rsidP="00525D08">
            <w:pPr>
              <w:rPr>
                <w:b/>
              </w:rPr>
            </w:pPr>
            <w:r w:rsidRPr="0077470D">
              <w:rPr>
                <w:b/>
              </w:rPr>
              <w:t xml:space="preserve">150&lt; i ≤ </w:t>
            </w:r>
            <w:r>
              <w:rPr>
                <w:b/>
              </w:rPr>
              <w:t>200</w:t>
            </w:r>
          </w:p>
          <w:p w:rsidR="0001278E" w:rsidRPr="00FC2A95" w:rsidRDefault="0001278E" w:rsidP="00525D08">
            <w:pPr>
              <w:rPr>
                <w:b/>
                <w:u w:val="single"/>
              </w:rPr>
            </w:pPr>
            <w:r>
              <w:rPr>
                <w:b/>
                <w:u w:val="single"/>
              </w:rPr>
              <w:t>6</w:t>
            </w:r>
            <w:r w:rsidRPr="0058491F">
              <w:rPr>
                <w:b/>
                <w:u w:val="single"/>
              </w:rPr>
              <w:t xml:space="preserve"> pkt</w:t>
            </w:r>
          </w:p>
        </w:tc>
        <w:tc>
          <w:tcPr>
            <w:tcW w:w="6379" w:type="dxa"/>
            <w:gridSpan w:val="2"/>
            <w:shd w:val="clear" w:color="auto" w:fill="auto"/>
          </w:tcPr>
          <w:p w:rsidR="0001278E" w:rsidRPr="005D1061" w:rsidRDefault="0001278E" w:rsidP="00525D08">
            <w:r w:rsidRPr="00FC2A95">
              <w:t>Wartość wskaźnika (wyrażona liczbowo) /liczba punktów</w:t>
            </w:r>
            <w:r>
              <w:t>:</w:t>
            </w:r>
          </w:p>
          <w:p w:rsidR="0001278E" w:rsidRPr="005D1061" w:rsidRDefault="0001278E" w:rsidP="00525D08">
            <w:pPr>
              <w:rPr>
                <w:b/>
              </w:rPr>
            </w:pPr>
            <w:r w:rsidRPr="005D1061">
              <w:rPr>
                <w:b/>
              </w:rPr>
              <w:t>1</w:t>
            </w:r>
            <w:r>
              <w:rPr>
                <w:b/>
              </w:rPr>
              <w:t>5</w:t>
            </w:r>
            <w:r w:rsidRPr="005D1061">
              <w:rPr>
                <w:b/>
              </w:rPr>
              <w:t xml:space="preserve">0&lt; i ≤ </w:t>
            </w:r>
            <w:r>
              <w:rPr>
                <w:b/>
              </w:rPr>
              <w:t>200</w:t>
            </w:r>
          </w:p>
          <w:p w:rsidR="0001278E" w:rsidRPr="00FC2A95" w:rsidRDefault="0001278E" w:rsidP="00525D08">
            <w:pPr>
              <w:rPr>
                <w:b/>
                <w:u w:val="single"/>
              </w:rPr>
            </w:pPr>
            <w:r>
              <w:rPr>
                <w:b/>
                <w:u w:val="single"/>
              </w:rPr>
              <w:t>4</w:t>
            </w:r>
            <w:r w:rsidRPr="00FC2A95">
              <w:rPr>
                <w:b/>
                <w:u w:val="single"/>
              </w:rPr>
              <w:t xml:space="preserve"> pkt</w:t>
            </w:r>
          </w:p>
        </w:tc>
      </w:tr>
      <w:tr w:rsidR="0001278E" w:rsidRPr="00FC2A95"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3"/>
        </w:trPr>
        <w:tc>
          <w:tcPr>
            <w:tcW w:w="2126" w:type="dxa"/>
            <w:gridSpan w:val="2"/>
            <w:shd w:val="clear" w:color="auto" w:fill="auto"/>
          </w:tcPr>
          <w:p w:rsidR="0001278E" w:rsidRPr="005D1061" w:rsidRDefault="0001278E" w:rsidP="00525D08">
            <w:r w:rsidRPr="005D1061">
              <w:lastRenderedPageBreak/>
              <w:t>100% maksymalnej oceny (wysoki wpływ)</w:t>
            </w:r>
          </w:p>
        </w:tc>
        <w:tc>
          <w:tcPr>
            <w:tcW w:w="5670" w:type="dxa"/>
            <w:gridSpan w:val="2"/>
            <w:shd w:val="clear" w:color="auto" w:fill="auto"/>
          </w:tcPr>
          <w:p w:rsidR="0001278E" w:rsidRPr="005D1061" w:rsidRDefault="0001278E" w:rsidP="00525D08">
            <w:r w:rsidRPr="00FC2A95">
              <w:t>Wartość wskaźnika (wyrażona liczbowo) /liczba punktów</w:t>
            </w:r>
            <w:r>
              <w:t>:</w:t>
            </w:r>
          </w:p>
          <w:p w:rsidR="0001278E" w:rsidRDefault="0001278E" w:rsidP="00525D08">
            <w:pPr>
              <w:rPr>
                <w:b/>
              </w:rPr>
            </w:pPr>
            <w:r w:rsidRPr="0077470D">
              <w:rPr>
                <w:b/>
              </w:rPr>
              <w:t>&gt; 200</w:t>
            </w:r>
          </w:p>
          <w:p w:rsidR="0001278E" w:rsidRPr="00FC2A95" w:rsidRDefault="0001278E" w:rsidP="00525D08">
            <w:pPr>
              <w:rPr>
                <w:b/>
                <w:u w:val="single"/>
              </w:rPr>
            </w:pPr>
            <w:r>
              <w:rPr>
                <w:b/>
                <w:u w:val="single"/>
              </w:rPr>
              <w:t>12</w:t>
            </w:r>
            <w:r w:rsidRPr="00FC2A95">
              <w:rPr>
                <w:b/>
                <w:u w:val="single"/>
              </w:rPr>
              <w:t xml:space="preserve"> pkt</w:t>
            </w:r>
          </w:p>
        </w:tc>
        <w:tc>
          <w:tcPr>
            <w:tcW w:w="6379" w:type="dxa"/>
            <w:gridSpan w:val="2"/>
            <w:shd w:val="clear" w:color="auto" w:fill="auto"/>
          </w:tcPr>
          <w:p w:rsidR="0001278E" w:rsidRPr="005D1061" w:rsidRDefault="0001278E" w:rsidP="00525D08">
            <w:r w:rsidRPr="00FC2A95">
              <w:t>Wartość wskaźnika (wyrażona liczbowo) /liczba punktów:</w:t>
            </w:r>
          </w:p>
          <w:p w:rsidR="0001278E" w:rsidRPr="005D1061" w:rsidRDefault="0001278E" w:rsidP="00525D08">
            <w:pPr>
              <w:rPr>
                <w:b/>
              </w:rPr>
            </w:pPr>
            <w:r w:rsidRPr="005D1061">
              <w:rPr>
                <w:b/>
              </w:rPr>
              <w:t xml:space="preserve">&gt; </w:t>
            </w:r>
            <w:r>
              <w:rPr>
                <w:b/>
              </w:rPr>
              <w:t>20</w:t>
            </w:r>
            <w:r w:rsidRPr="005D1061">
              <w:rPr>
                <w:b/>
              </w:rPr>
              <w:t>0</w:t>
            </w:r>
          </w:p>
          <w:p w:rsidR="0001278E" w:rsidRPr="00FC2A95" w:rsidRDefault="0001278E" w:rsidP="00525D08">
            <w:pPr>
              <w:rPr>
                <w:b/>
                <w:u w:val="single"/>
              </w:rPr>
            </w:pPr>
            <w:r>
              <w:rPr>
                <w:b/>
                <w:u w:val="single"/>
              </w:rPr>
              <w:t>8</w:t>
            </w:r>
            <w:r w:rsidRPr="00FC2A95">
              <w:rPr>
                <w:b/>
                <w:u w:val="single"/>
              </w:rPr>
              <w:t xml:space="preserve"> pkt</w:t>
            </w:r>
          </w:p>
        </w:tc>
      </w:tr>
      <w:tr w:rsidR="0001278E" w:rsidRPr="005D1061"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2126" w:type="dxa"/>
            <w:gridSpan w:val="2"/>
            <w:shd w:val="clear" w:color="auto" w:fill="auto"/>
          </w:tcPr>
          <w:p w:rsidR="0001278E" w:rsidRPr="005D1061" w:rsidRDefault="0001278E" w:rsidP="00525D08">
            <w:r w:rsidRPr="005D1061">
              <w:t>Waga danego wskaźnika</w:t>
            </w:r>
          </w:p>
        </w:tc>
        <w:tc>
          <w:tcPr>
            <w:tcW w:w="5670" w:type="dxa"/>
            <w:gridSpan w:val="2"/>
            <w:shd w:val="clear" w:color="auto" w:fill="auto"/>
          </w:tcPr>
          <w:p w:rsidR="0001278E" w:rsidRPr="005D1061" w:rsidRDefault="0001278E" w:rsidP="00525D08">
            <w:r w:rsidRPr="005D1061">
              <w:t>Waga wskaźnika (wyrażona procentowo)</w:t>
            </w:r>
            <w:r>
              <w:t>:</w:t>
            </w:r>
            <w:r w:rsidRPr="005D1061">
              <w:t xml:space="preserve"> </w:t>
            </w:r>
          </w:p>
          <w:p w:rsidR="0001278E" w:rsidRPr="005D1061" w:rsidRDefault="0001278E" w:rsidP="00525D08">
            <w:pPr>
              <w:rPr>
                <w:b/>
              </w:rPr>
            </w:pPr>
          </w:p>
          <w:p w:rsidR="0001278E" w:rsidRPr="005D1061" w:rsidRDefault="0001278E" w:rsidP="00525D08">
            <w:r>
              <w:rPr>
                <w:b/>
              </w:rPr>
              <w:t>60</w:t>
            </w:r>
            <w:r w:rsidRPr="005D1061">
              <w:rPr>
                <w:b/>
              </w:rPr>
              <w:t>%</w:t>
            </w:r>
          </w:p>
        </w:tc>
        <w:tc>
          <w:tcPr>
            <w:tcW w:w="6379" w:type="dxa"/>
            <w:gridSpan w:val="2"/>
            <w:shd w:val="clear" w:color="auto" w:fill="auto"/>
          </w:tcPr>
          <w:p w:rsidR="0001278E" w:rsidRPr="00804AAF" w:rsidRDefault="0001278E" w:rsidP="00525D08">
            <w:r w:rsidRPr="005D1061">
              <w:t>Waga wskaźnika (wyrażona procentowo):</w:t>
            </w:r>
          </w:p>
          <w:p w:rsidR="0001278E" w:rsidRPr="005D1061" w:rsidRDefault="0001278E" w:rsidP="00525D08">
            <w:pPr>
              <w:rPr>
                <w:b/>
              </w:rPr>
            </w:pPr>
          </w:p>
          <w:p w:rsidR="0001278E" w:rsidRPr="005D1061" w:rsidRDefault="0001278E" w:rsidP="00525D08">
            <w:r>
              <w:rPr>
                <w:b/>
              </w:rPr>
              <w:t>4</w:t>
            </w:r>
            <w:r w:rsidRPr="005D1061">
              <w:rPr>
                <w:b/>
              </w:rPr>
              <w:t>0%</w:t>
            </w:r>
          </w:p>
        </w:tc>
      </w:tr>
      <w:tr w:rsidR="0001278E" w:rsidRPr="005D1061"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3"/>
        </w:trPr>
        <w:tc>
          <w:tcPr>
            <w:tcW w:w="2126" w:type="dxa"/>
            <w:gridSpan w:val="2"/>
            <w:shd w:val="clear" w:color="auto" w:fill="auto"/>
          </w:tcPr>
          <w:p w:rsidR="0001278E" w:rsidRPr="005D1061" w:rsidRDefault="0001278E" w:rsidP="00525D08">
            <w:r w:rsidRPr="005D1061">
              <w:t>Ocena:</w:t>
            </w:r>
          </w:p>
          <w:p w:rsidR="0001278E" w:rsidRPr="005D1061" w:rsidRDefault="0001278E" w:rsidP="00525D08">
            <w:r w:rsidRPr="005D1061">
              <w:t xml:space="preserve">(max </w:t>
            </w:r>
            <w:r>
              <w:t>20</w:t>
            </w:r>
            <w:r w:rsidRPr="005D1061">
              <w:t xml:space="preserve"> pkt. – 100%)</w:t>
            </w:r>
          </w:p>
          <w:p w:rsidR="0001278E" w:rsidRPr="005D1061" w:rsidRDefault="0001278E" w:rsidP="00525D08"/>
          <w:p w:rsidR="0001278E" w:rsidRPr="005D1061" w:rsidRDefault="0001278E" w:rsidP="00525D08"/>
        </w:tc>
        <w:tc>
          <w:tcPr>
            <w:tcW w:w="5670" w:type="dxa"/>
            <w:gridSpan w:val="2"/>
            <w:shd w:val="clear" w:color="auto" w:fill="auto"/>
            <w:vAlign w:val="center"/>
          </w:tcPr>
          <w:p w:rsidR="0001278E" w:rsidRPr="005D1061" w:rsidRDefault="0001278E" w:rsidP="00525D08">
            <w:pPr>
              <w:rPr>
                <w:b/>
              </w:rPr>
            </w:pPr>
            <w:r>
              <w:rPr>
                <w:b/>
              </w:rPr>
              <w:t>12  pkt</w:t>
            </w:r>
          </w:p>
        </w:tc>
        <w:tc>
          <w:tcPr>
            <w:tcW w:w="6379" w:type="dxa"/>
            <w:gridSpan w:val="2"/>
            <w:shd w:val="clear" w:color="auto" w:fill="auto"/>
            <w:vAlign w:val="center"/>
          </w:tcPr>
          <w:p w:rsidR="0001278E" w:rsidRPr="005D1061" w:rsidRDefault="0001278E" w:rsidP="00525D08">
            <w:pPr>
              <w:rPr>
                <w:b/>
              </w:rPr>
            </w:pPr>
            <w:r>
              <w:rPr>
                <w:b/>
              </w:rPr>
              <w:t xml:space="preserve"> 8 pkt</w:t>
            </w:r>
          </w:p>
        </w:tc>
      </w:tr>
      <w:tr w:rsidR="0001278E" w:rsidRPr="005D1061" w:rsidTr="0052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0"/>
        </w:trPr>
        <w:tc>
          <w:tcPr>
            <w:tcW w:w="7796" w:type="dxa"/>
            <w:gridSpan w:val="4"/>
            <w:shd w:val="clear" w:color="auto" w:fill="auto"/>
          </w:tcPr>
          <w:p w:rsidR="0001278E" w:rsidRPr="005D1061" w:rsidRDefault="0001278E" w:rsidP="00525D08">
            <w:pPr>
              <w:jc w:val="right"/>
              <w:rPr>
                <w:b/>
              </w:rPr>
            </w:pPr>
            <w:r w:rsidRPr="005D1061">
              <w:rPr>
                <w:b/>
              </w:rPr>
              <w:t>SUMA</w:t>
            </w:r>
          </w:p>
        </w:tc>
        <w:tc>
          <w:tcPr>
            <w:tcW w:w="6379" w:type="dxa"/>
            <w:gridSpan w:val="2"/>
            <w:shd w:val="clear" w:color="auto" w:fill="auto"/>
            <w:vAlign w:val="center"/>
          </w:tcPr>
          <w:p w:rsidR="0001278E" w:rsidRPr="005D1061" w:rsidRDefault="0001278E" w:rsidP="00525D08">
            <w:pPr>
              <w:rPr>
                <w:b/>
              </w:rPr>
            </w:pPr>
            <w:r>
              <w:rPr>
                <w:b/>
              </w:rPr>
              <w:t>50</w:t>
            </w:r>
            <w:r w:rsidRPr="005D1061">
              <w:rPr>
                <w:b/>
              </w:rPr>
              <w:t xml:space="preserve"> pkt</w:t>
            </w:r>
          </w:p>
        </w:tc>
      </w:tr>
    </w:tbl>
    <w:p w:rsidR="003D33C7" w:rsidRDefault="003D33C7" w:rsidP="002B235A"/>
    <w:sectPr w:rsidR="003D33C7" w:rsidSect="00856812">
      <w:headerReference w:type="default"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B3" w:rsidRDefault="00EC36B3" w:rsidP="00883846">
      <w:pPr>
        <w:spacing w:after="0" w:line="240" w:lineRule="auto"/>
      </w:pPr>
      <w:r>
        <w:separator/>
      </w:r>
    </w:p>
  </w:endnote>
  <w:endnote w:type="continuationSeparator" w:id="0">
    <w:p w:rsidR="00EC36B3" w:rsidRDefault="00EC36B3"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23095"/>
      <w:docPartObj>
        <w:docPartGallery w:val="Page Numbers (Bottom of Page)"/>
        <w:docPartUnique/>
      </w:docPartObj>
    </w:sdtPr>
    <w:sdtContent>
      <w:p w:rsidR="00413EAD" w:rsidRDefault="00413EAD">
        <w:pPr>
          <w:pStyle w:val="Stopka"/>
          <w:jc w:val="right"/>
        </w:pPr>
        <w:r>
          <w:fldChar w:fldCharType="begin"/>
        </w:r>
        <w:r>
          <w:instrText>PAGE   \* MERGEFORMAT</w:instrText>
        </w:r>
        <w:r>
          <w:fldChar w:fldCharType="separate"/>
        </w:r>
        <w:r>
          <w:rPr>
            <w:noProof/>
          </w:rPr>
          <w:t>39</w:t>
        </w:r>
        <w:r>
          <w:fldChar w:fldCharType="end"/>
        </w:r>
      </w:p>
    </w:sdtContent>
  </w:sdt>
  <w:p w:rsidR="00413EAD" w:rsidRDefault="00413E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00520"/>
      <w:docPartObj>
        <w:docPartGallery w:val="Page Numbers (Bottom of Page)"/>
        <w:docPartUnique/>
      </w:docPartObj>
    </w:sdtPr>
    <w:sdtEndPr/>
    <w:sdtContent>
      <w:p w:rsidR="00856812" w:rsidRDefault="00856812">
        <w:pPr>
          <w:pStyle w:val="Stopka"/>
          <w:jc w:val="right"/>
        </w:pPr>
        <w:r>
          <w:fldChar w:fldCharType="begin"/>
        </w:r>
        <w:r>
          <w:instrText>PAGE   \* MERGEFORMAT</w:instrText>
        </w:r>
        <w:r>
          <w:fldChar w:fldCharType="separate"/>
        </w:r>
        <w:r w:rsidR="00413EAD">
          <w:rPr>
            <w:noProof/>
          </w:rPr>
          <w:t>1</w:t>
        </w:r>
        <w:r>
          <w:fldChar w:fldCharType="end"/>
        </w:r>
      </w:p>
    </w:sdtContent>
  </w:sdt>
  <w:p w:rsidR="00856812" w:rsidRDefault="008568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B3" w:rsidRDefault="00EC36B3" w:rsidP="00883846">
      <w:pPr>
        <w:spacing w:after="0" w:line="240" w:lineRule="auto"/>
      </w:pPr>
      <w:r>
        <w:separator/>
      </w:r>
    </w:p>
  </w:footnote>
  <w:footnote w:type="continuationSeparator" w:id="0">
    <w:p w:rsidR="00EC36B3" w:rsidRDefault="00EC36B3" w:rsidP="00883846">
      <w:pPr>
        <w:spacing w:after="0" w:line="240" w:lineRule="auto"/>
      </w:pPr>
      <w:r>
        <w:continuationSeparator/>
      </w:r>
    </w:p>
  </w:footnote>
  <w:footnote w:id="1">
    <w:p w:rsidR="004260E9" w:rsidRPr="00DF6365" w:rsidRDefault="004260E9"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260E9" w:rsidRPr="00DF6365" w:rsidRDefault="004260E9"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4260E9" w:rsidRPr="00DF6365" w:rsidRDefault="004260E9"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260E9" w:rsidRPr="00DF6365" w:rsidRDefault="004260E9"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2547D" w:rsidRPr="00DF6365" w:rsidRDefault="0082547D"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82547D" w:rsidRPr="00653CF5" w:rsidRDefault="0082547D" w:rsidP="00B357E1">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82547D" w:rsidRPr="00653CF5" w:rsidRDefault="0082547D"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82547D" w:rsidRPr="00383E64" w:rsidRDefault="0082547D" w:rsidP="00B357E1">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12" w:rsidRDefault="00856812" w:rsidP="00856812">
    <w:pPr>
      <w:pStyle w:val="Nagwek"/>
      <w:tabs>
        <w:tab w:val="left" w:pos="2160"/>
      </w:tabs>
      <w:spacing w:before="120" w:after="120"/>
      <w:rPr>
        <w:sz w:val="20"/>
      </w:rPr>
    </w:pPr>
    <w:r>
      <w:rPr>
        <w:sz w:val="20"/>
      </w:rPr>
      <w:tab/>
    </w:r>
    <w:r>
      <w:rPr>
        <w:sz w:val="20"/>
      </w:rPr>
      <w:tab/>
    </w:r>
    <w:r>
      <w:rPr>
        <w:sz w:val="20"/>
      </w:rPr>
      <w:tab/>
    </w:r>
  </w:p>
  <w:p w:rsidR="00856812" w:rsidRDefault="00856812" w:rsidP="00856812">
    <w:pPr>
      <w:pStyle w:val="Nagwek"/>
      <w:spacing w:before="120" w:after="120"/>
      <w:jc w:val="center"/>
      <w:rPr>
        <w:sz w:val="20"/>
      </w:rPr>
    </w:pPr>
  </w:p>
  <w:p w:rsidR="00856812" w:rsidRPr="00C0278F" w:rsidRDefault="00856812" w:rsidP="00856812">
    <w:pPr>
      <w:pStyle w:val="Nagwek"/>
      <w:spacing w:before="120" w:after="120"/>
      <w:jc w:val="right"/>
      <w:rPr>
        <w:sz w:val="20"/>
      </w:rPr>
    </w:pPr>
    <w:r w:rsidRPr="00C0278F">
      <w:rPr>
        <w:sz w:val="20"/>
      </w:rPr>
      <w:t xml:space="preserve">Załącznik  nr </w:t>
    </w:r>
    <w:r>
      <w:rPr>
        <w:sz w:val="20"/>
      </w:rPr>
      <w:t>1</w:t>
    </w:r>
    <w:r w:rsidRPr="00C0278F">
      <w:rPr>
        <w:sz w:val="20"/>
      </w:rPr>
      <w:t xml:space="preserve"> do Regulaminu konkursu </w:t>
    </w:r>
  </w:p>
  <w:p w:rsidR="00856812" w:rsidRDefault="00856812" w:rsidP="00856812">
    <w:pPr>
      <w:jc w:val="right"/>
    </w:pPr>
    <w:r w:rsidRPr="00C0278F">
      <w:rPr>
        <w:sz w:val="20"/>
      </w:rPr>
      <w:t>Nr n</w:t>
    </w:r>
    <w:r>
      <w:rPr>
        <w:sz w:val="20"/>
      </w:rPr>
      <w:t>aboru RPDS.07.02.01-IZ.00-02-078/16</w:t>
    </w:r>
  </w:p>
  <w:p w:rsidR="00856812" w:rsidRDefault="00856812" w:rsidP="002D38FF">
    <w:pPr>
      <w:pStyle w:val="Nagwek"/>
      <w:spacing w:before="120" w:after="120"/>
      <w:jc w:val="right"/>
      <w:rPr>
        <w:sz w:val="20"/>
      </w:rPr>
    </w:pPr>
  </w:p>
  <w:p w:rsidR="00856812" w:rsidRDefault="00856812" w:rsidP="002D38FF">
    <w:pPr>
      <w:pStyle w:val="Nagwek"/>
      <w:spacing w:before="120" w:after="120"/>
      <w:jc w:val="right"/>
      <w:rPr>
        <w:sz w:val="20"/>
      </w:rPr>
    </w:pPr>
  </w:p>
  <w:p w:rsidR="0082547D" w:rsidRDefault="008254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12" w:rsidRDefault="00856812" w:rsidP="00856812">
    <w:pPr>
      <w:pStyle w:val="Nagwek"/>
      <w:spacing w:before="120" w:after="120"/>
      <w:jc w:val="center"/>
      <w:rPr>
        <w:sz w:val="20"/>
      </w:rPr>
    </w:pPr>
    <w:r>
      <w:rPr>
        <w:noProof/>
        <w:lang w:eastAsia="pl-PL"/>
      </w:rPr>
      <w:drawing>
        <wp:inline distT="0" distB="0" distL="0" distR="0" wp14:anchorId="0740CA4A" wp14:editId="5B9D325A">
          <wp:extent cx="5761355" cy="993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856812" w:rsidRPr="00C0278F" w:rsidRDefault="00856812" w:rsidP="00856812">
    <w:pPr>
      <w:pStyle w:val="Nagwek"/>
      <w:spacing w:before="120" w:after="120"/>
      <w:jc w:val="right"/>
      <w:rPr>
        <w:sz w:val="20"/>
      </w:rPr>
    </w:pPr>
    <w:r w:rsidRPr="00856812">
      <w:rPr>
        <w:sz w:val="20"/>
      </w:rPr>
      <w:t xml:space="preserve"> </w:t>
    </w:r>
    <w:r w:rsidRPr="00C0278F">
      <w:rPr>
        <w:sz w:val="20"/>
      </w:rPr>
      <w:t xml:space="preserve">Załącznik  nr </w:t>
    </w:r>
    <w:r>
      <w:rPr>
        <w:sz w:val="20"/>
      </w:rPr>
      <w:t>1</w:t>
    </w:r>
    <w:r w:rsidRPr="00C0278F">
      <w:rPr>
        <w:sz w:val="20"/>
      </w:rPr>
      <w:t xml:space="preserve"> do Regulaminu konkursu </w:t>
    </w:r>
  </w:p>
  <w:p w:rsidR="00856812" w:rsidRDefault="00856812" w:rsidP="00856812">
    <w:pPr>
      <w:jc w:val="right"/>
    </w:pPr>
    <w:r w:rsidRPr="00C0278F">
      <w:rPr>
        <w:sz w:val="20"/>
      </w:rPr>
      <w:t>Nr n</w:t>
    </w:r>
    <w:r>
      <w:rPr>
        <w:sz w:val="20"/>
      </w:rPr>
      <w:t>aboru RPDS.07.02.01-IZ.00-02-078/16</w:t>
    </w:r>
  </w:p>
  <w:p w:rsidR="00856812" w:rsidRDefault="00856812" w:rsidP="0085681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9"/>
  </w:num>
  <w:num w:numId="5">
    <w:abstractNumId w:val="23"/>
  </w:num>
  <w:num w:numId="6">
    <w:abstractNumId w:val="2"/>
  </w:num>
  <w:num w:numId="7">
    <w:abstractNumId w:val="12"/>
  </w:num>
  <w:num w:numId="8">
    <w:abstractNumId w:val="7"/>
  </w:num>
  <w:num w:numId="9">
    <w:abstractNumId w:val="36"/>
  </w:num>
  <w:num w:numId="10">
    <w:abstractNumId w:val="13"/>
  </w:num>
  <w:num w:numId="11">
    <w:abstractNumId w:val="30"/>
  </w:num>
  <w:num w:numId="12">
    <w:abstractNumId w:val="22"/>
  </w:num>
  <w:num w:numId="13">
    <w:abstractNumId w:val="25"/>
  </w:num>
  <w:num w:numId="14">
    <w:abstractNumId w:val="3"/>
  </w:num>
  <w:num w:numId="15">
    <w:abstractNumId w:val="29"/>
  </w:num>
  <w:num w:numId="16">
    <w:abstractNumId w:val="20"/>
  </w:num>
  <w:num w:numId="17">
    <w:abstractNumId w:val="33"/>
  </w:num>
  <w:num w:numId="18">
    <w:abstractNumId w:val="40"/>
  </w:num>
  <w:num w:numId="19">
    <w:abstractNumId w:val="4"/>
  </w:num>
  <w:num w:numId="20">
    <w:abstractNumId w:val="11"/>
  </w:num>
  <w:num w:numId="21">
    <w:abstractNumId w:val="14"/>
  </w:num>
  <w:num w:numId="22">
    <w:abstractNumId w:val="21"/>
  </w:num>
  <w:num w:numId="23">
    <w:abstractNumId w:val="10"/>
  </w:num>
  <w:num w:numId="24">
    <w:abstractNumId w:val="34"/>
  </w:num>
  <w:num w:numId="25">
    <w:abstractNumId w:val="31"/>
  </w:num>
  <w:num w:numId="26">
    <w:abstractNumId w:val="28"/>
  </w:num>
  <w:num w:numId="27">
    <w:abstractNumId w:val="15"/>
  </w:num>
  <w:num w:numId="28">
    <w:abstractNumId w:val="6"/>
  </w:num>
  <w:num w:numId="29">
    <w:abstractNumId w:val="8"/>
  </w:num>
  <w:num w:numId="30">
    <w:abstractNumId w:val="5"/>
  </w:num>
  <w:num w:numId="31">
    <w:abstractNumId w:val="38"/>
  </w:num>
  <w:num w:numId="32">
    <w:abstractNumId w:val="37"/>
  </w:num>
  <w:num w:numId="33">
    <w:abstractNumId w:val="16"/>
  </w:num>
  <w:num w:numId="34">
    <w:abstractNumId w:val="32"/>
  </w:num>
  <w:num w:numId="35">
    <w:abstractNumId w:val="41"/>
  </w:num>
  <w:num w:numId="36">
    <w:abstractNumId w:val="39"/>
  </w:num>
  <w:num w:numId="37">
    <w:abstractNumId w:val="18"/>
  </w:num>
  <w:num w:numId="38">
    <w:abstractNumId w:val="24"/>
  </w:num>
  <w:num w:numId="39">
    <w:abstractNumId w:val="27"/>
  </w:num>
  <w:num w:numId="40">
    <w:abstractNumId w:val="35"/>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1D0C"/>
    <w:rsid w:val="0001278E"/>
    <w:rsid w:val="000306CC"/>
    <w:rsid w:val="00132F97"/>
    <w:rsid w:val="001929ED"/>
    <w:rsid w:val="00210567"/>
    <w:rsid w:val="002777ED"/>
    <w:rsid w:val="00281D54"/>
    <w:rsid w:val="002A233C"/>
    <w:rsid w:val="002B235A"/>
    <w:rsid w:val="002D38FF"/>
    <w:rsid w:val="002F1045"/>
    <w:rsid w:val="003246C8"/>
    <w:rsid w:val="00335E6F"/>
    <w:rsid w:val="003362E7"/>
    <w:rsid w:val="003636A7"/>
    <w:rsid w:val="00383310"/>
    <w:rsid w:val="003B7AEE"/>
    <w:rsid w:val="003D33C7"/>
    <w:rsid w:val="003D577E"/>
    <w:rsid w:val="003F3EFD"/>
    <w:rsid w:val="00413EAD"/>
    <w:rsid w:val="004260E9"/>
    <w:rsid w:val="004342D9"/>
    <w:rsid w:val="00462A50"/>
    <w:rsid w:val="004B44A7"/>
    <w:rsid w:val="004F5079"/>
    <w:rsid w:val="00526678"/>
    <w:rsid w:val="00541D0C"/>
    <w:rsid w:val="005719D6"/>
    <w:rsid w:val="00581EED"/>
    <w:rsid w:val="005F0E2E"/>
    <w:rsid w:val="006B1E7A"/>
    <w:rsid w:val="006D694B"/>
    <w:rsid w:val="0072317E"/>
    <w:rsid w:val="00780278"/>
    <w:rsid w:val="007C012C"/>
    <w:rsid w:val="0082547D"/>
    <w:rsid w:val="00841F9C"/>
    <w:rsid w:val="00856812"/>
    <w:rsid w:val="00883846"/>
    <w:rsid w:val="00A26CAC"/>
    <w:rsid w:val="00A5374E"/>
    <w:rsid w:val="00A8492C"/>
    <w:rsid w:val="00AB157B"/>
    <w:rsid w:val="00AC6D68"/>
    <w:rsid w:val="00AF7028"/>
    <w:rsid w:val="00B357E1"/>
    <w:rsid w:val="00B47AAA"/>
    <w:rsid w:val="00B66F18"/>
    <w:rsid w:val="00BB1DB5"/>
    <w:rsid w:val="00BC6FC5"/>
    <w:rsid w:val="00BF08F0"/>
    <w:rsid w:val="00C32A8F"/>
    <w:rsid w:val="00D15CD0"/>
    <w:rsid w:val="00D24F63"/>
    <w:rsid w:val="00D63419"/>
    <w:rsid w:val="00D64C12"/>
    <w:rsid w:val="00EC36B3"/>
    <w:rsid w:val="00F03EB5"/>
    <w:rsid w:val="00F334E2"/>
    <w:rsid w:val="00F5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E2E"/>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0306CC"/>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0306CC"/>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CEE4-F425-4C02-86DD-AB3B4B46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6667</Words>
  <Characters>40008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Bożena Pencakowska</cp:lastModifiedBy>
  <cp:revision>6</cp:revision>
  <cp:lastPrinted>2016-02-22T09:43:00Z</cp:lastPrinted>
  <dcterms:created xsi:type="dcterms:W3CDTF">2016-02-18T05:24:00Z</dcterms:created>
  <dcterms:modified xsi:type="dcterms:W3CDTF">2016-02-22T09:43:00Z</dcterms:modified>
</cp:coreProperties>
</file>