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bookmarkStart w:id="0" w:name="_GoBack"/>
      <w:bookmarkEnd w:id="0"/>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Default="00E1750F" w:rsidP="00E1750F">
      <w:pPr>
        <w:pStyle w:val="Gwka"/>
        <w:spacing w:before="120" w:line="240" w:lineRule="auto"/>
        <w:ind w:left="4963"/>
        <w:rPr>
          <w:sz w:val="24"/>
          <w:szCs w:val="24"/>
        </w:rPr>
      </w:pPr>
      <w:r>
        <w:rPr>
          <w:sz w:val="24"/>
          <w:szCs w:val="24"/>
        </w:rPr>
        <w:t xml:space="preserve">                                                                         </w:t>
      </w:r>
      <w:r w:rsidR="004A4DDF">
        <w:rPr>
          <w:sz w:val="24"/>
          <w:szCs w:val="24"/>
        </w:rPr>
        <w:t xml:space="preserve">                  Załącznik nr       </w:t>
      </w:r>
      <w:r>
        <w:rPr>
          <w:sz w:val="24"/>
          <w:szCs w:val="24"/>
        </w:rPr>
        <w:t xml:space="preserve"> do Uchwa</w:t>
      </w:r>
      <w:r w:rsidR="004A4DDF">
        <w:rPr>
          <w:sz w:val="24"/>
          <w:szCs w:val="24"/>
        </w:rPr>
        <w:t xml:space="preserve">ły nr </w:t>
      </w:r>
      <w:r>
        <w:rPr>
          <w:sz w:val="24"/>
          <w:szCs w:val="24"/>
        </w:rPr>
        <w:t xml:space="preserve">  </w:t>
      </w:r>
      <w:r w:rsidR="004A4DDF">
        <w:rPr>
          <w:sz w:val="24"/>
          <w:szCs w:val="24"/>
        </w:rPr>
        <w:t xml:space="preserve">            </w:t>
      </w:r>
      <w:r>
        <w:rPr>
          <w:sz w:val="24"/>
          <w:szCs w:val="24"/>
        </w:rPr>
        <w:t xml:space="preserve">                                        </w:t>
      </w:r>
      <w:r>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B5C08">
      <w:pPr>
        <w:pStyle w:val="Nagwek"/>
        <w:spacing w:before="120" w:after="120"/>
        <w:rPr>
          <w:rFonts w:cs="Arial"/>
          <w:b/>
          <w:sz w:val="32"/>
          <w:szCs w:val="32"/>
        </w:rPr>
      </w:pPr>
    </w:p>
    <w:p w:rsidR="00634898" w:rsidRPr="00634898" w:rsidRDefault="00634898" w:rsidP="00634898">
      <w:pPr>
        <w:pStyle w:val="Nagwek"/>
        <w:spacing w:before="120" w:after="120"/>
        <w:jc w:val="center"/>
        <w:rPr>
          <w:rFonts w:cs="Arial"/>
          <w:b/>
          <w:sz w:val="32"/>
          <w:szCs w:val="32"/>
          <w:u w:val="single"/>
        </w:rPr>
      </w:pPr>
      <w:bookmarkStart w:id="1" w:name="_Toc422949625"/>
      <w:bookmarkStart w:id="2" w:name="_Toc430826812"/>
      <w:r w:rsidRPr="00634898">
        <w:rPr>
          <w:rFonts w:cs="Arial"/>
          <w:b/>
          <w:sz w:val="32"/>
          <w:szCs w:val="32"/>
          <w:u w:val="single"/>
        </w:rPr>
        <w:t>Działanie 7.1 Inwestycje w edukację przedszkolną, podstawową i gimnazjalną</w:t>
      </w:r>
    </w:p>
    <w:p w:rsidR="00E873C4" w:rsidRPr="00FF1529" w:rsidRDefault="00634898" w:rsidP="00634898">
      <w:pPr>
        <w:pStyle w:val="Nagwek"/>
        <w:spacing w:before="120" w:after="120"/>
        <w:jc w:val="center"/>
        <w:rPr>
          <w:rFonts w:cs="Arial"/>
          <w:b/>
          <w:sz w:val="32"/>
          <w:szCs w:val="32"/>
          <w:u w:val="single"/>
        </w:rPr>
      </w:pPr>
      <w:r w:rsidRPr="00FF1529">
        <w:rPr>
          <w:rFonts w:cs="Arial"/>
          <w:b/>
          <w:sz w:val="32"/>
          <w:szCs w:val="32"/>
          <w:u w:val="single"/>
        </w:rPr>
        <w:t xml:space="preserve">Poddziałanie 7.1.1 Inwestycje w edukację przedszkolną, podstawową i gimnazjalną </w:t>
      </w:r>
      <w:r w:rsidR="00863524" w:rsidRPr="00FF1529">
        <w:rPr>
          <w:rFonts w:cs="Arial"/>
          <w:b/>
          <w:sz w:val="32"/>
          <w:szCs w:val="32"/>
          <w:u w:val="single"/>
        </w:rPr>
        <w:t xml:space="preserve">– </w:t>
      </w:r>
      <w:r w:rsidR="00FF1529" w:rsidRPr="00FF1529">
        <w:rPr>
          <w:rFonts w:cs="Arial"/>
          <w:b/>
          <w:sz w:val="32"/>
          <w:szCs w:val="32"/>
          <w:u w:val="single"/>
        </w:rPr>
        <w:t xml:space="preserve">konkursy horyzontalne – nabór na OSI </w:t>
      </w:r>
    </w:p>
    <w:p w:rsidR="006754E3" w:rsidRPr="006754E3" w:rsidRDefault="006754E3" w:rsidP="00480411">
      <w:pPr>
        <w:pStyle w:val="Nagwek"/>
        <w:spacing w:before="120" w:after="120"/>
        <w:jc w:val="center"/>
        <w:rPr>
          <w:rFonts w:cs="Arial"/>
          <w:b/>
          <w:sz w:val="24"/>
          <w:szCs w:val="24"/>
        </w:rPr>
      </w:pPr>
    </w:p>
    <w:bookmarkEnd w:id="1"/>
    <w:bookmarkEnd w:id="2"/>
    <w:p w:rsidR="006754E3" w:rsidRPr="006754E3" w:rsidRDefault="00634898" w:rsidP="006754E3">
      <w:pPr>
        <w:tabs>
          <w:tab w:val="left" w:pos="2835"/>
        </w:tabs>
        <w:spacing w:line="240" w:lineRule="auto"/>
        <w:jc w:val="center"/>
        <w:rPr>
          <w:b/>
          <w:u w:val="single"/>
        </w:rPr>
      </w:pPr>
      <w:r w:rsidRPr="00634898">
        <w:rPr>
          <w:b/>
          <w:sz w:val="28"/>
          <w:szCs w:val="28"/>
          <w:u w:val="single"/>
        </w:rPr>
        <w:t>(Infrastruktura szkół podstawowych i gimnazjalnych)</w:t>
      </w: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E1750F">
        <w:rPr>
          <w:b/>
          <w:sz w:val="28"/>
          <w:szCs w:val="28"/>
        </w:rPr>
        <w:t>RPDS.07.0</w:t>
      </w:r>
      <w:r w:rsidR="00D626E0">
        <w:rPr>
          <w:b/>
          <w:sz w:val="28"/>
          <w:szCs w:val="28"/>
        </w:rPr>
        <w:t>1</w:t>
      </w:r>
      <w:r w:rsidR="00634898">
        <w:rPr>
          <w:b/>
          <w:sz w:val="28"/>
          <w:szCs w:val="28"/>
        </w:rPr>
        <w:t>.01-IZ.00-02-073</w:t>
      </w:r>
      <w:r w:rsidR="009A0630">
        <w:rPr>
          <w:b/>
          <w:sz w:val="28"/>
          <w:szCs w:val="28"/>
        </w:rPr>
        <w:t>/16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r w:rsidR="00925D7D">
        <w:rPr>
          <w:sz w:val="28"/>
          <w:szCs w:val="28"/>
        </w:rPr>
        <w:t xml:space="preserve">styczeń </w:t>
      </w:r>
      <w:r w:rsidR="009A0630">
        <w:rPr>
          <w:sz w:val="28"/>
          <w:szCs w:val="28"/>
        </w:rPr>
        <w:t>201</w:t>
      </w:r>
      <w:r w:rsidR="00925D7D">
        <w:rPr>
          <w:sz w:val="28"/>
          <w:szCs w:val="28"/>
        </w:rPr>
        <w:t>7</w:t>
      </w:r>
    </w:p>
    <w:p w:rsidR="00480411" w:rsidRDefault="00480411" w:rsidP="00921011">
      <w:pPr>
        <w:spacing w:line="240" w:lineRule="auto"/>
        <w:ind w:right="1"/>
        <w:rPr>
          <w:b/>
          <w:bCs/>
        </w:rPr>
      </w:pPr>
    </w:p>
    <w:p w:rsidR="00634898" w:rsidRDefault="00634898" w:rsidP="00921011">
      <w:pPr>
        <w:spacing w:line="240" w:lineRule="auto"/>
        <w:ind w:right="1"/>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r w:rsidRPr="00761383">
              <w:rPr>
                <w:rFonts w:ascii="Calibri" w:hAnsi="Calibri" w:cs="Calibri"/>
                <w:color w:val="000000"/>
              </w:rPr>
              <w:t xml:space="preserve">Uooś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w:t>
            </w:r>
            <w:r w:rsidRPr="00761383">
              <w:rPr>
                <w:rFonts w:ascii="Calibri" w:hAnsi="Calibri" w:cs="Calibri"/>
                <w:color w:val="000000"/>
              </w:rPr>
              <w:lastRenderedPageBreak/>
              <w:t xml:space="preserve">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975ED7">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Oś priorytetowa 7 Infrast</w:t>
            </w:r>
            <w:r w:rsidR="00F7423C">
              <w:rPr>
                <w:rFonts w:cs="Arial"/>
              </w:rPr>
              <w:t xml:space="preserve">ruktura edukacyjna </w:t>
            </w:r>
            <w:r w:rsidR="00975ED7" w:rsidRPr="00975ED7">
              <w:rPr>
                <w:rFonts w:cs="Arial"/>
              </w:rPr>
              <w:t>Działanie 7.1 Inwestycje w edukację przedsz</w:t>
            </w:r>
            <w:r w:rsidR="00975ED7">
              <w:rPr>
                <w:rFonts w:cs="Arial"/>
              </w:rPr>
              <w:t xml:space="preserve">kolną, podstawową i gimnazjalną </w:t>
            </w:r>
            <w:r w:rsidR="00975ED7" w:rsidRPr="00975ED7">
              <w:rPr>
                <w:rFonts w:cs="Arial"/>
              </w:rPr>
              <w:t>Poddziałanie 7.1.1 Inwestycje w edukację przedszkolną, podstawową i gimnazjalną</w:t>
            </w:r>
            <w:r w:rsidR="00F7423C">
              <w:rPr>
                <w:rFonts w:cs="Arial"/>
              </w:rPr>
              <w:t xml:space="preserve"> </w:t>
            </w:r>
            <w:r w:rsidR="00BA161C" w:rsidRPr="00BA161C">
              <w:rPr>
                <w:rFonts w:cs="Arial"/>
              </w:rPr>
              <w:t xml:space="preserve">– OSI </w:t>
            </w:r>
          </w:p>
          <w:p w:rsidR="00984533" w:rsidRPr="007F7945" w:rsidRDefault="00984533" w:rsidP="00480411">
            <w:pPr>
              <w:pStyle w:val="Nagwek"/>
              <w:spacing w:before="120" w:after="120"/>
              <w:jc w:val="both"/>
              <w:rPr>
                <w:rFonts w:cs="Arial"/>
                <w:b/>
                <w:u w:val="single"/>
              </w:rPr>
            </w:pPr>
            <w:r w:rsidRPr="007F7945">
              <w:rPr>
                <w:rFonts w:cs="Calibri"/>
                <w:b/>
                <w:color w:val="000000"/>
                <w:u w:val="single"/>
              </w:rPr>
              <w:t>Nabór w trybie konkursowym - ukierunkowany na Obszary Strategicznej Interwencji:</w:t>
            </w:r>
          </w:p>
          <w:p w:rsidR="00984533" w:rsidRPr="007F7945" w:rsidRDefault="00984533" w:rsidP="00480411">
            <w:pPr>
              <w:pStyle w:val="Nagwek"/>
              <w:numPr>
                <w:ilvl w:val="0"/>
                <w:numId w:val="14"/>
              </w:numPr>
              <w:spacing w:before="120" w:after="120"/>
              <w:jc w:val="both"/>
              <w:rPr>
                <w:rFonts w:cs="Arial"/>
              </w:rPr>
            </w:pPr>
            <w:r w:rsidRPr="007F7945">
              <w:t>Zachodni Obszar Interwencji</w:t>
            </w:r>
            <w:r w:rsidRPr="007F7945">
              <w:rPr>
                <w:rStyle w:val="Odwoanieprzypisudolnego"/>
              </w:rPr>
              <w:footnoteReference w:id="1"/>
            </w:r>
            <w:r w:rsidRPr="007F7945">
              <w:rPr>
                <w:rFonts w:cs="Calibri"/>
                <w:color w:val="000000"/>
              </w:rPr>
              <w:t xml:space="preserve"> (ZOI);</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b/>
                <w:color w:val="000000"/>
                <w:szCs w:val="22"/>
              </w:rPr>
            </w:pPr>
            <w:r w:rsidRPr="007F7945">
              <w:rPr>
                <w:rFonts w:asciiTheme="minorHAnsi" w:hAnsiTheme="minorHAnsi"/>
                <w:szCs w:val="22"/>
              </w:rPr>
              <w:t>Legnicko-Głogowski Obszar Interwencji</w:t>
            </w:r>
            <w:r w:rsidRPr="007F7945">
              <w:rPr>
                <w:rStyle w:val="Odwoanieprzypisudolnego"/>
                <w:rFonts w:asciiTheme="minorHAnsi" w:hAnsiTheme="minorHAnsi"/>
                <w:szCs w:val="22"/>
              </w:rPr>
              <w:footnoteReference w:id="2"/>
            </w:r>
            <w:r w:rsidRPr="007F7945">
              <w:rPr>
                <w:rFonts w:asciiTheme="minorHAnsi" w:hAnsiTheme="minorHAnsi"/>
                <w:szCs w:val="22"/>
              </w:rPr>
              <w:t xml:space="preserve"> (</w:t>
            </w:r>
            <w:r w:rsidRPr="007F7945">
              <w:rPr>
                <w:rFonts w:asciiTheme="minorHAnsi" w:hAnsiTheme="minorHAnsi" w:cs="Calibri"/>
                <w:color w:val="000000"/>
                <w:szCs w:val="22"/>
              </w:rPr>
              <w:t>LGOI)</w:t>
            </w:r>
            <w:r w:rsidRPr="007F7945">
              <w:rPr>
                <w:rFonts w:asciiTheme="minorHAnsi" w:hAnsiTheme="minorHAnsi" w:cs="Calibri"/>
                <w:b/>
                <w:color w:val="000000"/>
                <w:szCs w:val="22"/>
              </w:rPr>
              <w:t>;</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Doliny Baryczy</w:t>
            </w:r>
            <w:r w:rsidRPr="007F7945">
              <w:rPr>
                <w:rStyle w:val="Odwoanieprzypisudolnego"/>
                <w:rFonts w:asciiTheme="minorHAnsi" w:hAnsiTheme="minorHAnsi"/>
                <w:szCs w:val="22"/>
              </w:rPr>
              <w:footnoteReference w:id="3"/>
            </w:r>
            <w:r w:rsidRPr="007F7945">
              <w:rPr>
                <w:rFonts w:asciiTheme="minorHAnsi" w:hAnsiTheme="minorHAnsi"/>
                <w:szCs w:val="22"/>
              </w:rPr>
              <w:t xml:space="preserve"> (</w:t>
            </w:r>
            <w:r w:rsidRPr="007F7945">
              <w:rPr>
                <w:rFonts w:asciiTheme="minorHAnsi" w:hAnsiTheme="minorHAnsi" w:cs="Calibri"/>
                <w:color w:val="000000"/>
                <w:szCs w:val="22"/>
              </w:rPr>
              <w:t>OIDB);</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Równiny Wrocławskiej</w:t>
            </w:r>
            <w:r w:rsidRPr="007F7945">
              <w:rPr>
                <w:rStyle w:val="Odwoanieprzypisudolnego"/>
                <w:rFonts w:asciiTheme="minorHAnsi" w:hAnsiTheme="minorHAnsi"/>
                <w:szCs w:val="22"/>
              </w:rPr>
              <w:footnoteReference w:id="4"/>
            </w:r>
            <w:r w:rsidRPr="007F7945">
              <w:rPr>
                <w:rFonts w:asciiTheme="minorHAnsi" w:hAnsiTheme="minorHAnsi"/>
                <w:szCs w:val="22"/>
              </w:rPr>
              <w:t xml:space="preserve"> (</w:t>
            </w:r>
            <w:r w:rsidRPr="007F7945">
              <w:rPr>
                <w:rFonts w:asciiTheme="minorHAnsi" w:hAnsiTheme="minorHAnsi" w:cs="Calibri"/>
                <w:color w:val="000000"/>
                <w:szCs w:val="22"/>
              </w:rPr>
              <w:t>OIRW);</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Ziemia Dzierżoniowsko-Kłodzko-Ząbkowicka</w:t>
            </w:r>
            <w:r w:rsidRPr="007F7945">
              <w:rPr>
                <w:rStyle w:val="Odwoanieprzypisudolnego"/>
                <w:rFonts w:asciiTheme="minorHAnsi" w:hAnsiTheme="minorHAnsi"/>
                <w:szCs w:val="22"/>
              </w:rPr>
              <w:footnoteReference w:id="5"/>
            </w:r>
            <w:r w:rsidRPr="007F7945">
              <w:rPr>
                <w:rFonts w:asciiTheme="minorHAnsi" w:hAnsiTheme="minorHAnsi"/>
                <w:szCs w:val="22"/>
              </w:rPr>
              <w:t xml:space="preserve"> (</w:t>
            </w:r>
            <w:r w:rsidRPr="007F7945">
              <w:rPr>
                <w:rFonts w:asciiTheme="minorHAnsi" w:hAnsiTheme="minorHAnsi" w:cs="Calibri"/>
                <w:color w:val="000000"/>
                <w:szCs w:val="22"/>
              </w:rPr>
              <w:t>ZKD);</w:t>
            </w:r>
          </w:p>
          <w:p w:rsidR="00984533" w:rsidRDefault="00984533" w:rsidP="00480411">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7F7945" w:rsidRDefault="00984533" w:rsidP="00480411">
            <w:pPr>
              <w:autoSpaceDE w:val="0"/>
              <w:autoSpaceDN w:val="0"/>
              <w:adjustRightInd w:val="0"/>
              <w:spacing w:before="120" w:after="120" w:line="240" w:lineRule="auto"/>
              <w:jc w:val="both"/>
              <w:rPr>
                <w:rFonts w:cs="Arial"/>
              </w:rPr>
            </w:pPr>
            <w:r w:rsidRPr="00E25638">
              <w:rPr>
                <w:rFonts w:cs="Arial"/>
              </w:rPr>
              <w:t xml:space="preserve">W ramach naboru aplikować mogą </w:t>
            </w:r>
            <w:r w:rsidR="00FF1826" w:rsidRPr="00E25638">
              <w:rPr>
                <w:rFonts w:cs="Arial"/>
              </w:rPr>
              <w:t>wnioskodawcy</w:t>
            </w:r>
            <w:r w:rsidRPr="00E25638">
              <w:rPr>
                <w:rFonts w:cs="Arial"/>
              </w:rPr>
              <w:t xml:space="preserve">, których </w:t>
            </w:r>
            <w:r w:rsidR="00DD0818" w:rsidRPr="00E25638">
              <w:rPr>
                <w:rFonts w:cs="Arial"/>
              </w:rPr>
              <w:t>projekty</w:t>
            </w:r>
            <w:r w:rsidRPr="00E25638">
              <w:rPr>
                <w:rFonts w:cs="Arial"/>
              </w:rPr>
              <w:t xml:space="preserve"> zlokalizowane są </w:t>
            </w:r>
            <w:r w:rsidR="009D3B9B" w:rsidRPr="00E25638">
              <w:rPr>
                <w:rFonts w:cs="Arial"/>
              </w:rPr>
              <w:t xml:space="preserve">w całości </w:t>
            </w:r>
            <w:r w:rsidRPr="00E25638">
              <w:rPr>
                <w:rFonts w:cs="Arial"/>
              </w:rPr>
              <w:t>na obszarze danego OSI.</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oraz </w:t>
            </w:r>
            <w:hyperlink r:id="rId11" w:history="1">
              <w:r w:rsidRPr="00805E31">
                <w:rPr>
                  <w:rStyle w:val="Hipercze"/>
                  <w:rFonts w:cs="Calibri"/>
                </w:rPr>
                <w:t>www.funduszeeuropejskie.gov.pl</w:t>
              </w:r>
            </w:hyperlink>
            <w:r w:rsidRPr="00805E31">
              <w:rPr>
                <w:rFonts w:cs="Arial"/>
              </w:rPr>
              <w:t xml:space="preserve">. </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80411">
            <w:pPr>
              <w:autoSpaceDE w:val="0"/>
              <w:autoSpaceDN w:val="0"/>
              <w:adjustRightInd w:val="0"/>
              <w:spacing w:before="120" w:after="120" w:line="240" w:lineRule="auto"/>
              <w:jc w:val="both"/>
              <w:rPr>
                <w:rFonts w:cs="Calibri"/>
              </w:rPr>
            </w:pPr>
            <w:bookmarkStart w:id="6" w:name="_Toc425494884"/>
            <w:bookmarkEnd w:id="6"/>
            <w:r w:rsidRPr="00805E31">
              <w:rPr>
                <w:rFonts w:cs="Calibri"/>
              </w:rPr>
              <w:t>W kwestiach nieuregulowanych niniejszym regulaminem konkursu, zastosowanie mają odpowiednie przepisy prawa polskiego i Unii Europejskiej.</w:t>
            </w:r>
          </w:p>
          <w:p w:rsidR="00FB53DA" w:rsidRPr="00393818" w:rsidRDefault="00FB53DA" w:rsidP="00480411">
            <w:pPr>
              <w:spacing w:before="100" w:beforeAutospacing="1" w:after="100" w:afterAutospacing="1"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80411">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480411">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w sprawie stosowania art. 107 i 108 Traktatu o funkcjonowaniu Unii Europejskiej do pomocy de minimis;</w:t>
            </w:r>
          </w:p>
          <w:p w:rsidR="003864E8" w:rsidRPr="003864E8" w:rsidRDefault="003864E8" w:rsidP="003864E8">
            <w:pPr>
              <w:pStyle w:val="Akapitzlist"/>
              <w:numPr>
                <w:ilvl w:val="0"/>
                <w:numId w:val="12"/>
              </w:numPr>
              <w:rPr>
                <w:rFonts w:asciiTheme="minorHAnsi" w:eastAsiaTheme="minorHAnsi" w:hAnsiTheme="minorHAnsi" w:cs="Calibri"/>
                <w:color w:val="000000"/>
                <w:szCs w:val="22"/>
                <w:lang w:eastAsia="en-US"/>
              </w:rPr>
            </w:pPr>
            <w:r w:rsidRPr="003864E8">
              <w:rPr>
                <w:rFonts w:asciiTheme="minorHAnsi" w:eastAsiaTheme="minorHAnsi" w:hAnsiTheme="minorHAnsi" w:cs="Calibri"/>
                <w:color w:val="000000"/>
                <w:szCs w:val="22"/>
                <w:lang w:eastAsia="en-US"/>
              </w:rPr>
              <w:t>Rozporządzenie Ministra Infrastruktury i Rozwoju z dnia 19 marca 2015 r. w sprawie udzielania pomocy de minimis w ramach regionalnych programów operacyjnych na lata 2014–2020;</w:t>
            </w:r>
          </w:p>
          <w:p w:rsidR="00761383" w:rsidRDefault="00761383" w:rsidP="00761383">
            <w:pPr>
              <w:pStyle w:val="Akapitzlist"/>
              <w:numPr>
                <w:ilvl w:val="0"/>
                <w:numId w:val="12"/>
              </w:numPr>
              <w:spacing w:before="120" w:after="120" w:line="240" w:lineRule="auto"/>
              <w:jc w:val="both"/>
              <w:rPr>
                <w:rFonts w:asciiTheme="minorHAnsi" w:hAnsiTheme="minorHAnsi"/>
                <w:bCs/>
                <w:color w:val="000000"/>
              </w:rPr>
            </w:pPr>
            <w:r w:rsidRPr="000D322C">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2009 r. o finansach publicznych (Dz. U. z 2013 r. poz. 885,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14 czerwca 1960 r. Kodeks postępowania administracyjnego (Dz. U. z 2013 r. poz. 267,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późn.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sierpnia 2002 r. – Prawo o postępowaniu przed sądami administracyjnymi (Dz. U. z 2012 r. poz. 270, z późn.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Dz. U z 2014 r. poz. 1146, z późn.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(t.j. Dz. U. z 2011 r. Nr 177, poz. 1054 z późn.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Szczegółowy opis osi priorytetowych Regionalnego Programu Operacyjnego Województwa</w:t>
            </w:r>
            <w:r w:rsidR="006600E9">
              <w:rPr>
                <w:rFonts w:asciiTheme="minorHAnsi" w:eastAsiaTheme="minorHAnsi" w:hAnsiTheme="minorHAnsi" w:cs="Calibri"/>
                <w:color w:val="000000"/>
                <w:szCs w:val="22"/>
                <w:lang w:eastAsia="en-US"/>
              </w:rPr>
              <w:t xml:space="preserve"> Dolnośląskiego 2014-2020 z dnia 22 lutego 2016 r.</w:t>
            </w:r>
            <w:r w:rsidRPr="00B61F6F">
              <w:rPr>
                <w:rFonts w:asciiTheme="minorHAnsi" w:eastAsiaTheme="minorHAnsi" w:hAnsiTheme="minorHAnsi" w:cs="Calibri"/>
                <w:color w:val="000000"/>
                <w:szCs w:val="22"/>
                <w:lang w:eastAsia="en-US"/>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E92452" w:rsidRPr="004A4DDF" w:rsidRDefault="00FD6EC7" w:rsidP="004A4DDF">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Przedmiotem konkursu są następujące typy projektów określone dla działania 7.1 Inwestycje w edukację przedszkolną, podstawową i gimnazjalną (Infrastruktura szkół podstawowych i gimnazjalnych - Edukacja szkolna zwłaszcza w zakresie zajęć matematyczno-przyrodniczych i cyfrowych): </w:t>
            </w:r>
          </w:p>
          <w:p w:rsidR="005F2D8C" w:rsidRPr="005F2D8C" w:rsidRDefault="005F2D8C" w:rsidP="005F2D8C">
            <w:pPr>
              <w:autoSpaceDE w:val="0"/>
              <w:autoSpaceDN w:val="0"/>
              <w:adjustRightInd w:val="0"/>
              <w:spacing w:after="0" w:line="240" w:lineRule="auto"/>
              <w:jc w:val="both"/>
              <w:rPr>
                <w:rFonts w:cs="Calibri"/>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b/>
                <w:color w:val="000000"/>
              </w:rPr>
              <w:t>7.1.C</w:t>
            </w:r>
            <w:r w:rsidRPr="005F2D8C">
              <w:rPr>
                <w:rFonts w:cs="Calibri"/>
                <w:color w:val="000000"/>
              </w:rPr>
              <w:t xml:space="preserve"> Przedsięwzięcia prowadzące bezpośrednio do poprawy warunków nauczania zwłaszcza w zakresie zajęć matematyczno-przyrodniczych i cyfrowych realizowane poprzez przebudowę, rozbudowę</w:t>
            </w:r>
            <w:r w:rsidR="00EA15E1">
              <w:rPr>
                <w:rStyle w:val="Odwoanieprzypisudolnego"/>
                <w:rFonts w:cs="Calibri"/>
                <w:color w:val="000000"/>
              </w:rPr>
              <w:footnoteReference w:id="6"/>
            </w:r>
            <w:r w:rsidRPr="005F2D8C">
              <w:rPr>
                <w:rFonts w:cs="Calibri"/>
                <w:color w:val="000000"/>
              </w:rPr>
              <w:t xml:space="preserve">, adaptację lub budowę (w tym także zakup wyposażenia) szkół i placówek. </w:t>
            </w:r>
          </w:p>
          <w:p w:rsidR="005F2D8C" w:rsidRPr="005F2D8C" w:rsidRDefault="005F2D8C" w:rsidP="005F2D8C">
            <w:pPr>
              <w:autoSpaceDE w:val="0"/>
              <w:autoSpaceDN w:val="0"/>
              <w:adjustRightInd w:val="0"/>
              <w:spacing w:after="0" w:line="240" w:lineRule="auto"/>
              <w:jc w:val="both"/>
              <w:rPr>
                <w:rFonts w:cs="Calibri"/>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Budowa nowej infrastruktury edukacji ogólnej (szkół) będzie możliwa tylko w wyjątkowych sytuacjach, gdy przebudowa, rozbudowa lub adaptacja istniejących budynków jest niemożliwa lub jest nieuzasadniona ekonomicznie. Interwencja w zakresie budowy nowej infrastruktury edukacji ogólnej musi uwzględniać trendy demograficzne zachodzące na danym obszarze oraz efektywność kosztową. </w:t>
            </w:r>
          </w:p>
          <w:p w:rsidR="005F2D8C" w:rsidRPr="005F2D8C" w:rsidRDefault="005F2D8C" w:rsidP="005F2D8C">
            <w:pPr>
              <w:autoSpaceDE w:val="0"/>
              <w:autoSpaceDN w:val="0"/>
              <w:adjustRightInd w:val="0"/>
              <w:spacing w:after="0" w:line="240" w:lineRule="auto"/>
              <w:jc w:val="both"/>
              <w:rPr>
                <w:rFonts w:cs="Calibri"/>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b/>
                <w:color w:val="000000"/>
              </w:rPr>
              <w:t>7.1.D</w:t>
            </w:r>
            <w:r w:rsidRPr="005F2D8C">
              <w:rPr>
                <w:rFonts w:cs="Calibri"/>
                <w:color w:val="000000"/>
              </w:rPr>
              <w:t xml:space="preserve"> Przedsięwzięcia z zakresu wyposażenia w nowoczesny sprzęt i materiały dydaktyczne pracowni, zwłaszcza matematyczno-przyrodniczych i cyfrowych. </w:t>
            </w:r>
          </w:p>
          <w:p w:rsidR="005F2D8C" w:rsidRPr="005F2D8C" w:rsidRDefault="005F2D8C" w:rsidP="005F2D8C">
            <w:pPr>
              <w:autoSpaceDE w:val="0"/>
              <w:autoSpaceDN w:val="0"/>
              <w:adjustRightInd w:val="0"/>
              <w:spacing w:after="0" w:line="240" w:lineRule="auto"/>
              <w:jc w:val="both"/>
              <w:rPr>
                <w:rFonts w:cs="Calibri"/>
                <w:color w:val="000000"/>
              </w:rPr>
            </w:pPr>
          </w:p>
          <w:p w:rsidR="005F2D8C" w:rsidRDefault="005F2D8C" w:rsidP="005F2D8C">
            <w:pPr>
              <w:autoSpaceDE w:val="0"/>
              <w:autoSpaceDN w:val="0"/>
              <w:adjustRightInd w:val="0"/>
              <w:spacing w:after="0" w:line="240" w:lineRule="auto"/>
              <w:jc w:val="both"/>
              <w:rPr>
                <w:rFonts w:cs="Calibri"/>
                <w:color w:val="000000"/>
              </w:rPr>
            </w:pPr>
            <w:r w:rsidRPr="005F2D8C">
              <w:rPr>
                <w:rFonts w:cs="Calibri"/>
                <w:b/>
                <w:color w:val="000000"/>
              </w:rPr>
              <w:t>7.1.E</w:t>
            </w:r>
            <w:r w:rsidRPr="005F2D8C">
              <w:rPr>
                <w:rFonts w:cs="Calibri"/>
                <w:color w:val="000000"/>
              </w:rPr>
              <w:t xml:space="preserve"> Przedsięwzięcia z zakresu wyposażenia w sprzęt specjalistyczny i pomoce dydaktyczne do wspomagania rozwoju uczniów ze specjalnymi potrzebami edukacyjnymi, np. uczniów niepełnosprawnych, uczniów szczególnie uzdolnionych w szkołach podstawowych i gimnazjalnych. </w:t>
            </w:r>
          </w:p>
          <w:p w:rsidR="004A4DDF" w:rsidRDefault="004A4DDF" w:rsidP="005F2D8C">
            <w:pPr>
              <w:autoSpaceDE w:val="0"/>
              <w:autoSpaceDN w:val="0"/>
              <w:adjustRightInd w:val="0"/>
              <w:spacing w:after="0" w:line="240" w:lineRule="auto"/>
              <w:jc w:val="both"/>
              <w:rPr>
                <w:rFonts w:cs="Calibri"/>
                <w:color w:val="000000"/>
              </w:rPr>
            </w:pPr>
          </w:p>
          <w:p w:rsidR="004A4DDF" w:rsidRPr="007D3AFA" w:rsidRDefault="004A4DDF" w:rsidP="004A4DDF">
            <w:pPr>
              <w:spacing w:before="30" w:after="30" w:line="240" w:lineRule="auto"/>
              <w:contextualSpacing/>
              <w:jc w:val="both"/>
              <w:rPr>
                <w:b/>
                <w:u w:val="single"/>
              </w:rPr>
            </w:pPr>
            <w:r w:rsidRPr="007D3AFA">
              <w:rPr>
                <w:b/>
                <w:u w:val="single"/>
              </w:rPr>
              <w:t>Standard wyposaż</w:t>
            </w:r>
            <w:r>
              <w:rPr>
                <w:b/>
                <w:u w:val="single"/>
              </w:rPr>
              <w:t xml:space="preserve">enia szkolnych pracowni stanowi załącznik nr 3 do </w:t>
            </w:r>
            <w:r w:rsidRPr="007D3AFA">
              <w:rPr>
                <w:b/>
                <w:u w:val="single"/>
              </w:rPr>
              <w:t>Regulaminu.</w:t>
            </w:r>
          </w:p>
          <w:p w:rsidR="005F2D8C" w:rsidRPr="005F2D8C" w:rsidRDefault="005F2D8C" w:rsidP="005F2D8C">
            <w:pPr>
              <w:autoSpaceDE w:val="0"/>
              <w:autoSpaceDN w:val="0"/>
              <w:adjustRightInd w:val="0"/>
              <w:spacing w:after="0" w:line="240" w:lineRule="auto"/>
              <w:jc w:val="both"/>
              <w:rPr>
                <w:rFonts w:cs="Calibri"/>
                <w:color w:val="000000"/>
              </w:rPr>
            </w:pPr>
          </w:p>
          <w:p w:rsid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Możliwe jest łączenie ww. typów projektów – o wyborze typu decyduje struktura wydatków kwalifikowalnych (ich większościowy udział). </w:t>
            </w:r>
          </w:p>
          <w:p w:rsidR="004925E8" w:rsidRPr="005F2D8C" w:rsidRDefault="004925E8" w:rsidP="005F2D8C">
            <w:pPr>
              <w:autoSpaceDE w:val="0"/>
              <w:autoSpaceDN w:val="0"/>
              <w:adjustRightInd w:val="0"/>
              <w:spacing w:after="0" w:line="240" w:lineRule="auto"/>
              <w:jc w:val="both"/>
              <w:rPr>
                <w:rFonts w:cs="Calibri"/>
                <w:color w:val="000000"/>
              </w:rPr>
            </w:pPr>
          </w:p>
          <w:p w:rsidR="004925E8" w:rsidRPr="005F2D8C" w:rsidRDefault="004925E8" w:rsidP="004925E8">
            <w:pPr>
              <w:autoSpaceDE w:val="0"/>
              <w:autoSpaceDN w:val="0"/>
              <w:adjustRightInd w:val="0"/>
              <w:spacing w:after="0" w:line="240" w:lineRule="auto"/>
              <w:jc w:val="both"/>
              <w:rPr>
                <w:rFonts w:cs="Calibri"/>
                <w:color w:val="000000"/>
              </w:rPr>
            </w:pPr>
          </w:p>
          <w:p w:rsidR="00EA15E1" w:rsidRDefault="005F2D8C" w:rsidP="005F2D8C">
            <w:pPr>
              <w:autoSpaceDE w:val="0"/>
              <w:autoSpaceDN w:val="0"/>
              <w:adjustRightInd w:val="0"/>
              <w:spacing w:after="0" w:line="240" w:lineRule="auto"/>
              <w:jc w:val="both"/>
              <w:rPr>
                <w:rFonts w:cs="Calibri"/>
                <w:color w:val="000000"/>
              </w:rPr>
            </w:pPr>
            <w:r w:rsidRPr="005F2D8C">
              <w:rPr>
                <w:rFonts w:cs="Calibri"/>
                <w:color w:val="000000"/>
              </w:rPr>
              <w:t>Aby projekt mógł być realizowany, pr</w:t>
            </w:r>
            <w:r w:rsidR="00D22FEE">
              <w:rPr>
                <w:rFonts w:cs="Calibri"/>
                <w:color w:val="000000"/>
              </w:rPr>
              <w:t>ojektodawca musi wskazać</w:t>
            </w:r>
            <w:r w:rsidR="00EA15E1">
              <w:rPr>
                <w:rFonts w:cs="Calibri"/>
                <w:color w:val="000000"/>
              </w:rPr>
              <w:t>:</w:t>
            </w:r>
          </w:p>
          <w:p w:rsidR="005F2D8C" w:rsidRDefault="00EA15E1" w:rsidP="005F2D8C">
            <w:pPr>
              <w:autoSpaceDE w:val="0"/>
              <w:autoSpaceDN w:val="0"/>
              <w:adjustRightInd w:val="0"/>
              <w:spacing w:after="0" w:line="240" w:lineRule="auto"/>
              <w:jc w:val="both"/>
              <w:rPr>
                <w:rFonts w:cs="Calibri"/>
                <w:color w:val="000000"/>
              </w:rPr>
            </w:pPr>
            <w:r>
              <w:rPr>
                <w:rFonts w:cs="Calibri"/>
                <w:color w:val="000000"/>
              </w:rPr>
              <w:t xml:space="preserve">- </w:t>
            </w:r>
            <w:r w:rsidR="00D22FEE">
              <w:rPr>
                <w:rFonts w:cs="Calibri"/>
                <w:color w:val="000000"/>
              </w:rPr>
              <w:t>wizję</w:t>
            </w:r>
            <w:r>
              <w:rPr>
                <w:rFonts w:cs="Calibri"/>
                <w:color w:val="000000"/>
              </w:rPr>
              <w:t xml:space="preserve"> </w:t>
            </w:r>
            <w:r w:rsidR="005F2D8C" w:rsidRPr="005F2D8C">
              <w:rPr>
                <w:rFonts w:cs="Calibri"/>
                <w:color w:val="000000"/>
              </w:rPr>
              <w:t>i kompleksowy plan wykorzystania wspartej w wyniku realizacji projektu infrastruktury i/ lub zakupionego wyposażenia (konieczność uwzględnienia kwestii demograficznych, analizy ekonomicznej inwes</w:t>
            </w:r>
            <w:r>
              <w:rPr>
                <w:rFonts w:cs="Calibri"/>
                <w:color w:val="000000"/>
              </w:rPr>
              <w:t>tycji po zakończeniu projektu);</w:t>
            </w:r>
          </w:p>
          <w:p w:rsidR="00EA15E1" w:rsidRDefault="00EA15E1" w:rsidP="00EA15E1">
            <w:pPr>
              <w:pStyle w:val="Default"/>
              <w:jc w:val="both"/>
            </w:pPr>
            <w:r>
              <w:rPr>
                <w:rFonts w:asciiTheme="minorHAnsi" w:hAnsiTheme="minorHAnsi"/>
                <w:sz w:val="22"/>
                <w:szCs w:val="22"/>
              </w:rPr>
              <w:t xml:space="preserve">- że </w:t>
            </w:r>
            <w:r>
              <w:t>projekt przyczynia się do osiągnięcia celów RPO WD finansowanych ze środków EFS;</w:t>
            </w:r>
          </w:p>
          <w:p w:rsidR="00EA15E1" w:rsidRPr="0042119F" w:rsidRDefault="00EA15E1" w:rsidP="00EA15E1">
            <w:pPr>
              <w:pStyle w:val="Default"/>
              <w:jc w:val="both"/>
              <w:rPr>
                <w:rFonts w:asciiTheme="minorHAnsi" w:hAnsiTheme="minorHAnsi"/>
                <w:sz w:val="22"/>
                <w:szCs w:val="22"/>
              </w:rPr>
            </w:pPr>
            <w:r>
              <w:t xml:space="preserve">- że konieczność </w:t>
            </w:r>
            <w:r w:rsidRPr="00922F92">
              <w:t>wydatkowania środków została potwierdzona analizą potrzeb</w:t>
            </w:r>
            <w:r w:rsidRPr="00D51C74">
              <w:t xml:space="preserve"> </w:t>
            </w:r>
            <w:r w:rsidRPr="00922F92">
              <w:t>szkoły objętej projektem</w:t>
            </w:r>
            <w:r>
              <w:t>.</w:t>
            </w:r>
          </w:p>
          <w:p w:rsidR="005F2D8C" w:rsidRPr="005F2D8C" w:rsidRDefault="005F2D8C" w:rsidP="005F2D8C">
            <w:pPr>
              <w:autoSpaceDE w:val="0"/>
              <w:autoSpaceDN w:val="0"/>
              <w:adjustRightInd w:val="0"/>
              <w:spacing w:after="0" w:line="240" w:lineRule="auto"/>
              <w:jc w:val="both"/>
              <w:rPr>
                <w:rFonts w:cs="Calibri"/>
                <w:color w:val="000000"/>
              </w:rPr>
            </w:pPr>
          </w:p>
          <w:p w:rsid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Wszystkie przedsięwzięcia związane z poprawą warunków kształcenia będą uwzględniać konieczność dostosowaniem infrastruktury i wyposażenia do potrzeb osób z niepełnosprawnościami (jako obowiązkowy element projektu).</w:t>
            </w:r>
          </w:p>
          <w:p w:rsidR="004925E8" w:rsidRPr="005F2D8C" w:rsidRDefault="004925E8" w:rsidP="005F2D8C">
            <w:pPr>
              <w:autoSpaceDE w:val="0"/>
              <w:autoSpaceDN w:val="0"/>
              <w:adjustRightInd w:val="0"/>
              <w:spacing w:after="0" w:line="240" w:lineRule="auto"/>
              <w:jc w:val="both"/>
              <w:rPr>
                <w:rFonts w:cs="Calibri"/>
                <w:color w:val="000000"/>
              </w:rPr>
            </w:pPr>
          </w:p>
          <w:p w:rsidR="005F2D8C" w:rsidRDefault="004925E8" w:rsidP="005F2D8C">
            <w:pPr>
              <w:autoSpaceDE w:val="0"/>
              <w:autoSpaceDN w:val="0"/>
              <w:adjustRightInd w:val="0"/>
              <w:spacing w:after="0" w:line="240" w:lineRule="auto"/>
              <w:jc w:val="both"/>
              <w:rPr>
                <w:rFonts w:cs="Calibri"/>
                <w:color w:val="000000"/>
              </w:rPr>
            </w:pPr>
            <w:r w:rsidRPr="004925E8">
              <w:rPr>
                <w:rFonts w:cs="Calibri"/>
                <w:color w:val="000000"/>
              </w:rPr>
              <w:t>Możliwe są działania poprawiające efektywność energetyczną, analogiczne do działania 3.3 RPO WD „Efektywność energetyczna w budynkach użyteczności publicznej i sektorze mieszkaniowym” (schematy 3.3 A i 3.3 B). Wartość takich inwestycji nie może przekraczać 49% wartości  wydatków kwalifikowalnych na pojedynczy budynek w projekcie.</w:t>
            </w:r>
          </w:p>
          <w:p w:rsidR="004925E8" w:rsidRPr="005F2D8C" w:rsidRDefault="004925E8" w:rsidP="005F2D8C">
            <w:pPr>
              <w:autoSpaceDE w:val="0"/>
              <w:autoSpaceDN w:val="0"/>
              <w:adjustRightInd w:val="0"/>
              <w:spacing w:after="0" w:line="240" w:lineRule="auto"/>
              <w:jc w:val="both"/>
              <w:rPr>
                <w:rFonts w:cs="Calibri"/>
                <w:color w:val="000000"/>
              </w:rPr>
            </w:pPr>
          </w:p>
          <w:p w:rsidR="005F2D8C" w:rsidRDefault="005F2D8C" w:rsidP="005F2D8C">
            <w:pPr>
              <w:autoSpaceDE w:val="0"/>
              <w:autoSpaceDN w:val="0"/>
              <w:adjustRightInd w:val="0"/>
              <w:spacing w:after="0" w:line="240" w:lineRule="auto"/>
              <w:jc w:val="both"/>
              <w:rPr>
                <w:rFonts w:cs="Calibri"/>
                <w:b/>
                <w:color w:val="000000"/>
              </w:rPr>
            </w:pPr>
            <w:r w:rsidRPr="00D22FEE">
              <w:rPr>
                <w:rFonts w:cs="Calibri"/>
                <w:b/>
                <w:color w:val="000000"/>
              </w:rPr>
              <w:t>Preferowane będą projekty:</w:t>
            </w:r>
          </w:p>
          <w:p w:rsidR="00D22FEE" w:rsidRPr="00D22FEE" w:rsidRDefault="00D22FEE" w:rsidP="005F2D8C">
            <w:pPr>
              <w:autoSpaceDE w:val="0"/>
              <w:autoSpaceDN w:val="0"/>
              <w:adjustRightInd w:val="0"/>
              <w:spacing w:after="0" w:line="240" w:lineRule="auto"/>
              <w:jc w:val="both"/>
              <w:rPr>
                <w:rFonts w:cs="Calibri"/>
                <w:b/>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dostosowujące szkoły do pracy z uczniem o specjalnych potrzebach edukacyjnych;</w:t>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zapewniające rozwój infrastruktury w zakresie nauk matematyczno-przyrodniczych i cyfrowych (wyposażenie pracowni);</w:t>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komplementarne z przedsięwzięciami realizowanymi w obszarze edukacji współfinansowanymi z EFS;</w:t>
            </w:r>
          </w:p>
          <w:p w:rsid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realizowane na obszarach wiejskich.</w:t>
            </w:r>
          </w:p>
          <w:p w:rsidR="00D22FEE" w:rsidRPr="005F2D8C" w:rsidRDefault="00D22FEE" w:rsidP="005F2D8C">
            <w:pPr>
              <w:autoSpaceDE w:val="0"/>
              <w:autoSpaceDN w:val="0"/>
              <w:adjustRightInd w:val="0"/>
              <w:spacing w:after="0" w:line="240" w:lineRule="auto"/>
              <w:jc w:val="both"/>
              <w:rPr>
                <w:rFonts w:cs="Calibri"/>
                <w:color w:val="000000"/>
              </w:rPr>
            </w:pPr>
          </w:p>
          <w:p w:rsidR="005F2D8C" w:rsidRPr="00D22FEE" w:rsidRDefault="005F2D8C" w:rsidP="005F2D8C">
            <w:pPr>
              <w:autoSpaceDE w:val="0"/>
              <w:autoSpaceDN w:val="0"/>
              <w:adjustRightInd w:val="0"/>
              <w:spacing w:after="0" w:line="240" w:lineRule="auto"/>
              <w:jc w:val="both"/>
              <w:rPr>
                <w:rFonts w:cs="Calibri"/>
                <w:b/>
                <w:color w:val="000000"/>
              </w:rPr>
            </w:pPr>
            <w:r w:rsidRPr="00D22FEE">
              <w:rPr>
                <w:rFonts w:cs="Calibri"/>
                <w:b/>
                <w:color w:val="000000"/>
              </w:rPr>
              <w:t>Nie będą finansowane:</w:t>
            </w:r>
          </w:p>
          <w:p w:rsidR="005F2D8C" w:rsidRPr="005F2D8C" w:rsidRDefault="005F2D8C" w:rsidP="005F2D8C">
            <w:pPr>
              <w:autoSpaceDE w:val="0"/>
              <w:autoSpaceDN w:val="0"/>
              <w:adjustRightInd w:val="0"/>
              <w:spacing w:after="0" w:line="240" w:lineRule="auto"/>
              <w:jc w:val="both"/>
              <w:rPr>
                <w:rFonts w:cs="Calibri"/>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 Wydatki związane z termomodernizacją przekraczające 49% wartości całkowitych wydatków kwalifikowalnych na pojedynczy budynek w projekcie. </w:t>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 Wydatki związane z zakupem placów zabaw przekraczające 49% wartości całkowitych wydatków kwalifikowalnych projektu. </w:t>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-Koszt</w:t>
            </w:r>
            <w:r w:rsidR="00103E92">
              <w:rPr>
                <w:rFonts w:cs="Calibri"/>
                <w:color w:val="000000"/>
              </w:rPr>
              <w:t>y zagospodarowania terenu</w:t>
            </w:r>
            <w:r w:rsidR="00103E92">
              <w:rPr>
                <w:rStyle w:val="Odwoanieprzypisudolnego"/>
                <w:rFonts w:cs="Calibri"/>
                <w:color w:val="000000"/>
              </w:rPr>
              <w:footnoteReference w:id="7"/>
            </w:r>
            <w:r w:rsidR="00103E92">
              <w:rPr>
                <w:rFonts w:cs="Calibri"/>
                <w:color w:val="000000"/>
              </w:rPr>
              <w:t xml:space="preserve"> wokół</w:t>
            </w:r>
            <w:r w:rsidRPr="005F2D8C">
              <w:rPr>
                <w:rFonts w:cs="Calibri"/>
                <w:color w:val="000000"/>
              </w:rPr>
              <w:t xml:space="preserve"> szkół i placówek oraz budowy dróg dojazdowych, wewnętrznych i parkingów. </w:t>
            </w:r>
          </w:p>
          <w:p w:rsidR="00EA15E1" w:rsidRDefault="005F2D8C" w:rsidP="005F2D8C">
            <w:pPr>
              <w:autoSpaceDE w:val="0"/>
              <w:autoSpaceDN w:val="0"/>
              <w:adjustRightInd w:val="0"/>
              <w:spacing w:after="0" w:line="240" w:lineRule="auto"/>
              <w:jc w:val="both"/>
              <w:rPr>
                <w:rFonts w:cs="Calibri"/>
                <w:color w:val="000000"/>
              </w:rPr>
            </w:pPr>
            <w:r w:rsidRPr="005F2D8C">
              <w:rPr>
                <w:rFonts w:cs="Calibri"/>
                <w:color w:val="000000"/>
              </w:rPr>
              <w:t>- Wydatki na infrastrukturę przedszkolną w przypadk</w:t>
            </w:r>
            <w:r w:rsidR="00D22FEE">
              <w:rPr>
                <w:rFonts w:cs="Calibri"/>
                <w:color w:val="000000"/>
              </w:rPr>
              <w:t>u naborów skierowanych do szkół</w:t>
            </w:r>
            <w:r w:rsidR="00D22FEE">
              <w:rPr>
                <w:rStyle w:val="Odwoanieprzypisudolnego"/>
                <w:rFonts w:cs="Calibri"/>
                <w:color w:val="000000"/>
              </w:rPr>
              <w:footnoteReference w:id="8"/>
            </w:r>
            <w:r w:rsidRPr="005F2D8C">
              <w:rPr>
                <w:rFonts w:cs="Calibri"/>
                <w:color w:val="000000"/>
              </w:rPr>
              <w:t xml:space="preserve">. </w:t>
            </w:r>
          </w:p>
          <w:p w:rsidR="005F2D8C" w:rsidRPr="0068758B" w:rsidRDefault="00EA15E1" w:rsidP="0068758B">
            <w:pPr>
              <w:pStyle w:val="Default"/>
              <w:spacing w:after="80"/>
              <w:jc w:val="both"/>
              <w:rPr>
                <w:rFonts w:asciiTheme="minorHAnsi" w:hAnsiTheme="minorHAnsi"/>
                <w:sz w:val="22"/>
                <w:szCs w:val="22"/>
              </w:rPr>
            </w:pPr>
            <w:r>
              <w:t>-</w:t>
            </w:r>
            <w:r>
              <w:rPr>
                <w:rFonts w:asciiTheme="minorHAnsi" w:hAnsiTheme="minorHAnsi"/>
                <w:sz w:val="22"/>
                <w:szCs w:val="22"/>
              </w:rPr>
              <w:t xml:space="preserve"> Wydatki na infrastrukturę szkół ponadgimnazjalnych</w:t>
            </w:r>
            <w:r>
              <w:rPr>
                <w:rStyle w:val="Odwoanieprzypisudolnego"/>
                <w:rFonts w:asciiTheme="minorHAnsi" w:hAnsiTheme="minorHAnsi"/>
                <w:sz w:val="22"/>
                <w:szCs w:val="22"/>
              </w:rPr>
              <w:footnoteReference w:id="9"/>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 Wydatki na zakup używanych środków trwałych. </w:t>
            </w:r>
          </w:p>
          <w:p w:rsidR="005F2D8C" w:rsidRPr="005F2D8C" w:rsidRDefault="005F2D8C" w:rsidP="005F2D8C">
            <w:pPr>
              <w:autoSpaceDE w:val="0"/>
              <w:autoSpaceDN w:val="0"/>
              <w:adjustRightInd w:val="0"/>
              <w:spacing w:after="0" w:line="240" w:lineRule="auto"/>
              <w:jc w:val="both"/>
              <w:rPr>
                <w:rFonts w:cs="Calibri"/>
                <w:color w:val="000000"/>
              </w:rPr>
            </w:pPr>
          </w:p>
          <w:p w:rsidR="00FA03C1" w:rsidRDefault="00FA03C1" w:rsidP="00480411">
            <w:pPr>
              <w:spacing w:after="0" w:line="240" w:lineRule="auto"/>
              <w:jc w:val="both"/>
              <w:rPr>
                <w:rFonts w:cs="Arial"/>
              </w:rPr>
            </w:pPr>
          </w:p>
          <w:p w:rsidR="003846E2" w:rsidRPr="00B0157C" w:rsidRDefault="00B40499" w:rsidP="00B0157C">
            <w:pPr>
              <w:autoSpaceDE w:val="0"/>
              <w:autoSpaceDN w:val="0"/>
              <w:adjustRightInd w:val="0"/>
              <w:spacing w:line="240" w:lineRule="auto"/>
              <w:jc w:val="both"/>
              <w:rPr>
                <w:rFonts w:cs="Arial"/>
                <w:b/>
              </w:rPr>
            </w:pPr>
            <w:r>
              <w:rPr>
                <w:b/>
                <w:bCs/>
              </w:rPr>
              <w:t>Wnioskodawca po wskazaniu ww. typ</w:t>
            </w:r>
            <w:r>
              <w:rPr>
                <w:b/>
                <w:bCs/>
                <w:color w:val="1F497D"/>
              </w:rPr>
              <w:t>ów</w:t>
            </w:r>
            <w:r>
              <w:rPr>
                <w:b/>
                <w:bCs/>
              </w:rPr>
              <w:t xml:space="preserve"> projektów zobligowany jest wybrać odpowiedni Obszar Strategicznej Interwencji, który go dotyczy.</w:t>
            </w:r>
          </w:p>
          <w:p w:rsidR="002368A3" w:rsidRPr="00FA03C1" w:rsidRDefault="002368A3" w:rsidP="00D26B32">
            <w:pPr>
              <w:spacing w:after="0" w:line="240" w:lineRule="auto"/>
              <w:jc w:val="both"/>
              <w:rPr>
                <w:rFonts w:eastAsia="Times New Roman" w:cs="Arial"/>
                <w:lang w:eastAsia="pl-PL"/>
              </w:rPr>
            </w:pPr>
            <w:r w:rsidRPr="000337E9">
              <w:rPr>
                <w:shd w:val="clear" w:color="auto" w:fill="FFFFFF" w:themeFill="background1"/>
              </w:rPr>
              <w:t>Kategorią interwencji</w:t>
            </w:r>
            <w:r w:rsidR="00EC0DC4" w:rsidRPr="000337E9">
              <w:rPr>
                <w:shd w:val="clear" w:color="auto" w:fill="FFFFFF" w:themeFill="background1"/>
              </w:rPr>
              <w:t xml:space="preserve"> (zakres</w:t>
            </w:r>
            <w:r w:rsidR="0028267C" w:rsidRPr="000337E9">
              <w:rPr>
                <w:shd w:val="clear" w:color="auto" w:fill="FFFFFF" w:themeFill="background1"/>
              </w:rPr>
              <w:t>em</w:t>
            </w:r>
            <w:r w:rsidR="00EC0DC4" w:rsidRPr="000337E9">
              <w:rPr>
                <w:shd w:val="clear" w:color="auto" w:fill="FFFFFF" w:themeFill="background1"/>
              </w:rPr>
              <w:t xml:space="preserve"> interwencji</w:t>
            </w:r>
            <w:r w:rsidR="0028267C" w:rsidRPr="000337E9">
              <w:rPr>
                <w:shd w:val="clear" w:color="auto" w:fill="FFFFFF" w:themeFill="background1"/>
              </w:rPr>
              <w:t xml:space="preserve"> dominującym</w:t>
            </w:r>
            <w:r w:rsidR="00EC0DC4" w:rsidRPr="000337E9">
              <w:rPr>
                <w:shd w:val="clear" w:color="auto" w:fill="FFFFFF" w:themeFill="background1"/>
              </w:rPr>
              <w:t>)</w:t>
            </w:r>
            <w:r w:rsidRPr="000337E9">
              <w:rPr>
                <w:shd w:val="clear" w:color="auto" w:fill="FFFFFF" w:themeFill="background1"/>
              </w:rPr>
              <w:t xml:space="preserve"> dla niniejszego konkursu jest kategoria </w:t>
            </w:r>
            <w:r w:rsidR="00656F36" w:rsidRPr="000337E9">
              <w:rPr>
                <w:rFonts w:cs="EUAlbertina"/>
                <w:color w:val="000000"/>
                <w:shd w:val="clear" w:color="auto" w:fill="FFFFFF" w:themeFill="background1"/>
              </w:rPr>
              <w:t>051</w:t>
            </w:r>
            <w:r w:rsidR="00EC6F8D" w:rsidRPr="000337E9">
              <w:rPr>
                <w:rFonts w:cs="EUAlbertina"/>
                <w:color w:val="000000"/>
                <w:shd w:val="clear" w:color="auto" w:fill="FFFFFF" w:themeFill="background1"/>
              </w:rPr>
              <w:t xml:space="preserve"> I</w:t>
            </w:r>
            <w:r w:rsidR="009B5AE6" w:rsidRPr="000337E9">
              <w:rPr>
                <w:rFonts w:eastAsia="Times New Roman" w:cs="Arial"/>
                <w:shd w:val="clear" w:color="auto" w:fill="FFFFFF" w:themeFill="background1"/>
                <w:lang w:eastAsia="pl-PL"/>
              </w:rPr>
              <w:t>nfrastruktura edukacyjna na potrzeby edukacji szkolnej (na poziomie podstawowym i średnim ogólnokształcącym)</w:t>
            </w:r>
            <w:r w:rsidR="00FA120E" w:rsidRPr="000337E9">
              <w:rPr>
                <w:rFonts w:eastAsia="Times New Roman" w:cs="Arial"/>
                <w:shd w:val="clear" w:color="auto" w:fill="FFFFFF" w:themeFill="background1"/>
                <w:lang w:eastAsia="pl-PL"/>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7A3277">
              <w:rPr>
                <w:rFonts w:cs="Calibri"/>
                <w:color w:val="000000"/>
              </w:rPr>
              <w:t xml:space="preserve">następujące typy beneficjentów </w:t>
            </w:r>
            <w:r w:rsidR="007A3277">
              <w:rPr>
                <w:rFonts w:eastAsia="TTE1ABE920t00" w:cs="Arial"/>
              </w:rPr>
              <w:t>realizujących projekt na obszarze jednego z OSI:</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organizacyjne jst;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9D3B9B">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sidR="009D3B9B">
              <w:rPr>
                <w:rFonts w:asciiTheme="minorHAnsi" w:eastAsia="TTE1ABE920t00" w:hAnsiTheme="minorHAnsi" w:cs="Arial"/>
                <w:szCs w:val="22"/>
              </w:rPr>
              <w:t>;</w:t>
            </w:r>
          </w:p>
          <w:p w:rsidR="009D3B9B" w:rsidRPr="009D3B9B" w:rsidRDefault="009D3B9B" w:rsidP="007A3277">
            <w:pPr>
              <w:spacing w:line="240" w:lineRule="auto"/>
              <w:contextualSpacing/>
              <w:jc w:val="both"/>
              <w:rPr>
                <w:rFonts w:eastAsia="TTE1ABE920t00"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Alokacja w ramach konkursu zostanie podzielona na 5 OSI.</w:t>
            </w:r>
          </w:p>
          <w:p w:rsidR="00984533" w:rsidRPr="00151119" w:rsidRDefault="00984533" w:rsidP="00480411">
            <w:pPr>
              <w:autoSpaceDE w:val="0"/>
              <w:autoSpaceDN w:val="0"/>
              <w:adjustRightInd w:val="0"/>
              <w:spacing w:after="0" w:line="240" w:lineRule="auto"/>
              <w:jc w:val="both"/>
              <w:rPr>
                <w:rFonts w:cs="Calibri"/>
                <w:color w:val="000000"/>
              </w:rPr>
            </w:pPr>
          </w:p>
          <w:p w:rsidR="00984533" w:rsidRPr="00070A44" w:rsidRDefault="00984533" w:rsidP="00480411">
            <w:pPr>
              <w:autoSpaceDE w:val="0"/>
              <w:autoSpaceDN w:val="0"/>
              <w:adjustRightInd w:val="0"/>
              <w:spacing w:after="0" w:line="240" w:lineRule="auto"/>
              <w:jc w:val="both"/>
              <w:rPr>
                <w:rFonts w:cs="Calibri"/>
                <w:b/>
                <w:color w:val="000000"/>
              </w:rPr>
            </w:pPr>
            <w:r w:rsidRPr="00070A44">
              <w:t>Ogółem alokacja przeznaczona na Zachodni Obszar Interwencji (</w:t>
            </w:r>
            <w:r w:rsidRPr="00070A44">
              <w:rPr>
                <w:rFonts w:cs="Calibri"/>
                <w:color w:val="000000"/>
              </w:rPr>
              <w:t xml:space="preserve">ZOI) </w:t>
            </w:r>
            <w:r w:rsidRPr="00070A44">
              <w:rPr>
                <w:color w:val="000000"/>
              </w:rPr>
              <w:t xml:space="preserve">wynosi </w:t>
            </w:r>
            <w:r w:rsidRPr="00070A44">
              <w:rPr>
                <w:rFonts w:cs="Calibri"/>
                <w:color w:val="000000"/>
              </w:rPr>
              <w:t xml:space="preserve">- </w:t>
            </w:r>
            <w:r w:rsidRPr="00070A44">
              <w:rPr>
                <w:rFonts w:cs="Calibri"/>
                <w:color w:val="000000"/>
              </w:rPr>
              <w:br/>
            </w:r>
            <w:r w:rsidR="009D4C89" w:rsidRPr="009D4C89">
              <w:rPr>
                <w:rFonts w:cs="MS Sans Serif"/>
              </w:rPr>
              <w:t xml:space="preserve"> </w:t>
            </w:r>
            <w:r w:rsidR="009D4C89" w:rsidRPr="009D4C89">
              <w:rPr>
                <w:rFonts w:cs="MS Sans Serif"/>
                <w:b/>
              </w:rPr>
              <w:t>1 783 678,87</w:t>
            </w:r>
            <w:r w:rsidR="009D4C89" w:rsidRPr="009D4C89">
              <w:rPr>
                <w:rFonts w:cs="MS Sans Serif"/>
              </w:rPr>
              <w:t xml:space="preserve"> </w:t>
            </w:r>
            <w:r w:rsidRPr="00070A44">
              <w:rPr>
                <w:rFonts w:cs="Calibri"/>
                <w:b/>
                <w:color w:val="000000"/>
              </w:rPr>
              <w:t xml:space="preserve">Euro, tj. </w:t>
            </w:r>
            <w:r w:rsidR="009D4C89" w:rsidRPr="009D4C89">
              <w:rPr>
                <w:rFonts w:cs="Calibri"/>
                <w:b/>
                <w:color w:val="000000"/>
              </w:rPr>
              <w:t>7 873 336,89</w:t>
            </w:r>
            <w:r w:rsidR="009D4C89">
              <w:rPr>
                <w:rFonts w:cs="Calibri"/>
                <w:b/>
                <w:color w:val="000000"/>
              </w:rPr>
              <w:t xml:space="preserve"> </w:t>
            </w:r>
            <w:r w:rsidR="00C873AA">
              <w:rPr>
                <w:rFonts w:cs="Calibri"/>
                <w:b/>
                <w:color w:val="000000"/>
              </w:rPr>
              <w:t>zł</w:t>
            </w:r>
            <w:r w:rsidRPr="00070A44">
              <w:rPr>
                <w:rFonts w:cs="Calibri"/>
                <w:b/>
                <w:color w:val="000000"/>
              </w:rPr>
              <w:t>;</w:t>
            </w:r>
          </w:p>
          <w:p w:rsidR="00984533" w:rsidRPr="00070A44" w:rsidRDefault="00984533" w:rsidP="00480411">
            <w:pPr>
              <w:autoSpaceDE w:val="0"/>
              <w:autoSpaceDN w:val="0"/>
              <w:adjustRightInd w:val="0"/>
              <w:spacing w:after="0" w:line="240" w:lineRule="auto"/>
              <w:jc w:val="both"/>
              <w:rPr>
                <w:rFonts w:cs="Calibri"/>
                <w:b/>
                <w:color w:val="000000"/>
              </w:rPr>
            </w:pPr>
            <w:r w:rsidRPr="00070A44">
              <w:t>Ogółem alokacja przeznaczona na Legnicko-Głogowski Obszar Interwencji (</w:t>
            </w:r>
            <w:r w:rsidRPr="00070A44">
              <w:rPr>
                <w:rFonts w:cs="Calibri"/>
                <w:color w:val="000000"/>
              </w:rPr>
              <w:t>LGOI)</w:t>
            </w:r>
            <w:r w:rsidRPr="00070A44">
              <w:rPr>
                <w:color w:val="000000"/>
              </w:rPr>
              <w:t xml:space="preserve"> wynosi</w:t>
            </w:r>
            <w:r w:rsidRPr="00070A44">
              <w:rPr>
                <w:rFonts w:cs="Calibri"/>
                <w:color w:val="000000"/>
              </w:rPr>
              <w:t xml:space="preserve"> </w:t>
            </w:r>
            <w:r w:rsidR="00CB17E9" w:rsidRPr="00070A44">
              <w:rPr>
                <w:rFonts w:cs="Calibri"/>
                <w:color w:val="000000"/>
              </w:rPr>
              <w:t>–</w:t>
            </w:r>
            <w:r w:rsidR="009D4C89">
              <w:rPr>
                <w:rFonts w:cs="Calibri"/>
                <w:color w:val="000000"/>
              </w:rPr>
              <w:t xml:space="preserve"> </w:t>
            </w:r>
            <w:r w:rsidR="00527057" w:rsidRPr="00527057">
              <w:rPr>
                <w:rFonts w:cs="MS Sans Serif"/>
                <w:b/>
              </w:rPr>
              <w:t>3 301 664,42</w:t>
            </w:r>
            <w:r w:rsidR="00527057" w:rsidRPr="00527057">
              <w:rPr>
                <w:rFonts w:cs="MS Sans Serif"/>
              </w:rPr>
              <w:t xml:space="preserve">   </w:t>
            </w:r>
            <w:r w:rsidRPr="00070A44">
              <w:rPr>
                <w:rFonts w:cs="Calibri"/>
                <w:b/>
                <w:color w:val="000000"/>
              </w:rPr>
              <w:t xml:space="preserve">Euro, tj. </w:t>
            </w:r>
            <w:r w:rsidR="002F5ACD">
              <w:rPr>
                <w:rFonts w:cs="Calibri"/>
                <w:b/>
                <w:color w:val="000000"/>
              </w:rPr>
              <w:t xml:space="preserve"> </w:t>
            </w:r>
            <w:r w:rsidR="00527057" w:rsidRPr="00527057">
              <w:rPr>
                <w:rFonts w:cs="MS Sans Serif"/>
                <w:b/>
              </w:rPr>
              <w:t>14 573 876,93</w:t>
            </w:r>
            <w:r w:rsidR="00527057">
              <w:rPr>
                <w:rFonts w:cs="MS Sans Serif"/>
              </w:rPr>
              <w:t xml:space="preserve"> </w:t>
            </w:r>
            <w:r w:rsidR="00C873AA">
              <w:rPr>
                <w:rFonts w:cs="Calibri"/>
                <w:b/>
                <w:color w:val="000000"/>
              </w:rPr>
              <w:t>zł</w:t>
            </w:r>
            <w:r w:rsidRPr="00070A44">
              <w:rPr>
                <w:rFonts w:cs="Calibri"/>
                <w:b/>
                <w:color w:val="000000"/>
              </w:rPr>
              <w:t>;</w:t>
            </w:r>
          </w:p>
          <w:p w:rsidR="00984533" w:rsidRPr="00070A44" w:rsidRDefault="00984533" w:rsidP="005477CE">
            <w:pPr>
              <w:shd w:val="clear" w:color="auto" w:fill="FFFFFF" w:themeFill="background1"/>
              <w:autoSpaceDE w:val="0"/>
              <w:autoSpaceDN w:val="0"/>
              <w:adjustRightInd w:val="0"/>
              <w:spacing w:after="0" w:line="240" w:lineRule="auto"/>
              <w:jc w:val="both"/>
              <w:rPr>
                <w:rFonts w:cs="Calibri"/>
                <w:color w:val="000000"/>
              </w:rPr>
            </w:pPr>
            <w:r w:rsidRPr="00070A44">
              <w:t>Ogółem alokacja przeznaczona na Obszar Interwencji Doliny Baryczy (</w:t>
            </w:r>
            <w:r w:rsidRPr="00070A44">
              <w:rPr>
                <w:rFonts w:cs="Calibri"/>
                <w:color w:val="000000"/>
              </w:rPr>
              <w:t>OIDB)</w:t>
            </w:r>
            <w:r w:rsidRPr="00070A44">
              <w:rPr>
                <w:color w:val="000000"/>
              </w:rPr>
              <w:t xml:space="preserve"> wynosi</w:t>
            </w:r>
            <w:r w:rsidRPr="00070A44">
              <w:rPr>
                <w:rFonts w:cs="Calibri"/>
                <w:color w:val="000000"/>
              </w:rPr>
              <w:t xml:space="preserve"> </w:t>
            </w:r>
            <w:r w:rsidR="00CB17E9" w:rsidRPr="00070A44">
              <w:rPr>
                <w:rFonts w:cs="Calibri"/>
                <w:color w:val="000000"/>
              </w:rPr>
              <w:t>–</w:t>
            </w:r>
            <w:r w:rsidR="00757768">
              <w:rPr>
                <w:rFonts w:cs="Calibri"/>
                <w:color w:val="000000"/>
              </w:rPr>
              <w:t xml:space="preserve"> </w:t>
            </w:r>
            <w:r w:rsidR="005C6DBE" w:rsidRPr="005C6DBE">
              <w:rPr>
                <w:rFonts w:cs="MS Sans Serif"/>
                <w:b/>
              </w:rPr>
              <w:t>1 873 539,43</w:t>
            </w:r>
            <w:r w:rsidR="005C6DBE">
              <w:rPr>
                <w:rFonts w:cs="MS Sans Serif"/>
              </w:rPr>
              <w:t xml:space="preserve"> </w:t>
            </w:r>
            <w:r w:rsidRPr="00070A44">
              <w:rPr>
                <w:rFonts w:cs="Calibri"/>
                <w:b/>
                <w:color w:val="000000"/>
              </w:rPr>
              <w:t xml:space="preserve">Euro, tj. </w:t>
            </w:r>
            <w:r w:rsidR="005C6DBE" w:rsidRPr="005C6DBE">
              <w:rPr>
                <w:rFonts w:cs="MS Sans Serif"/>
                <w:b/>
              </w:rPr>
              <w:t>8 269 990,41</w:t>
            </w:r>
            <w:r w:rsidR="005C6DBE">
              <w:rPr>
                <w:rFonts w:cs="MS Sans Serif"/>
              </w:rPr>
              <w:t xml:space="preserve"> </w:t>
            </w:r>
            <w:r w:rsidR="009A5F90">
              <w:rPr>
                <w:rFonts w:cs="Calibri"/>
                <w:b/>
                <w:color w:val="000000"/>
              </w:rPr>
              <w:t>zł</w:t>
            </w:r>
            <w:r w:rsidRPr="00070A44">
              <w:rPr>
                <w:rFonts w:cs="Calibri"/>
                <w:color w:val="000000"/>
              </w:rPr>
              <w:t>;</w:t>
            </w:r>
          </w:p>
          <w:p w:rsidR="00984533" w:rsidRPr="00070A44" w:rsidRDefault="00984533" w:rsidP="005477CE">
            <w:pPr>
              <w:shd w:val="clear" w:color="auto" w:fill="FFFFFF" w:themeFill="background1"/>
              <w:autoSpaceDE w:val="0"/>
              <w:autoSpaceDN w:val="0"/>
              <w:adjustRightInd w:val="0"/>
              <w:spacing w:after="0" w:line="240" w:lineRule="auto"/>
              <w:jc w:val="both"/>
              <w:rPr>
                <w:rFonts w:cs="Calibri"/>
                <w:b/>
                <w:color w:val="000000"/>
              </w:rPr>
            </w:pPr>
            <w:r w:rsidRPr="00070A44">
              <w:t>Ogółem alokacja przeznaczona na Obszar Interwencji Równiny Wrocławskiej (</w:t>
            </w:r>
            <w:r w:rsidRPr="00070A44">
              <w:rPr>
                <w:rFonts w:cs="Calibri"/>
                <w:color w:val="000000"/>
              </w:rPr>
              <w:t>OIRW)</w:t>
            </w:r>
            <w:r w:rsidRPr="00070A44">
              <w:rPr>
                <w:color w:val="000000"/>
              </w:rPr>
              <w:t xml:space="preserve"> wynosi</w:t>
            </w:r>
            <w:r w:rsidRPr="00070A44">
              <w:rPr>
                <w:rFonts w:cs="Calibri"/>
                <w:color w:val="000000"/>
              </w:rPr>
              <w:t xml:space="preserve"> </w:t>
            </w:r>
            <w:r w:rsidR="00CB17E9" w:rsidRPr="00070A44">
              <w:rPr>
                <w:rFonts w:cs="Calibri"/>
                <w:color w:val="000000"/>
              </w:rPr>
              <w:t>–</w:t>
            </w:r>
            <w:r w:rsidR="00757768">
              <w:rPr>
                <w:rFonts w:cs="Calibri"/>
                <w:color w:val="000000"/>
              </w:rPr>
              <w:t xml:space="preserve"> </w:t>
            </w:r>
            <w:r w:rsidR="00757768" w:rsidRPr="00757768">
              <w:rPr>
                <w:rFonts w:cs="Calibri"/>
                <w:b/>
                <w:color w:val="000000"/>
              </w:rPr>
              <w:t>897 417,38</w:t>
            </w:r>
            <w:r w:rsidR="00757768">
              <w:rPr>
                <w:rFonts w:cs="Calibri"/>
                <w:color w:val="000000"/>
              </w:rPr>
              <w:t xml:space="preserve"> </w:t>
            </w:r>
            <w:r w:rsidRPr="00070A44">
              <w:rPr>
                <w:rFonts w:cs="Calibri"/>
                <w:b/>
                <w:color w:val="000000"/>
              </w:rPr>
              <w:t xml:space="preserve">Euro, tj. </w:t>
            </w:r>
            <w:r w:rsidR="00CB17E9" w:rsidRPr="00070A44">
              <w:rPr>
                <w:rFonts w:cs="Calibri"/>
                <w:b/>
                <w:color w:val="000000"/>
              </w:rPr>
              <w:t xml:space="preserve"> </w:t>
            </w:r>
            <w:r w:rsidR="00757768">
              <w:rPr>
                <w:rFonts w:cs="Calibri"/>
                <w:b/>
                <w:color w:val="000000"/>
              </w:rPr>
              <w:t xml:space="preserve">3 961 290,05 </w:t>
            </w:r>
            <w:r w:rsidR="009A5F90">
              <w:rPr>
                <w:rFonts w:cs="Calibri"/>
                <w:b/>
                <w:color w:val="000000"/>
                <w:shd w:val="clear" w:color="auto" w:fill="FFFFFF" w:themeFill="background1"/>
              </w:rPr>
              <w:t>zł</w:t>
            </w:r>
            <w:r w:rsidRPr="00070A44">
              <w:rPr>
                <w:rFonts w:cs="Calibri"/>
                <w:color w:val="000000"/>
                <w:shd w:val="clear" w:color="auto" w:fill="FFFFFF" w:themeFill="background1"/>
              </w:rPr>
              <w:t>;</w:t>
            </w:r>
          </w:p>
          <w:p w:rsidR="00984533" w:rsidRDefault="00984533" w:rsidP="00480411">
            <w:pPr>
              <w:autoSpaceDE w:val="0"/>
              <w:autoSpaceDN w:val="0"/>
              <w:adjustRightInd w:val="0"/>
              <w:spacing w:after="0" w:line="240" w:lineRule="auto"/>
              <w:jc w:val="both"/>
              <w:rPr>
                <w:rFonts w:cs="Calibri"/>
                <w:color w:val="000000"/>
              </w:rPr>
            </w:pPr>
            <w:r w:rsidRPr="00070A44">
              <w:t>Ogółem alokacja przeznaczona na Obszar Ziemia Dzierżoniowsko-Kłodzko-Ząbkowicka (</w:t>
            </w:r>
            <w:r w:rsidRPr="00070A44">
              <w:rPr>
                <w:rFonts w:cs="Calibri"/>
                <w:color w:val="000000"/>
              </w:rPr>
              <w:t>ZKD)</w:t>
            </w:r>
            <w:r w:rsidRPr="00070A44">
              <w:rPr>
                <w:color w:val="000000"/>
              </w:rPr>
              <w:t xml:space="preserve"> wynosi</w:t>
            </w:r>
            <w:r w:rsidRPr="00070A44">
              <w:rPr>
                <w:rFonts w:cs="Calibri"/>
                <w:color w:val="000000"/>
              </w:rPr>
              <w:t xml:space="preserve"> </w:t>
            </w:r>
            <w:r w:rsidR="00CB17E9" w:rsidRPr="00070A44">
              <w:rPr>
                <w:rFonts w:cs="Calibri"/>
                <w:color w:val="000000"/>
              </w:rPr>
              <w:t>–</w:t>
            </w:r>
            <w:r w:rsidR="00924740">
              <w:rPr>
                <w:rFonts w:cs="Calibri"/>
                <w:color w:val="000000"/>
              </w:rPr>
              <w:t xml:space="preserve"> </w:t>
            </w:r>
            <w:r w:rsidR="005C6DBE" w:rsidRPr="005C6DBE">
              <w:rPr>
                <w:rFonts w:cs="Calibri"/>
                <w:b/>
                <w:color w:val="000000"/>
              </w:rPr>
              <w:t>2 190 290,95</w:t>
            </w:r>
            <w:r w:rsidR="005C6DBE">
              <w:rPr>
                <w:rFonts w:cs="Calibri"/>
                <w:color w:val="000000"/>
              </w:rPr>
              <w:t xml:space="preserve"> </w:t>
            </w:r>
            <w:r w:rsidRPr="00070A44">
              <w:rPr>
                <w:rFonts w:cs="Calibri"/>
                <w:b/>
                <w:color w:val="000000"/>
              </w:rPr>
              <w:t xml:space="preserve">Euro, tj. </w:t>
            </w:r>
            <w:r w:rsidR="009A5F90">
              <w:rPr>
                <w:rFonts w:cs="Calibri"/>
                <w:b/>
                <w:color w:val="000000"/>
              </w:rPr>
              <w:t xml:space="preserve"> </w:t>
            </w:r>
            <w:r w:rsidR="005C6DBE" w:rsidRPr="005C6DBE">
              <w:rPr>
                <w:rFonts w:cs="Calibri"/>
                <w:b/>
                <w:color w:val="000000"/>
              </w:rPr>
              <w:t>9 668 163,29</w:t>
            </w:r>
            <w:r w:rsidR="0099517B">
              <w:rPr>
                <w:rFonts w:cs="Calibri"/>
                <w:color w:val="000000"/>
              </w:rPr>
              <w:t xml:space="preserve"> </w:t>
            </w:r>
            <w:r w:rsidR="009A5F90">
              <w:rPr>
                <w:rFonts w:cs="Calibri"/>
                <w:b/>
                <w:color w:val="000000"/>
              </w:rPr>
              <w:t>zł</w:t>
            </w:r>
            <w:r w:rsidRPr="00070A44">
              <w:rPr>
                <w:rFonts w:cs="Calibri"/>
                <w:color w:val="000000"/>
              </w:rPr>
              <w:t>.</w:t>
            </w:r>
          </w:p>
          <w:p w:rsidR="00984533" w:rsidRDefault="005C6DBE" w:rsidP="00480411">
            <w:pPr>
              <w:autoSpaceDE w:val="0"/>
              <w:autoSpaceDN w:val="0"/>
              <w:adjustRightInd w:val="0"/>
              <w:spacing w:after="0" w:line="240" w:lineRule="auto"/>
              <w:jc w:val="both"/>
              <w:rPr>
                <w:rFonts w:cs="Calibri"/>
                <w:color w:val="000000"/>
              </w:rPr>
            </w:pPr>
            <w:r w:rsidRPr="005C6DBE">
              <w:rPr>
                <w:rFonts w:cs="Calibri"/>
                <w:color w:val="000000"/>
              </w:rPr>
              <w:tab/>
              <w:t xml:space="preserve"> </w:t>
            </w:r>
          </w:p>
          <w:p w:rsidR="00984533" w:rsidRDefault="00984533" w:rsidP="00480411">
            <w:pPr>
              <w:autoSpaceDE w:val="0"/>
              <w:autoSpaceDN w:val="0"/>
              <w:adjustRightInd w:val="0"/>
              <w:spacing w:after="0" w:line="240" w:lineRule="auto"/>
              <w:jc w:val="both"/>
              <w:rPr>
                <w:rFonts w:cs="MS Sans Serif"/>
              </w:rPr>
            </w:pPr>
            <w:r w:rsidRPr="00CE0E72">
              <w:rPr>
                <w:rFonts w:cs="MS Sans Serif"/>
              </w:rPr>
              <w:t xml:space="preserve">Alokacja przeliczona po kursie Europejskiego Banku Centralnego (EBC) obowiązującym w </w:t>
            </w:r>
            <w:r w:rsidR="00925D7D">
              <w:rPr>
                <w:rFonts w:cs="MS Sans Serif"/>
              </w:rPr>
              <w:t>styczniu</w:t>
            </w:r>
            <w:r w:rsidR="00925D7D" w:rsidRPr="00CE0E72">
              <w:rPr>
                <w:rFonts w:cs="MS Sans Serif"/>
              </w:rPr>
              <w:t xml:space="preserve"> </w:t>
            </w:r>
            <w:r w:rsidR="007A3277" w:rsidRPr="00CE0E72">
              <w:rPr>
                <w:rFonts w:cs="MS Sans Serif"/>
              </w:rPr>
              <w:t>201</w:t>
            </w:r>
            <w:r w:rsidR="00925D7D">
              <w:rPr>
                <w:rFonts w:cs="MS Sans Serif"/>
              </w:rPr>
              <w:t>7</w:t>
            </w:r>
            <w:r w:rsidR="007A3277" w:rsidRPr="00CE0E72">
              <w:rPr>
                <w:rFonts w:cs="MS Sans Serif"/>
              </w:rPr>
              <w:t xml:space="preserve"> </w:t>
            </w:r>
            <w:r w:rsidRPr="00CE0E72">
              <w:rPr>
                <w:rFonts w:cs="MS Sans Serif"/>
              </w:rPr>
              <w:t xml:space="preserve"> r., 1 euro = </w:t>
            </w:r>
            <w:r w:rsidR="00FC4F97">
              <w:rPr>
                <w:rFonts w:cs="MS Sans Serif"/>
              </w:rPr>
              <w:t>4,4141</w:t>
            </w:r>
            <w:r w:rsidRPr="00CE0E72">
              <w:rPr>
                <w:rFonts w:cs="MS Sans Serif"/>
              </w:rPr>
              <w:t>PLN.</w:t>
            </w:r>
            <w:r w:rsidRPr="00F66A4E">
              <w:rPr>
                <w:rFonts w:cs="MS Sans Serif"/>
              </w:rPr>
              <w:t xml:space="preserve"> </w:t>
            </w:r>
          </w:p>
          <w:p w:rsidR="00BB6E6F" w:rsidRDefault="00BB6E6F" w:rsidP="00527057">
            <w:pPr>
              <w:spacing w:after="0" w:line="240" w:lineRule="auto"/>
              <w:jc w:val="both"/>
              <w:rPr>
                <w:rFonts w:cs="MS Sans Serif"/>
              </w:rPr>
            </w:pPr>
          </w:p>
          <w:p w:rsidR="00984533" w:rsidRPr="00151119" w:rsidRDefault="00984533" w:rsidP="00D26B32">
            <w:pPr>
              <w:spacing w:after="0" w:line="240" w:lineRule="auto"/>
              <w:jc w:val="both"/>
              <w:rPr>
                <w:rFonts w:cs="Calibri"/>
                <w:color w:val="000000"/>
              </w:rPr>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kwalifikowalnych dotyczy jedne</w:t>
            </w:r>
            <w:r w:rsidR="00EA15E1">
              <w:rPr>
                <w:rFonts w:cs="Arial"/>
              </w:rPr>
              <w:t>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37103D" w:rsidRDefault="0037103D" w:rsidP="0037103D">
            <w:pPr>
              <w:numPr>
                <w:ilvl w:val="0"/>
                <w:numId w:val="17"/>
              </w:numPr>
              <w:suppressAutoHyphens/>
              <w:spacing w:before="280" w:after="0" w:line="240" w:lineRule="auto"/>
              <w:jc w:val="both"/>
              <w:rPr>
                <w:rFonts w:eastAsia="Times New Roman" w:cs="Times New Roman"/>
                <w:lang w:eastAsia="pl-PL"/>
              </w:rPr>
            </w:pPr>
            <w:r>
              <w:rPr>
                <w:rFonts w:eastAsia="Times New Roman" w:cs="Times New Roman"/>
                <w:lang w:eastAsia="pl-PL"/>
              </w:rPr>
              <w:t xml:space="preserve">beneficjentem wsparcia jest przedsiębiorca w rozumieniu </w:t>
            </w:r>
            <w:r w:rsidR="00AD1311" w:rsidRPr="00E87546">
              <w:rPr>
                <w:rFonts w:eastAsia="Times New Roman" w:cs="Times New Roman"/>
                <w:lang w:eastAsia="pl-PL"/>
              </w:rPr>
              <w:t>unijnego</w:t>
            </w:r>
            <w:r w:rsidR="00AD1311" w:rsidRPr="00E87546">
              <w:rPr>
                <w:rFonts w:eastAsia="Times New Roman" w:cs="Times New Roman"/>
                <w:vertAlign w:val="superscript"/>
                <w:lang w:eastAsia="pl-PL"/>
              </w:rPr>
              <w:footnoteReference w:id="10"/>
            </w:r>
            <w:r>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F65D9" w:rsidRPr="00DC364F" w:rsidRDefault="00D65CF5" w:rsidP="00DC364F">
            <w:pPr>
              <w:tabs>
                <w:tab w:val="left" w:pos="459"/>
              </w:tabs>
              <w:spacing w:before="40" w:after="40" w:line="240" w:lineRule="auto"/>
              <w:jc w:val="both"/>
              <w:rPr>
                <w:rFonts w:cs="Arial"/>
              </w:rPr>
            </w:pPr>
            <w:r w:rsidRPr="00BB6E6F">
              <w:rPr>
                <w:rFonts w:cs="Arial"/>
              </w:rPr>
              <w:t>Co do zasady w</w:t>
            </w:r>
            <w:r w:rsidR="00CB17E9" w:rsidRPr="00BB6E6F">
              <w:rPr>
                <w:rFonts w:cs="Arial"/>
              </w:rPr>
              <w:t xml:space="preserve"> przypadku działania 7.</w:t>
            </w:r>
            <w:r w:rsidR="00BB6E6F" w:rsidRPr="00BB6E6F">
              <w:rPr>
                <w:rFonts w:cs="Arial"/>
              </w:rPr>
              <w:t>1</w:t>
            </w:r>
            <w:r w:rsidR="003A0F50" w:rsidRPr="00BB6E6F">
              <w:rPr>
                <w:rFonts w:cs="Arial"/>
              </w:rPr>
              <w:t xml:space="preserve"> </w:t>
            </w:r>
            <w:r w:rsidR="004D3634" w:rsidRPr="00BB6E6F">
              <w:rPr>
                <w:rFonts w:cs="Arial"/>
              </w:rPr>
              <w:t>nie</w:t>
            </w:r>
            <w:r w:rsidRPr="00BB6E6F">
              <w:rPr>
                <w:rFonts w:cs="Arial"/>
              </w:rPr>
              <w:t xml:space="preserve"> ma przesłanek do wystąpienia pomocy publicznej. </w:t>
            </w:r>
            <w:r w:rsidR="00723CFF" w:rsidRPr="00BB6E6F">
              <w:rPr>
                <w:rFonts w:cs="Arial"/>
              </w:rPr>
              <w:t>Do działalności mieszczącej się w ramach krajowego systemu edukacji nie mają zastosowania przepisy dotyczące pomocy publicznej (działalność ta co do zasady nie stanowi działalności gospodarczej w rozumieniu przepisów wspólnotowych)</w:t>
            </w:r>
            <w:r w:rsidR="005C6AB4" w:rsidRPr="00BB6E6F">
              <w:rPr>
                <w:rFonts w:cs="Arial"/>
              </w:rPr>
              <w:t>.</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5F65D9" w:rsidRPr="00DC364F" w:rsidRDefault="00D65CF5" w:rsidP="00DC364F">
            <w:pPr>
              <w:tabs>
                <w:tab w:val="left" w:pos="459"/>
              </w:tabs>
              <w:spacing w:before="40" w:after="40" w:line="240" w:lineRule="auto"/>
              <w:jc w:val="both"/>
              <w:rPr>
                <w:rFonts w:cs="Arial"/>
              </w:rPr>
            </w:pPr>
            <w:r w:rsidRPr="00DC364F">
              <w:rPr>
                <w:rFonts w:cs="Arial"/>
              </w:rPr>
              <w:t>Biorąc pod uwagę typy beneficjentów, które mogą otrzymać dofinansowanie</w:t>
            </w:r>
            <w:r w:rsidR="00BC5BD2" w:rsidRPr="00DC364F">
              <w:rPr>
                <w:rFonts w:cs="Arial"/>
              </w:rPr>
              <w:t xml:space="preserve"> oraz typy projektów,</w:t>
            </w:r>
            <w:r w:rsidRPr="00DC364F">
              <w:rPr>
                <w:rFonts w:cs="Arial"/>
              </w:rPr>
              <w:t xml:space="preserve"> mamy do czynienia z podmiotami, których działalność jest w głównej mierze finansowana ze środków publicznych i służy wykonywaniu zadań przypisywanych państwu, a jako takie będą mieścić się w krajowym systemie edukacji w zakresie</w:t>
            </w:r>
            <w:r w:rsidR="00BC5BD2" w:rsidRPr="00DC364F">
              <w:rPr>
                <w:rFonts w:cs="Arial"/>
              </w:rPr>
              <w:t xml:space="preserve"> </w:t>
            </w:r>
            <w:r w:rsidRPr="00DC364F">
              <w:rPr>
                <w:rFonts w:cs="Arial"/>
              </w:rPr>
              <w:t xml:space="preserve">nie skutkującym wystąpieniem pomocy publicznej. </w:t>
            </w:r>
          </w:p>
          <w:p w:rsidR="002A7A36" w:rsidRPr="00DC364F" w:rsidRDefault="005F65D9" w:rsidP="00DC364F">
            <w:pPr>
              <w:tabs>
                <w:tab w:val="left" w:pos="459"/>
              </w:tabs>
              <w:spacing w:before="40" w:after="40" w:line="240" w:lineRule="auto"/>
              <w:jc w:val="both"/>
              <w:rPr>
                <w:rFonts w:cs="Arial"/>
              </w:rPr>
            </w:pPr>
            <w:r w:rsidRPr="00DC364F">
              <w:rPr>
                <w:rFonts w:cs="Arial"/>
              </w:rPr>
              <w:t>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w:t>
            </w:r>
          </w:p>
          <w:p w:rsidR="00AF2A83" w:rsidRDefault="00AF2A83" w:rsidP="00DC364F">
            <w:pPr>
              <w:tabs>
                <w:tab w:val="left" w:pos="459"/>
              </w:tabs>
              <w:spacing w:before="40" w:after="40" w:line="240" w:lineRule="auto"/>
              <w:jc w:val="both"/>
              <w:rPr>
                <w:rFonts w:cs="Arial"/>
              </w:rPr>
            </w:pPr>
          </w:p>
          <w:p w:rsidR="00C371CF" w:rsidRPr="00C371CF" w:rsidRDefault="00C371CF" w:rsidP="00C371CF">
            <w:pPr>
              <w:tabs>
                <w:tab w:val="left" w:pos="459"/>
              </w:tabs>
              <w:spacing w:before="40" w:after="40" w:line="240" w:lineRule="auto"/>
              <w:jc w:val="both"/>
              <w:rPr>
                <w:rFonts w:cs="Arial"/>
              </w:rPr>
            </w:pPr>
            <w:r w:rsidRPr="00C371CF">
              <w:rPr>
                <w:rFonts w:cs="Arial"/>
              </w:rPr>
              <w:t>Jeżeli przy realizacji projektu zakłada się występowanie w projekcie zakresu/elementów wychodzących poza krajowy system edukacji (np. komercyjne wynajmowanie pracowni komputerowej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w:t>
            </w:r>
            <w:r w:rsidR="00AD11D3">
              <w:rPr>
                <w:rFonts w:cs="Arial"/>
              </w:rPr>
              <w:t xml:space="preserve"> </w:t>
            </w:r>
            <w:r w:rsidRPr="00C371CF">
              <w:rPr>
                <w:rFonts w:cs="Arial"/>
              </w:rPr>
              <w:t xml:space="preserve">działalności edukacyjnej). </w:t>
            </w:r>
          </w:p>
          <w:p w:rsidR="00C371CF" w:rsidRPr="00C371CF" w:rsidRDefault="00C371CF" w:rsidP="00C371CF">
            <w:pPr>
              <w:tabs>
                <w:tab w:val="left" w:pos="459"/>
              </w:tabs>
              <w:spacing w:before="40" w:after="40" w:line="240" w:lineRule="auto"/>
              <w:jc w:val="both"/>
              <w:rPr>
                <w:rFonts w:cs="Arial"/>
              </w:rPr>
            </w:pPr>
            <w:r w:rsidRPr="00C371CF">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C371CF" w:rsidRPr="00C371CF" w:rsidRDefault="00C371CF" w:rsidP="00C371CF">
            <w:pPr>
              <w:tabs>
                <w:tab w:val="left" w:pos="459"/>
              </w:tabs>
              <w:spacing w:before="40" w:after="40" w:line="240" w:lineRule="auto"/>
              <w:jc w:val="both"/>
              <w:rPr>
                <w:rFonts w:cs="Arial"/>
              </w:rPr>
            </w:pPr>
            <w:r w:rsidRPr="00C371CF">
              <w:rPr>
                <w:rFonts w:cs="Arial"/>
              </w:rPr>
              <w:t xml:space="preserve">W powyższym przypadku należy pamiętać o konieczności prowadzenia rozdzielnej rachunkowości dla działalności gospodarczej i niegospodarczej – przez cały okres realizacji projektu i okres trwałości. </w:t>
            </w:r>
          </w:p>
          <w:p w:rsidR="00C371CF" w:rsidRDefault="00C371CF" w:rsidP="00C371CF">
            <w:pPr>
              <w:tabs>
                <w:tab w:val="left" w:pos="459"/>
              </w:tabs>
              <w:spacing w:before="40" w:after="40" w:line="240" w:lineRule="auto"/>
              <w:jc w:val="both"/>
              <w:rPr>
                <w:rFonts w:cs="Arial"/>
              </w:rPr>
            </w:pPr>
            <w:r w:rsidRPr="00C371CF">
              <w:rPr>
                <w:rFonts w:cs="Arial"/>
              </w:rPr>
              <w:t xml:space="preserve"> Konsekwencją niedochowania powyższych warunków w okresie trwałości projektu może być częściowy lub całkowity zwrot dofinansowania.</w:t>
            </w:r>
          </w:p>
          <w:p w:rsidR="00A2016E" w:rsidRDefault="00A2016E" w:rsidP="00C371CF">
            <w:pPr>
              <w:tabs>
                <w:tab w:val="left" w:pos="459"/>
              </w:tabs>
              <w:spacing w:before="40" w:after="40" w:line="240" w:lineRule="auto"/>
              <w:jc w:val="both"/>
              <w:rPr>
                <w:rFonts w:cs="Arial"/>
              </w:rPr>
            </w:pPr>
          </w:p>
          <w:p w:rsidR="00C371CF" w:rsidRDefault="00A2016E" w:rsidP="00C371CF">
            <w:pPr>
              <w:tabs>
                <w:tab w:val="left" w:pos="459"/>
              </w:tabs>
              <w:spacing w:before="40" w:after="40" w:line="240" w:lineRule="auto"/>
              <w:jc w:val="both"/>
              <w:rPr>
                <w:rFonts w:cs="Arial"/>
              </w:rPr>
            </w:pPr>
            <w:r w:rsidRPr="00A2016E">
              <w:rPr>
                <w:rFonts w:cs="Arial"/>
              </w:rPr>
              <w:t>Co do zasady pomoc publiczna nie wystąpi jeśli wynajem będzie kwestią incydentalną (bardzo rzadką i niesystematyczną).</w:t>
            </w:r>
          </w:p>
          <w:p w:rsidR="00A2016E" w:rsidRDefault="00A2016E" w:rsidP="00DC364F">
            <w:pPr>
              <w:tabs>
                <w:tab w:val="left" w:pos="459"/>
              </w:tabs>
              <w:spacing w:before="40" w:after="40" w:line="240" w:lineRule="auto"/>
              <w:jc w:val="both"/>
              <w:rPr>
                <w:rFonts w:cs="Arial"/>
                <w:b/>
              </w:rPr>
            </w:pPr>
          </w:p>
          <w:p w:rsidR="00476F8F" w:rsidRDefault="00B51B27" w:rsidP="00A2016E">
            <w:pPr>
              <w:tabs>
                <w:tab w:val="left" w:pos="459"/>
              </w:tabs>
              <w:spacing w:before="40" w:after="40" w:line="240" w:lineRule="auto"/>
              <w:jc w:val="both"/>
              <w:rPr>
                <w:rFonts w:cs="Arial"/>
                <w:b/>
              </w:rPr>
            </w:pPr>
            <w:r w:rsidRPr="00800124">
              <w:rPr>
                <w:rFonts w:cs="Arial"/>
                <w:b/>
              </w:rPr>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minimis na podstawie Rozporządzenia Ministra Infrastruktury i Rozwoju z dnia 19 marca 2015 r. w sprawie udzielania pomocy de minimis w ramach regionalnych programów operacyjnych na lata 2014-2020 (Dz.U. 2015, poz. 488)</w:t>
            </w:r>
            <w:r w:rsidR="00B203D0" w:rsidRPr="00800124">
              <w:rPr>
                <w:rFonts w:cs="Arial"/>
                <w:b/>
              </w:rPr>
              <w:t xml:space="preserve"> - kwota pomocy de minimis nie może przekroczyć 200 tys. Euro na beneficjenta (jest to maksymalny limit pomocy de minimis jaki może otrzymać dany podmiot w okresie 3 lat). </w:t>
            </w:r>
          </w:p>
          <w:p w:rsidR="007E591C" w:rsidRDefault="007E591C" w:rsidP="00A2016E">
            <w:pPr>
              <w:tabs>
                <w:tab w:val="left" w:pos="459"/>
              </w:tabs>
              <w:spacing w:before="40" w:after="40" w:line="240" w:lineRule="auto"/>
              <w:jc w:val="both"/>
              <w:rPr>
                <w:rFonts w:cs="Arial"/>
                <w:b/>
              </w:rPr>
            </w:pPr>
          </w:p>
          <w:p w:rsidR="007E591C" w:rsidRPr="00BB63F4" w:rsidRDefault="007E591C" w:rsidP="007E591C">
            <w:pPr>
              <w:tabs>
                <w:tab w:val="left" w:pos="459"/>
              </w:tabs>
              <w:spacing w:before="40" w:after="40" w:line="240" w:lineRule="auto"/>
              <w:jc w:val="both"/>
              <w:rPr>
                <w:rFonts w:cs="Arial"/>
              </w:rPr>
            </w:pPr>
            <w:r w:rsidRPr="00BB63F4">
              <w:rPr>
                <w:rFonts w:cs="Arial"/>
              </w:rPr>
              <w:t>W przypadku stwierdzenia przez wnioskodawcę występowania pomocy publicznej w projekcie, zastosowanie znajdą właściwe przepisy prawa wspólnotowego i krajowego dotyczące zasad udzielania tej pomocy.</w:t>
            </w:r>
          </w:p>
          <w:p w:rsidR="007E591C" w:rsidRPr="00A2016E" w:rsidRDefault="007E591C" w:rsidP="007E591C">
            <w:pPr>
              <w:tabs>
                <w:tab w:val="left" w:pos="459"/>
              </w:tabs>
              <w:spacing w:before="40" w:after="40" w:line="240" w:lineRule="auto"/>
              <w:jc w:val="both"/>
              <w:rPr>
                <w:rFonts w:cs="Arial"/>
                <w:b/>
              </w:rPr>
            </w:pPr>
            <w:r w:rsidRPr="00BB63F4">
              <w:rPr>
                <w:rFonts w:cs="Arial"/>
              </w:rPr>
              <w:t>Wszystkie ww. regulacje dotyczące pomocy publicznej dostępne są na stronie www.funduszeeuropejskie.gov.pl.</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do 40% przyznanej kwoty dofinansowania, wszyscy beneficjenci RPO WD 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2A7A36" w:rsidRDefault="00EA15E1" w:rsidP="002F3F25">
            <w:pPr>
              <w:autoSpaceDE w:val="0"/>
              <w:autoSpaceDN w:val="0"/>
              <w:adjustRightInd w:val="0"/>
              <w:spacing w:after="0" w:line="240" w:lineRule="auto"/>
              <w:jc w:val="both"/>
            </w:pPr>
            <w:r>
              <w:t>Zgodnie z Wytycznymi w zakresie zagadnień związanych z przygotowaniem projektów inwestycyjnych, w tym projektów generujących dochód i projektów hybrydowych na lata 2014-2020 – luka finansowa</w:t>
            </w: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2"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p>
          <w:p w:rsidR="002A7A36" w:rsidRDefault="002A7A36" w:rsidP="004151FA">
            <w:pPr>
              <w:autoSpaceDE w:val="0"/>
              <w:autoSpaceDN w:val="0"/>
              <w:adjustRightInd w:val="0"/>
              <w:spacing w:line="240" w:lineRule="auto"/>
              <w:jc w:val="both"/>
              <w:rPr>
                <w:rFonts w:cs="Calibri"/>
                <w:color w:val="000000"/>
              </w:rPr>
            </w:pPr>
          </w:p>
          <w:p w:rsidR="004151FA" w:rsidRPr="004151FA" w:rsidRDefault="004151FA" w:rsidP="004151FA">
            <w:pPr>
              <w:autoSpaceDE w:val="0"/>
              <w:autoSpaceDN w:val="0"/>
              <w:adjustRightInd w:val="0"/>
              <w:spacing w:line="240" w:lineRule="auto"/>
              <w:jc w:val="both"/>
              <w:rPr>
                <w:rFonts w:cs="Calibri"/>
                <w:color w:val="000000"/>
              </w:rPr>
            </w:pPr>
            <w:r>
              <w:rPr>
                <w:rFonts w:cs="Calibri"/>
                <w:color w:val="000000"/>
              </w:rPr>
              <w:t>W przypadku pomocy de minimis, minimalny wkład własny beneficjenta wynosi 15%</w:t>
            </w: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3"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E75A4F">
            <w:pPr>
              <w:spacing w:before="120" w:line="240" w:lineRule="auto"/>
              <w:ind w:left="33" w:hanging="33"/>
              <w:jc w:val="both"/>
              <w:rPr>
                <w:rFonts w:cs="Calibri"/>
              </w:rPr>
            </w:pPr>
            <w:r>
              <w:rPr>
                <w:rFonts w:cs="Calibri"/>
              </w:rPr>
              <w:t>Konkurs jest po</w:t>
            </w:r>
            <w:r w:rsidR="004151FA">
              <w:rPr>
                <w:rFonts w:cs="Calibri"/>
              </w:rPr>
              <w:t>stę</w:t>
            </w:r>
            <w:r>
              <w:rPr>
                <w:rFonts w:cs="Calibri"/>
              </w:rPr>
              <w:t xml:space="preserv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D26B32">
            <w:pPr>
              <w:autoSpaceDE w:val="0"/>
              <w:autoSpaceDN w:val="0"/>
              <w:adjustRightInd w:val="0"/>
              <w:spacing w:after="0" w:line="240" w:lineRule="auto"/>
              <w:ind w:left="1310"/>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(czy wymagane pola zostały wypełnione)</w:t>
            </w:r>
            <w:r w:rsidRPr="00053525">
              <w:rPr>
                <w:rFonts w:ascii="Calibri" w:hAnsi="Calibri" w:cs="Calibri"/>
                <w:color w:val="000000"/>
              </w:rPr>
              <w:t>,</w:t>
            </w:r>
          </w:p>
          <w:p w:rsidR="008F1D9D" w:rsidRDefault="00A41980" w:rsidP="008F1D9D">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D26B32" w:rsidRPr="00053525" w:rsidRDefault="00D26B32" w:rsidP="008F1D9D">
            <w:pPr>
              <w:autoSpaceDE w:val="0"/>
              <w:autoSpaceDN w:val="0"/>
              <w:adjustRightInd w:val="0"/>
              <w:spacing w:after="0" w:line="240" w:lineRule="auto"/>
              <w:ind w:left="1310"/>
              <w:jc w:val="both"/>
              <w:rPr>
                <w:rFonts w:ascii="Calibri" w:hAnsi="Calibri" w:cs="Calibri"/>
                <w:color w:val="000000"/>
              </w:rPr>
            </w:pPr>
            <w:r w:rsidRPr="008F1D9D">
              <w:rPr>
                <w:rFonts w:ascii="Calibri" w:hAnsi="Calibri" w:cs="Calibri"/>
                <w:color w:val="000000"/>
              </w:rPr>
              <w:t xml:space="preserve">- </w:t>
            </w:r>
            <w:r w:rsidR="008F1D9D" w:rsidRPr="008F1D9D">
              <w:t>czytelność załączonych skanów,</w:t>
            </w:r>
          </w:p>
          <w:p w:rsidR="00A41980" w:rsidRDefault="00A41980" w:rsidP="00D26B32">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kompletność podpisów i pieczęci.</w:t>
            </w:r>
          </w:p>
          <w:p w:rsidR="002D2BDE" w:rsidRPr="00053525" w:rsidRDefault="002D2BDE" w:rsidP="00D26B32">
            <w:pPr>
              <w:autoSpaceDE w:val="0"/>
              <w:autoSpaceDN w:val="0"/>
              <w:adjustRightInd w:val="0"/>
              <w:spacing w:after="0" w:line="240" w:lineRule="auto"/>
              <w:ind w:left="1310"/>
              <w:jc w:val="both"/>
              <w:rPr>
                <w:rFonts w:ascii="Calibri" w:hAnsi="Calibri" w:cs="Calibri"/>
                <w:color w:val="000000"/>
              </w:rPr>
            </w:pPr>
          </w:p>
          <w:p w:rsidR="002965D5" w:rsidRPr="002D2BDE" w:rsidRDefault="00BB6BFC" w:rsidP="002965D5">
            <w:pPr>
              <w:autoSpaceDE w:val="0"/>
              <w:autoSpaceDN w:val="0"/>
              <w:adjustRightInd w:val="0"/>
              <w:spacing w:line="240" w:lineRule="auto"/>
              <w:jc w:val="both"/>
              <w:rPr>
                <w:rFonts w:ascii="Calibri" w:hAnsi="Calibri" w:cs="Calibri"/>
                <w:color w:val="000000"/>
              </w:rPr>
            </w:pPr>
            <w:r w:rsidRPr="002D2BDE">
              <w:rPr>
                <w:rFonts w:ascii="Calibri" w:hAnsi="Calibri" w:cs="Calibri"/>
                <w:color w:val="000000"/>
              </w:rPr>
              <w:t>(</w:t>
            </w:r>
            <w:r w:rsidR="002965D5" w:rsidRPr="002D2BDE">
              <w:rPr>
                <w:rFonts w:ascii="Calibri" w:hAnsi="Calibri" w:cs="Calibri"/>
                <w:color w:val="000000"/>
              </w:rPr>
              <w:t>W</w:t>
            </w:r>
            <w:r w:rsidR="00A41980" w:rsidRPr="002D2BDE">
              <w:rPr>
                <w:rFonts w:ascii="Calibri" w:hAnsi="Calibri" w:cs="Calibri"/>
                <w:color w:val="000000"/>
              </w:rPr>
              <w:t>eryfikacja techniczna ni</w:t>
            </w:r>
            <w:r w:rsidR="002965D5" w:rsidRPr="002D2BDE">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Pr="002D2BDE">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053525" w:rsidRDefault="009A7256" w:rsidP="002965D5">
            <w:pPr>
              <w:autoSpaceDE w:val="0"/>
              <w:autoSpaceDN w:val="0"/>
              <w:adjustRightInd w:val="0"/>
              <w:spacing w:line="240" w:lineRule="auto"/>
              <w:jc w:val="both"/>
              <w:rPr>
                <w:rFonts w:ascii="Calibri" w:hAnsi="Calibri" w:cs="Calibri"/>
                <w:color w:val="000000"/>
              </w:rPr>
            </w:pPr>
            <w:r w:rsidRPr="002D2BDE">
              <w:rPr>
                <w:rFonts w:ascii="Calibri" w:hAnsi="Calibri" w:cs="Calibri"/>
                <w:color w:val="000000"/>
              </w:rPr>
              <w:t xml:space="preserve">Weryfikacja techniczna </w:t>
            </w:r>
            <w:r w:rsidR="00A41980" w:rsidRPr="002D2BDE">
              <w:rPr>
                <w:rFonts w:ascii="Calibri" w:hAnsi="Calibri" w:cs="Calibri"/>
                <w:color w:val="000000"/>
              </w:rPr>
              <w:t>trwa 7</w:t>
            </w:r>
            <w:r w:rsidR="002965D5" w:rsidRPr="002D2BDE">
              <w:rPr>
                <w:rFonts w:ascii="Calibri" w:hAnsi="Calibri" w:cs="Calibri"/>
                <w:color w:val="000000"/>
              </w:rPr>
              <w:t xml:space="preserve"> dni od dnia zakończenia naboru</w:t>
            </w:r>
            <w:r w:rsidR="00BB6BFC" w:rsidRPr="002D2BDE">
              <w:rPr>
                <w:rFonts w:ascii="Calibri" w:hAnsi="Calibri" w:cs="Calibri"/>
                <w:color w:val="000000"/>
              </w:rPr>
              <w:t>);</w:t>
            </w:r>
          </w:p>
          <w:p w:rsidR="00A41980"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A41980"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9A7256" w:rsidRPr="009A7256">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A41980" w:rsidRPr="00DE41FD"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II sekcja: ocena </w:t>
            </w:r>
            <w:r w:rsidR="00032C8C">
              <w:t xml:space="preserve"> </w:t>
            </w:r>
            <w:r w:rsidR="00032C8C" w:rsidRPr="00032C8C">
              <w:rPr>
                <w:rFonts w:ascii="Calibri" w:hAnsi="Calibri" w:cs="Calibri"/>
                <w:color w:val="000000"/>
              </w:rPr>
              <w:t>wpływ</w:t>
            </w:r>
            <w:r w:rsidR="00032C8C">
              <w:rPr>
                <w:rFonts w:ascii="Calibri" w:hAnsi="Calibri" w:cs="Calibri"/>
                <w:color w:val="000000"/>
              </w:rPr>
              <w:t>u</w:t>
            </w:r>
            <w:r w:rsidR="00032C8C" w:rsidRPr="00032C8C">
              <w:rPr>
                <w:rFonts w:ascii="Calibri" w:hAnsi="Calibri" w:cs="Calibri"/>
                <w:color w:val="000000"/>
              </w:rPr>
              <w:t xml:space="preserve"> projektów na realizację Strategii Rozwoju Województwa Dolnośląskiego 2020 </w:t>
            </w:r>
            <w:r>
              <w:rPr>
                <w:rFonts w:ascii="Calibri" w:hAnsi="Calibri" w:cs="Calibri"/>
                <w:color w:val="000000"/>
              </w:rPr>
              <w:t>”</w:t>
            </w:r>
            <w:r w:rsidRPr="00DE41FD">
              <w:rPr>
                <w:rFonts w:ascii="Calibri" w:hAnsi="Calibri" w:cs="Calibri"/>
                <w:color w:val="000000"/>
              </w:rPr>
              <w:t xml:space="preserve">– panel, porównanie projektów - do 20 dni od momentu zakończenia sekcji I; </w:t>
            </w:r>
          </w:p>
          <w:p w:rsidR="00A41980" w:rsidRPr="00A97034"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atwierdzenie przez Zarząd Województwa Dolnośląskiego „Listy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4" w:history="1">
              <w:r w:rsidRPr="00134184">
                <w:rPr>
                  <w:rStyle w:val="Hipercze"/>
                  <w:rFonts w:ascii="Calibri" w:hAnsi="Calibri" w:cs="Calibri"/>
                </w:rPr>
                <w:t>www.rpo.dolnyslask.pl</w:t>
              </w:r>
            </w:hyperlink>
            <w:r>
              <w:rPr>
                <w:rFonts w:ascii="Calibri" w:hAnsi="Calibr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5" w:history="1">
              <w:r w:rsidRPr="00F32678">
                <w:rPr>
                  <w:rStyle w:val="Hipercze"/>
                  <w:rFonts w:ascii="Calibri" w:hAnsi="Calibri" w:cs="Calibri"/>
                </w:rPr>
                <w:t>www.funduszeeuropejskie.gov.pl</w:t>
              </w:r>
            </w:hyperlink>
            <w:r>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sidRPr="00B56B9F">
              <w:rPr>
                <w:rFonts w:asciiTheme="minorHAnsi" w:hAnsiTheme="minorHAnsi" w:cs="Arial"/>
                <w:b/>
                <w:sz w:val="22"/>
                <w:szCs w:val="22"/>
              </w:rPr>
              <w:t>od godz. 8.00 dnia 9 maja 2016 r. do godz. 15.00 dnia 23 maja  2016 r.</w:t>
            </w:r>
            <w:r w:rsidRPr="00993C49">
              <w:rPr>
                <w:rFonts w:asciiTheme="minorHAnsi" w:hAnsiTheme="minorHAnsi" w:cs="Arial"/>
                <w:sz w:val="22"/>
                <w:szCs w:val="22"/>
              </w:rPr>
              <w:t xml:space="preserve">  </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służy do przygotowania wniosku o dofinansowanie projektu realizowanego </w:t>
            </w:r>
            <w:r w:rsidRPr="00B56B9F">
              <w:rPr>
                <w:rFonts w:asciiTheme="minorHAnsi" w:hAnsiTheme="minorHAnsi" w:cs="Arial"/>
                <w:sz w:val="22"/>
                <w:szCs w:val="22"/>
              </w:rPr>
              <w:t>w</w:t>
            </w:r>
            <w:r>
              <w:rPr>
                <w:rFonts w:asciiTheme="minorHAnsi" w:hAnsiTheme="minorHAnsi" w:cs="Arial"/>
                <w:sz w:val="22"/>
                <w:szCs w:val="22"/>
              </w:rPr>
              <w:t xml:space="preserve"> </w:t>
            </w:r>
            <w:r w:rsidRPr="00993C49">
              <w:rPr>
                <w:rFonts w:asciiTheme="minorHAnsi" w:hAnsiTheme="minorHAnsi" w:cs="Arial"/>
                <w:sz w:val="22"/>
                <w:szCs w:val="22"/>
              </w:rPr>
              <w:t xml:space="preserve">ramach Regionalnego Programu Operacyjnego Województwa Dolnośląskiego 2014-2020. System umożliwia tworzenie, edycję oraz wydruk wniosków o dofinansowanie, a także zapewnia możliwość ich złożenia do właściwej instytucji. </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Ponadto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 terminie </w:t>
            </w:r>
            <w:r w:rsidRPr="00B56B9F">
              <w:rPr>
                <w:rFonts w:asciiTheme="minorHAnsi" w:hAnsiTheme="minorHAnsi" w:cs="Arial"/>
                <w:b/>
                <w:sz w:val="22"/>
                <w:szCs w:val="22"/>
              </w:rPr>
              <w:t>do godz. 15.00 dnia 23 maja 2016 r.</w:t>
            </w:r>
            <w:r w:rsidRPr="00993C49">
              <w:rPr>
                <w:rFonts w:asciiTheme="minorHAnsi" w:hAnsiTheme="minorHAnsi" w:cs="Arial"/>
                <w:sz w:val="22"/>
                <w:szCs w:val="22"/>
              </w:rPr>
              <w:t xml:space="preserve"> </w:t>
            </w:r>
            <w:r w:rsidRPr="00227B86">
              <w:rPr>
                <w:rFonts w:asciiTheme="minorHAnsi" w:hAnsiTheme="minorHAnsi" w:cs="Arial"/>
                <w:sz w:val="22"/>
                <w:szCs w:val="22"/>
              </w:rPr>
              <w:t>Jednocześnie, wymaganą analizę finansową (w postaci arkuszy kalkulacyjnych w formacie Excel z aktywnymi formułami) przedłożyć należy na nośniku CD.</w:t>
            </w:r>
            <w:r w:rsidRPr="00993C49">
              <w:rPr>
                <w:rFonts w:asciiTheme="minorHAnsi" w:hAnsiTheme="minorHAnsi" w:cs="Arial"/>
                <w:sz w:val="22"/>
                <w:szCs w:val="22"/>
              </w:rPr>
              <w:t xml:space="preserve"> </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Za datę wpływu do IOK uznaje się datę wpływu wniosku w wersji papierowej. Papierowa wersja wniosku może zostać dostarczona: </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a) osobiście do kancelarii Departamentu Funduszy Europejskich mieszczącej się pod adresem:</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Departament Funduszy Europejskich</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II piętro, pokój nr 2020</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b) kurierem lub pocztą na adres: </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Wydział Wdrażania EFRR</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0F7A4F" w:rsidRDefault="000F7A4F" w:rsidP="000F7A4F">
            <w:pPr>
              <w:pStyle w:val="xl33"/>
              <w:spacing w:after="0"/>
              <w:jc w:val="both"/>
              <w:rPr>
                <w:rFonts w:asciiTheme="minorHAnsi" w:hAnsiTheme="minorHAnsi"/>
                <w:sz w:val="22"/>
                <w:szCs w:val="22"/>
              </w:rPr>
            </w:pPr>
            <w:r>
              <w:rPr>
                <w:rFonts w:asciiTheme="minorHAnsi" w:hAnsiTheme="minorHAnsi"/>
                <w:sz w:val="22"/>
                <w:szCs w:val="22"/>
              </w:rPr>
              <w:t>Suma kontrolna wersji elektronicznej wniosku (w systemie) musi być identyczna z sumą kontrolną papierowej wersji wniosku.</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Wniosek wraz z załącznikami (jeśli dotyczy) należy złożyć w zamkniętej kopercie, której opis zawiera następujące informacje: </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pełna nazwa Wnioskodawcy wraz z adresem</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wniosek o dofinansowanie projektu w ramach naboru nr …………..</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tytuł projektu</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„Nie otwierać przed wpływem do Wydziału Wdrażania EFRR”.</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7371E3" w:rsidRDefault="007371E3" w:rsidP="007371E3">
            <w:pPr>
              <w:pStyle w:val="xl33"/>
              <w:spacing w:after="0"/>
              <w:jc w:val="both"/>
              <w:rPr>
                <w:rFonts w:asciiTheme="minorHAnsi" w:hAnsiTheme="minorHAnsi" w:cs="Arial"/>
                <w:sz w:val="22"/>
                <w:szCs w:val="22"/>
              </w:rPr>
            </w:pPr>
            <w:r w:rsidRPr="00B56B9F">
              <w:rPr>
                <w:rFonts w:asciiTheme="minorHAnsi" w:hAnsiTheme="minorHAnsi" w:cs="Arial"/>
                <w:sz w:val="22"/>
                <w:szCs w:val="22"/>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Pr="00B56B9F">
              <w:rPr>
                <w:rFonts w:asciiTheme="minorHAnsi" w:hAnsiTheme="minorHAnsi" w:cs="Arial"/>
                <w:sz w:val="22"/>
                <w:szCs w:val="22"/>
              </w:rPr>
              <w:br/>
              <w:t>o dofinansowanie adres korespondencyjny w ciągu 14 dni od daty złożenia.</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480411" w:rsidRDefault="007371E3" w:rsidP="00FD6131">
            <w:pPr>
              <w:autoSpaceDE w:val="0"/>
              <w:autoSpaceDN w:val="0"/>
              <w:adjustRightInd w:val="0"/>
              <w:spacing w:before="120" w:after="120" w:line="240" w:lineRule="auto"/>
              <w:jc w:val="both"/>
              <w:rPr>
                <w:rFonts w:cs="MS Sans Serif"/>
              </w:rPr>
            </w:pPr>
            <w:r w:rsidRPr="00993C49">
              <w:rPr>
                <w:rFonts w:cs="Arial"/>
              </w:rPr>
              <w:t xml:space="preserve">W przypadku ewentualnych problemów z Generatorem, IZ RPO WD zastrzega sobie możliwość wydłużenia terminu składania wniosków lub złożenia ich w innej formie niż </w:t>
            </w:r>
            <w:r>
              <w:rPr>
                <w:rFonts w:cs="Arial"/>
              </w:rPr>
              <w:t>wyżej opisana. Decyzja</w:t>
            </w:r>
            <w:r w:rsidRPr="00993C49">
              <w:rPr>
                <w:rFonts w:cs="Arial"/>
              </w:rPr>
              <w:t xml:space="preserve"> w powyższej kwestii zostanie przedstawiona 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45670F" w:rsidRPr="001401B2" w:rsidRDefault="0045670F" w:rsidP="00480411">
            <w:pPr>
              <w:autoSpaceDE w:val="0"/>
              <w:autoSpaceDN w:val="0"/>
              <w:adjustRightInd w:val="0"/>
              <w:spacing w:after="0" w:line="240" w:lineRule="auto"/>
              <w:jc w:val="both"/>
              <w:rPr>
                <w:rFonts w:ascii="Arial" w:hAnsi="Arial" w:cs="Arial"/>
              </w:rPr>
            </w:pP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45670F" w:rsidRPr="00B42EB9" w:rsidRDefault="0045670F" w:rsidP="00480411">
            <w:pPr>
              <w:autoSpaceDE w:val="0"/>
              <w:autoSpaceDN w:val="0"/>
              <w:adjustRightInd w:val="0"/>
              <w:spacing w:after="0" w:line="240" w:lineRule="auto"/>
              <w:jc w:val="both"/>
              <w:rPr>
                <w:rFonts w:cs="Times New Roman"/>
                <w:bCs/>
                <w:color w:val="000000"/>
              </w:rPr>
            </w:pPr>
          </w:p>
          <w:p w:rsidR="00984533" w:rsidRPr="00D26B32" w:rsidRDefault="00984533" w:rsidP="00D26B32">
            <w:pPr>
              <w:autoSpaceDE w:val="0"/>
              <w:autoSpaceDN w:val="0"/>
              <w:adjustRightInd w:val="0"/>
              <w:spacing w:after="0" w:line="240" w:lineRule="auto"/>
              <w:jc w:val="both"/>
              <w:rPr>
                <w:rFonts w:cs="Times New Roman"/>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w:t>
            </w:r>
            <w:r w:rsidR="0045670F">
              <w:rPr>
                <w:rFonts w:cs="Times New Roman"/>
                <w:color w:val="000000"/>
              </w:rPr>
              <w:t>kresie wskazanym przez I</w:t>
            </w:r>
            <w:r w:rsidR="0045670F" w:rsidRPr="00D26B32">
              <w:rPr>
                <w:rFonts w:cs="Times New Roman"/>
              </w:rPr>
              <w:t xml:space="preserve">OK, </w:t>
            </w:r>
            <w:r w:rsidR="00AB6F14" w:rsidRPr="00D26B32">
              <w:rPr>
                <w:rFonts w:cs="Times New Roman"/>
              </w:rPr>
              <w:t>np.:</w:t>
            </w:r>
          </w:p>
          <w:p w:rsidR="0045670F" w:rsidRPr="00D26B32" w:rsidRDefault="0045670F" w:rsidP="00D26B32">
            <w:pPr>
              <w:autoSpaceDE w:val="0"/>
              <w:autoSpaceDN w:val="0"/>
              <w:adjustRightInd w:val="0"/>
              <w:spacing w:after="0" w:line="240" w:lineRule="auto"/>
              <w:jc w:val="both"/>
              <w:rPr>
                <w:rFonts w:cs="Times New Roman"/>
              </w:rPr>
            </w:pPr>
          </w:p>
          <w:p w:rsidR="0045670F" w:rsidRPr="00D26B32" w:rsidRDefault="00AB6F14" w:rsidP="00D26B32">
            <w:pPr>
              <w:autoSpaceDE w:val="0"/>
              <w:autoSpaceDN w:val="0"/>
              <w:adjustRightInd w:val="0"/>
              <w:spacing w:after="0" w:line="240" w:lineRule="auto"/>
              <w:jc w:val="both"/>
              <w:rPr>
                <w:rFonts w:cs="Times New Roman"/>
              </w:rPr>
            </w:pPr>
            <w:r w:rsidRPr="00D26B32">
              <w:rPr>
                <w:rFonts w:cs="Times New Roman"/>
              </w:rPr>
              <w:t>•</w:t>
            </w:r>
            <w:r w:rsidRPr="00D26B32">
              <w:rPr>
                <w:rFonts w:cs="Times New Roman"/>
              </w:rPr>
              <w:tab/>
              <w:t>uzupełnienie formularza wniosku jeśli nie wszystkie wymagane pola zostały wypełnione,</w:t>
            </w:r>
          </w:p>
          <w:p w:rsidR="0045670F" w:rsidRPr="00D26B32" w:rsidRDefault="00AB6F14" w:rsidP="00D26B32">
            <w:pPr>
              <w:autoSpaceDE w:val="0"/>
              <w:autoSpaceDN w:val="0"/>
              <w:adjustRightInd w:val="0"/>
              <w:spacing w:after="0" w:line="240" w:lineRule="auto"/>
              <w:jc w:val="both"/>
              <w:rPr>
                <w:rFonts w:cs="Times New Roman"/>
              </w:rPr>
            </w:pPr>
            <w:r w:rsidRPr="00D26B32">
              <w:rPr>
                <w:rFonts w:cs="Times New Roman"/>
              </w:rPr>
              <w:t>•</w:t>
            </w:r>
            <w:r w:rsidRPr="00D26B32">
              <w:rPr>
                <w:rFonts w:cs="Times New Roman"/>
              </w:rPr>
              <w:tab/>
              <w:t>uzupełnienie załączników jeśli nie wszystkie wymagane załączniki zostały załączone,</w:t>
            </w:r>
          </w:p>
          <w:p w:rsidR="0045670F" w:rsidRPr="00D26B32" w:rsidRDefault="00AB6F14" w:rsidP="00D26B32">
            <w:pPr>
              <w:autoSpaceDE w:val="0"/>
              <w:autoSpaceDN w:val="0"/>
              <w:adjustRightInd w:val="0"/>
              <w:spacing w:after="0" w:line="240" w:lineRule="auto"/>
              <w:jc w:val="both"/>
              <w:rPr>
                <w:rFonts w:cs="Times New Roman"/>
              </w:rPr>
            </w:pPr>
            <w:r w:rsidRPr="00D26B32">
              <w:rPr>
                <w:rFonts w:cs="Times New Roman"/>
              </w:rPr>
              <w:t>•</w:t>
            </w:r>
            <w:r w:rsidRPr="00D26B32">
              <w:rPr>
                <w:rFonts w:cs="Times New Roman"/>
              </w:rPr>
              <w:tab/>
              <w:t>poprawa jakości załączonych skanów, w sytuacji gdy nie są czytelne,</w:t>
            </w:r>
          </w:p>
          <w:p w:rsidR="0045670F" w:rsidRPr="00D26B32" w:rsidRDefault="00AB6F14" w:rsidP="00D26B32">
            <w:pPr>
              <w:autoSpaceDE w:val="0"/>
              <w:autoSpaceDN w:val="0"/>
              <w:adjustRightInd w:val="0"/>
              <w:spacing w:after="0" w:line="240" w:lineRule="auto"/>
              <w:jc w:val="both"/>
              <w:rPr>
                <w:rFonts w:cs="Times New Roman"/>
              </w:rPr>
            </w:pPr>
            <w:r w:rsidRPr="00D26B32">
              <w:rPr>
                <w:rFonts w:cs="Times New Roman"/>
              </w:rPr>
              <w:t>•</w:t>
            </w:r>
            <w:r w:rsidRPr="00D26B32">
              <w:rPr>
                <w:rFonts w:cs="Times New Roman"/>
              </w:rPr>
              <w:tab/>
              <w:t>uzupełnienie brakujących podpisów i pieczęci.</w:t>
            </w:r>
          </w:p>
          <w:p w:rsidR="0045670F" w:rsidRPr="007B042A" w:rsidRDefault="0045670F" w:rsidP="0045670F">
            <w:pPr>
              <w:autoSpaceDE w:val="0"/>
              <w:autoSpaceDN w:val="0"/>
              <w:adjustRightInd w:val="0"/>
              <w:spacing w:after="0" w:line="240" w:lineRule="auto"/>
              <w:jc w:val="both"/>
              <w:rPr>
                <w:rFonts w:cs="Times New Roman"/>
                <w:color w:val="000000"/>
              </w:rPr>
            </w:pP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w:t>
            </w:r>
            <w:r>
              <w:rPr>
                <w:rFonts w:cs="Times New Roman"/>
                <w:color w:val="000000"/>
              </w:rPr>
              <w:br/>
            </w:r>
            <w:r w:rsidRPr="007B042A">
              <w:rPr>
                <w:rFonts w:cs="Times New Roman"/>
                <w:color w:val="000000"/>
              </w:rPr>
              <w:t xml:space="preserve">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45653">
              <w:rPr>
                <w:rFonts w:asciiTheme="minorHAnsi" w:hAnsiTheme="minorHAnsi"/>
                <w:b/>
                <w:bCs/>
                <w:sz w:val="22"/>
                <w:szCs w:val="22"/>
              </w:rPr>
              <w:t xml:space="preserve">Wzór wniosku </w:t>
            </w:r>
            <w:r w:rsidRPr="00145653">
              <w:rPr>
                <w:rFonts w:asciiTheme="minorHAnsi" w:hAnsiTheme="minorHAnsi"/>
                <w:b/>
                <w:bCs/>
                <w:sz w:val="22"/>
                <w:szCs w:val="22"/>
              </w:rPr>
              <w:br/>
              <w:t>o dofinansowanie projektu/zakres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7371E3" w:rsidRPr="00B970EE" w:rsidRDefault="007371E3" w:rsidP="007371E3">
            <w:pPr>
              <w:pStyle w:val="xl33"/>
              <w:spacing w:after="0"/>
              <w:jc w:val="both"/>
              <w:rPr>
                <w:rFonts w:asciiTheme="minorHAnsi" w:hAnsiTheme="minorHAnsi" w:cs="Arial"/>
                <w:sz w:val="22"/>
                <w:szCs w:val="22"/>
              </w:rPr>
            </w:pPr>
            <w:r w:rsidRPr="00B970EE">
              <w:rPr>
                <w:rFonts w:asciiTheme="minorHAnsi" w:hAnsiTheme="minorHAnsi" w:cs="Arial"/>
                <w:sz w:val="22"/>
                <w:szCs w:val="22"/>
              </w:rPr>
              <w:t xml:space="preserve">Wykaz informacji, których należy udzielić ubiegając się o dofinansowanie projektu zawiera załącznik nr 5 do uchwały przyjmującej niniejszy Regulamin i jest zamieszczony na stronie www.rpo.dolnyslask.pl, a w przypadku naborów </w:t>
            </w:r>
            <w:r>
              <w:rPr>
                <w:rFonts w:asciiTheme="minorHAnsi" w:hAnsiTheme="minorHAnsi" w:cs="Arial"/>
                <w:sz w:val="22"/>
                <w:szCs w:val="22"/>
              </w:rPr>
              <w:t>przeznaczonych dla</w:t>
            </w:r>
            <w:r w:rsidRPr="00B970EE">
              <w:rPr>
                <w:rFonts w:asciiTheme="minorHAnsi" w:hAnsiTheme="minorHAnsi" w:cs="Arial"/>
                <w:sz w:val="22"/>
                <w:szCs w:val="22"/>
              </w:rPr>
              <w:t xml:space="preserve"> ZIT, także na stronach in</w:t>
            </w:r>
            <w:r>
              <w:rPr>
                <w:rFonts w:asciiTheme="minorHAnsi" w:hAnsiTheme="minorHAnsi" w:cs="Arial"/>
                <w:sz w:val="22"/>
                <w:szCs w:val="22"/>
              </w:rPr>
              <w:t>ternetowych poszczególnych ZIT.</w:t>
            </w:r>
          </w:p>
          <w:p w:rsidR="007371E3" w:rsidRPr="00B970EE" w:rsidRDefault="007371E3" w:rsidP="007371E3">
            <w:pPr>
              <w:pStyle w:val="xl33"/>
              <w:spacing w:after="0"/>
              <w:jc w:val="both"/>
              <w:rPr>
                <w:rFonts w:asciiTheme="minorHAnsi" w:hAnsiTheme="minorHAnsi" w:cs="Arial"/>
                <w:sz w:val="22"/>
                <w:szCs w:val="22"/>
              </w:rPr>
            </w:pPr>
            <w:r w:rsidRPr="00B970EE">
              <w:rPr>
                <w:rFonts w:asciiTheme="minorHAnsi" w:hAnsiTheme="minorHAnsi" w:cs="Arial"/>
                <w:sz w:val="22"/>
                <w:szCs w:val="22"/>
              </w:rPr>
              <w:t>Na powyższej stronie zamieszczone są również wzory załącznik</w:t>
            </w:r>
            <w:r>
              <w:rPr>
                <w:rFonts w:asciiTheme="minorHAnsi" w:hAnsiTheme="minorHAnsi" w:cs="Arial"/>
                <w:sz w:val="22"/>
                <w:szCs w:val="22"/>
              </w:rPr>
              <w:t xml:space="preserve">ów do wniosku o dofinansowanie. </w:t>
            </w:r>
          </w:p>
          <w:p w:rsidR="007371E3" w:rsidRDefault="007371E3" w:rsidP="007371E3">
            <w:pPr>
              <w:pStyle w:val="xl33"/>
              <w:spacing w:before="0" w:after="0"/>
              <w:jc w:val="both"/>
              <w:rPr>
                <w:rFonts w:asciiTheme="minorHAnsi" w:hAnsiTheme="minorHAnsi" w:cs="Arial"/>
                <w:sz w:val="22"/>
                <w:szCs w:val="22"/>
              </w:rPr>
            </w:pPr>
            <w:r w:rsidRPr="00B970EE">
              <w:rPr>
                <w:rFonts w:asciiTheme="minorHAnsi" w:hAnsiTheme="minorHAnsi" w:cs="Arial"/>
                <w:sz w:val="22"/>
                <w:szCs w:val="22"/>
              </w:rPr>
              <w:t xml:space="preserve">W zależności od specyfiki projektu i sytuacji Wnioskodawcy ostateczny zakres informacji niezbędnych do wypełnienia wniosku w generatorze może być </w:t>
            </w:r>
            <w:r>
              <w:rPr>
                <w:rFonts w:asciiTheme="minorHAnsi" w:hAnsiTheme="minorHAnsi" w:cs="Arial"/>
                <w:sz w:val="22"/>
                <w:szCs w:val="22"/>
              </w:rPr>
              <w:t>inny niż wskazany w załączniku.</w:t>
            </w:r>
          </w:p>
          <w:p w:rsidR="00984533" w:rsidRPr="0081019B" w:rsidRDefault="00984533" w:rsidP="00480411">
            <w:pPr>
              <w:spacing w:before="120" w:after="120" w:line="240" w:lineRule="auto"/>
              <w:jc w:val="both"/>
            </w:pPr>
          </w:p>
        </w:tc>
      </w:tr>
      <w:tr w:rsidR="00984533" w:rsidRPr="00151119" w:rsidTr="006D7C1A">
        <w:tc>
          <w:tcPr>
            <w:tcW w:w="534" w:type="dxa"/>
          </w:tcPr>
          <w:p w:rsidR="00984533" w:rsidRPr="00145653" w:rsidRDefault="00984533" w:rsidP="00480411">
            <w:pPr>
              <w:autoSpaceDE w:val="0"/>
              <w:autoSpaceDN w:val="0"/>
              <w:adjustRightInd w:val="0"/>
              <w:spacing w:after="0" w:line="240" w:lineRule="auto"/>
              <w:rPr>
                <w:rFonts w:cs="Calibri"/>
                <w:b/>
                <w:bCs/>
                <w:color w:val="000000"/>
              </w:rPr>
            </w:pPr>
            <w:r w:rsidRPr="00145653">
              <w:rPr>
                <w:rFonts w:cs="Calibri"/>
                <w:b/>
                <w:bCs/>
                <w:color w:val="000000"/>
              </w:rPr>
              <w:t>18.</w:t>
            </w:r>
          </w:p>
        </w:tc>
        <w:tc>
          <w:tcPr>
            <w:tcW w:w="2268" w:type="dxa"/>
          </w:tcPr>
          <w:p w:rsidR="00984533" w:rsidRPr="00145653" w:rsidRDefault="00984533" w:rsidP="00480411">
            <w:pPr>
              <w:pStyle w:val="Default"/>
              <w:rPr>
                <w:rFonts w:asciiTheme="minorHAnsi" w:hAnsiTheme="minorHAnsi"/>
                <w:sz w:val="22"/>
                <w:szCs w:val="22"/>
              </w:rPr>
            </w:pPr>
            <w:r w:rsidRPr="00145653">
              <w:rPr>
                <w:rFonts w:asciiTheme="minorHAnsi" w:hAnsiTheme="minorHAnsi"/>
                <w:b/>
                <w:bCs/>
                <w:sz w:val="22"/>
                <w:szCs w:val="22"/>
              </w:rPr>
              <w:t xml:space="preserve">Wzór umowy </w:t>
            </w:r>
            <w:r w:rsidRPr="00145653">
              <w:rPr>
                <w:rFonts w:asciiTheme="minorHAnsi" w:hAnsiTheme="minorHAnsi"/>
                <w:b/>
                <w:bCs/>
                <w:sz w:val="22"/>
                <w:szCs w:val="22"/>
              </w:rPr>
              <w:br/>
              <w:t xml:space="preserve">o dofinansowanie projektu: </w:t>
            </w:r>
          </w:p>
          <w:p w:rsidR="00984533" w:rsidRPr="00145653"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Wzór umowy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202925">
              <w:rPr>
                <w:rFonts w:asciiTheme="minorHAnsi" w:hAnsiTheme="minorHAnsi"/>
                <w:sz w:val="22"/>
                <w:szCs w:val="22"/>
              </w:rPr>
              <w:t>6</w:t>
            </w:r>
            <w:r w:rsidRPr="00151119">
              <w:rPr>
                <w:rFonts w:asciiTheme="minorHAnsi" w:hAnsiTheme="minorHAnsi"/>
                <w:sz w:val="22"/>
                <w:szCs w:val="22"/>
              </w:rPr>
              <w:t xml:space="preserve"> do </w:t>
            </w:r>
            <w:r w:rsidR="00D26B32">
              <w:rPr>
                <w:rFonts w:asciiTheme="minorHAnsi" w:hAnsiTheme="minorHAnsi"/>
                <w:sz w:val="22"/>
                <w:szCs w:val="22"/>
              </w:rPr>
              <w:t>uchwały przyjmującej niniejszy</w:t>
            </w:r>
            <w:r w:rsidRPr="00151119">
              <w:rPr>
                <w:rFonts w:asciiTheme="minorHAnsi" w:hAnsiTheme="minorHAnsi"/>
                <w:sz w:val="22"/>
                <w:szCs w:val="22"/>
              </w:rPr>
              <w:t xml:space="preserve"> Regulaminu i jest zamieszczony na stronie </w:t>
            </w:r>
            <w:hyperlink r:id="rId16" w:history="1">
              <w:r w:rsidRPr="00151119">
                <w:rPr>
                  <w:rStyle w:val="Hipercze"/>
                  <w:rFonts w:asciiTheme="minorHAnsi" w:hAnsiTheme="minorHAnsi"/>
                  <w:sz w:val="22"/>
                  <w:szCs w:val="22"/>
                </w:rPr>
                <w:t>www.rpo.dolnyslask.pl</w:t>
              </w:r>
            </w:hyperlink>
            <w:r w:rsidRPr="00151119">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Wzór umowy zawiera wszystkie postanowie</w:t>
            </w:r>
            <w:r w:rsidR="0090534C">
              <w:rPr>
                <w:rFonts w:asciiTheme="minorHAnsi" w:hAnsiTheme="minorHAnsi"/>
                <w:sz w:val="22"/>
                <w:szCs w:val="22"/>
              </w:rPr>
              <w:t xml:space="preserve">nia wymagane przepisami prawa, </w:t>
            </w:r>
            <w:r w:rsidRPr="00DC34AB">
              <w:rPr>
                <w:rFonts w:asciiTheme="minorHAnsi" w:hAnsiTheme="minorHAnsi"/>
                <w:sz w:val="22"/>
                <w:szCs w:val="22"/>
              </w:rP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w:t>
            </w:r>
            <w:r w:rsidR="0090534C">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5653"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434562">
              <w:rPr>
                <w:rFonts w:asciiTheme="minorHAnsi" w:hAnsiTheme="minorHAnsi"/>
                <w:sz w:val="22"/>
                <w:szCs w:val="22"/>
              </w:rPr>
              <w:t>1</w:t>
            </w:r>
            <w:r w:rsidR="00434562" w:rsidRPr="000D366A">
              <w:rPr>
                <w:rFonts w:asciiTheme="minorHAnsi" w:hAnsiTheme="minorHAnsi"/>
                <w:sz w:val="22"/>
                <w:szCs w:val="22"/>
              </w:rPr>
              <w:t xml:space="preserve"> </w:t>
            </w:r>
            <w:r w:rsidRPr="000D366A">
              <w:rPr>
                <w:rFonts w:asciiTheme="minorHAnsi" w:hAnsiTheme="minorHAnsi"/>
                <w:sz w:val="22"/>
                <w:szCs w:val="22"/>
              </w:rPr>
              <w:t xml:space="preserve">do </w:t>
            </w:r>
            <w:r w:rsidRPr="00145653">
              <w:rPr>
                <w:rFonts w:asciiTheme="minorHAnsi" w:hAnsiTheme="minorHAnsi"/>
                <w:sz w:val="22"/>
                <w:szCs w:val="22"/>
              </w:rPr>
              <w:t>niniejszego Regulaminu.</w:t>
            </w:r>
          </w:p>
          <w:p w:rsidR="00984533" w:rsidRDefault="00984533" w:rsidP="00480411">
            <w:pPr>
              <w:pStyle w:val="Default"/>
              <w:jc w:val="both"/>
              <w:rPr>
                <w:rFonts w:asciiTheme="minorHAnsi" w:hAnsiTheme="minorHAnsi"/>
                <w:sz w:val="22"/>
                <w:szCs w:val="22"/>
              </w:rPr>
            </w:pPr>
            <w:r w:rsidRPr="00145653">
              <w:rPr>
                <w:bCs/>
                <w:i/>
                <w:iCs/>
                <w:sz w:val="22"/>
                <w:szCs w:val="22"/>
              </w:rPr>
              <w:t>„Kryteria wyboru projektów w ramach RPO WD 2014-2020”</w:t>
            </w:r>
            <w:r w:rsidRPr="00145653">
              <w:rPr>
                <w:bCs/>
                <w:iCs/>
                <w:sz w:val="22"/>
                <w:szCs w:val="22"/>
              </w:rPr>
              <w:t xml:space="preserve">, </w:t>
            </w:r>
            <w:r w:rsidRPr="00145653">
              <w:rPr>
                <w:iCs/>
                <w:sz w:val="22"/>
                <w:szCs w:val="22"/>
              </w:rPr>
              <w:t>zatwierdzone uchwałą nr</w:t>
            </w:r>
            <w:r w:rsidR="009C428E" w:rsidRPr="00145653">
              <w:rPr>
                <w:iCs/>
                <w:sz w:val="22"/>
                <w:szCs w:val="22"/>
              </w:rPr>
              <w:t xml:space="preserve"> </w:t>
            </w:r>
            <w:r w:rsidR="002D2BDE">
              <w:rPr>
                <w:iCs/>
                <w:sz w:val="22"/>
                <w:szCs w:val="22"/>
              </w:rPr>
              <w:t>25</w:t>
            </w:r>
            <w:r w:rsidR="005779A2" w:rsidRPr="00145653">
              <w:rPr>
                <w:iCs/>
                <w:sz w:val="22"/>
                <w:szCs w:val="22"/>
              </w:rPr>
              <w:t>/16</w:t>
            </w:r>
            <w:r w:rsidRPr="00145653">
              <w:rPr>
                <w:iCs/>
                <w:sz w:val="22"/>
                <w:szCs w:val="22"/>
              </w:rPr>
              <w:t xml:space="preserve"> z dnia </w:t>
            </w:r>
            <w:r w:rsidR="005779A2" w:rsidRPr="00145653">
              <w:rPr>
                <w:iCs/>
                <w:sz w:val="22"/>
                <w:szCs w:val="22"/>
              </w:rPr>
              <w:t>12</w:t>
            </w:r>
            <w:r w:rsidR="00D5162B" w:rsidRPr="00145653">
              <w:rPr>
                <w:iCs/>
                <w:sz w:val="22"/>
                <w:szCs w:val="22"/>
              </w:rPr>
              <w:t xml:space="preserve"> </w:t>
            </w:r>
            <w:r w:rsidR="005779A2" w:rsidRPr="00145653">
              <w:rPr>
                <w:iCs/>
                <w:sz w:val="22"/>
                <w:szCs w:val="22"/>
              </w:rPr>
              <w:t>lutego</w:t>
            </w:r>
            <w:r w:rsidR="00D5162B" w:rsidRPr="00145653">
              <w:rPr>
                <w:iCs/>
                <w:sz w:val="22"/>
                <w:szCs w:val="22"/>
              </w:rPr>
              <w:t xml:space="preserve"> </w:t>
            </w:r>
            <w:r w:rsidR="005779A2" w:rsidRPr="00145653">
              <w:rPr>
                <w:iCs/>
                <w:sz w:val="22"/>
                <w:szCs w:val="22"/>
              </w:rPr>
              <w:t>2016</w:t>
            </w:r>
            <w:r w:rsidR="009455A4" w:rsidRPr="00145653">
              <w:rPr>
                <w:iCs/>
                <w:sz w:val="22"/>
                <w:szCs w:val="22"/>
              </w:rPr>
              <w:t xml:space="preserve"> r. </w:t>
            </w:r>
            <w:r w:rsidRPr="00145653">
              <w:rPr>
                <w:iCs/>
                <w:sz w:val="22"/>
                <w:szCs w:val="22"/>
              </w:rPr>
              <w:t>przez Komitet Monitorujący Regionalnego Programu Operacyjnego Województwa</w:t>
            </w:r>
            <w:r w:rsidRPr="000D366A">
              <w:rPr>
                <w:iCs/>
                <w:sz w:val="22"/>
                <w:szCs w:val="22"/>
              </w:rPr>
              <w:t xml:space="preserve"> Dolnośląskiego </w:t>
            </w:r>
            <w:r w:rsidRPr="000D366A">
              <w:rPr>
                <w:rFonts w:asciiTheme="minorHAnsi" w:hAnsiTheme="minorHAnsi"/>
                <w:sz w:val="22"/>
                <w:szCs w:val="22"/>
              </w:rPr>
              <w:t xml:space="preserve"> są zamieszczone na stronie </w:t>
            </w:r>
            <w:hyperlink r:id="rId17"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18"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434562">
              <w:rPr>
                <w:sz w:val="22"/>
                <w:szCs w:val="22"/>
              </w:rPr>
              <w:t>2</w:t>
            </w:r>
            <w:r w:rsidR="00434562"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7F22B2">
              <w:rPr>
                <w:iCs/>
                <w:sz w:val="22"/>
                <w:szCs w:val="22"/>
              </w:rPr>
              <w:t>7.1</w:t>
            </w:r>
            <w:r w:rsidR="00A61522" w:rsidRPr="00A61522">
              <w:rPr>
                <w:iCs/>
                <w:sz w:val="22"/>
                <w:szCs w:val="22"/>
              </w:rPr>
              <w:t>.</w:t>
            </w:r>
            <w:r w:rsidR="00D626E0">
              <w:rPr>
                <w:iCs/>
                <w:sz w:val="22"/>
                <w:szCs w:val="22"/>
              </w:rPr>
              <w:t>1.</w:t>
            </w:r>
            <w:r w:rsidR="007F22B2">
              <w:t xml:space="preserve"> </w:t>
            </w:r>
            <w:r w:rsidR="007F22B2" w:rsidRPr="007F22B2">
              <w:rPr>
                <w:iCs/>
                <w:sz w:val="22"/>
                <w:szCs w:val="22"/>
              </w:rPr>
              <w:t>Inwestycje w edukację przedszkolną, podstawową i gimnazjalną</w:t>
            </w:r>
            <w:r w:rsidR="00283849">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984533" w:rsidRPr="003A6136" w:rsidRDefault="00984533" w:rsidP="00480411">
            <w:pPr>
              <w:spacing w:after="0" w:line="240" w:lineRule="auto"/>
              <w:jc w:val="both"/>
              <w:rPr>
                <w:rFonts w:ascii="Calibri" w:hAnsi="Calibri"/>
              </w:rPr>
            </w:pPr>
            <w:r w:rsidRPr="003A6136">
              <w:rPr>
                <w:rFonts w:ascii="Calibri" w:hAnsi="Calibri"/>
              </w:rPr>
              <w:t xml:space="preserve">IZ RPO WD, po zakończeniu każdego etapu </w:t>
            </w:r>
            <w:r>
              <w:rPr>
                <w:rFonts w:ascii="Calibri" w:hAnsi="Calibri"/>
              </w:rPr>
              <w:t xml:space="preserve">konkursu </w:t>
            </w:r>
            <w:r w:rsidRPr="003A6136">
              <w:rPr>
                <w:rFonts w:ascii="Calibri" w:hAnsi="Calibri"/>
              </w:rPr>
              <w:t xml:space="preserve">(poza oceną wpływu projektów na realizację Strategii Rozwoju Województwa Dolnośląskiego 2020) </w:t>
            </w:r>
            <w:r>
              <w:rPr>
                <w:rFonts w:ascii="Calibri" w:hAnsi="Calibri"/>
              </w:rPr>
              <w:br/>
            </w:r>
            <w:r w:rsidRPr="003A6136">
              <w:rPr>
                <w:rFonts w:ascii="Calibri" w:hAnsi="Calibri"/>
              </w:rPr>
              <w:t xml:space="preserve">i wyboru projektów, </w:t>
            </w:r>
            <w:r>
              <w:rPr>
                <w:rFonts w:ascii="Calibri" w:hAnsi="Calibri"/>
              </w:rPr>
              <w:t xml:space="preserve">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3A6136" w:rsidRDefault="00984533" w:rsidP="00480411">
            <w:pPr>
              <w:spacing w:after="0" w:line="240" w:lineRule="auto"/>
              <w:jc w:val="both"/>
              <w:rPr>
                <w:rFonts w:ascii="Calibri" w:hAnsi="Calibri"/>
              </w:rPr>
            </w:pPr>
            <w:r w:rsidRPr="003A6136">
              <w:rPr>
                <w:rFonts w:ascii="Calibri" w:hAnsi="Calibri"/>
              </w:rPr>
              <w:t>Po poszczególnych etapach oceny formalnej i</w:t>
            </w:r>
            <w:r w:rsidRPr="003A6136" w:rsidDel="00D37D97">
              <w:t xml:space="preserve"> </w:t>
            </w:r>
            <w:r w:rsidRPr="003A6136">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3A6136">
              <w:t xml:space="preserve"> </w:t>
            </w:r>
            <w:r w:rsidRPr="003A6136">
              <w:rPr>
                <w:rFonts w:ascii="Calibri" w:hAnsi="Calibri"/>
              </w:rPr>
              <w:t>ustawy</w:t>
            </w:r>
            <w:r>
              <w:rPr>
                <w:rFonts w:ascii="Calibri" w:hAnsi="Calibri"/>
              </w:rPr>
              <w:t xml:space="preserve"> wdrożeniowej</w:t>
            </w:r>
            <w:r w:rsidRPr="003A6136">
              <w:rPr>
                <w:rFonts w:ascii="Calibri" w:hAnsi="Calibri"/>
              </w:rPr>
              <w:t>.</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D63A11" w:rsidRPr="00D63A11" w:rsidRDefault="005D166C" w:rsidP="00D63A11">
            <w:pPr>
              <w:spacing w:after="0" w:line="240" w:lineRule="auto"/>
              <w:jc w:val="both"/>
              <w:rPr>
                <w:rFonts w:ascii="Calibri" w:hAnsi="Calibri"/>
              </w:rPr>
            </w:pPr>
            <w:r>
              <w:t xml:space="preserve"> </w:t>
            </w:r>
            <w:r w:rsidRPr="005D166C">
              <w:rPr>
                <w:rFonts w:ascii="Calibri" w:hAnsi="Calibri"/>
              </w:rPr>
              <w:t xml:space="preserve">Zgodnie z art. 53 ust. 2 ustawy wdrożeniowej </w:t>
            </w:r>
            <w:r>
              <w:rPr>
                <w:rFonts w:ascii="Calibri" w:hAnsi="Calibri"/>
              </w:rPr>
              <w:t>p</w:t>
            </w:r>
            <w:r w:rsidR="00984533" w:rsidRPr="003C6677">
              <w:rPr>
                <w:rFonts w:ascii="Calibri" w:hAnsi="Calibri"/>
              </w:rPr>
              <w:t xml:space="preserve">rotest przysługuje Wnioskodawcy od negatywnej oceny  projektu </w:t>
            </w:r>
            <w:r w:rsidR="00D63A11" w:rsidRPr="00D63A11">
              <w:rPr>
                <w:rFonts w:ascii="Calibri" w:hAnsi="Calibri"/>
              </w:rPr>
              <w:t>w zakresie spełnienia przez projekt kryteriów wyboru projektów, w ramach której:</w:t>
            </w:r>
          </w:p>
          <w:p w:rsidR="00D63A11" w:rsidRPr="00D63A11" w:rsidRDefault="00D63A11" w:rsidP="00D63A11">
            <w:pPr>
              <w:spacing w:after="0" w:line="240" w:lineRule="auto"/>
              <w:jc w:val="both"/>
              <w:rPr>
                <w:rFonts w:ascii="Calibri" w:hAnsi="Calibri"/>
              </w:rPr>
            </w:pPr>
            <w:r w:rsidRPr="00D63A11">
              <w:rPr>
                <w:rFonts w:ascii="Calibri" w:hAnsi="Calibri"/>
              </w:rPr>
              <w:t>1.</w:t>
            </w:r>
            <w:r w:rsidRPr="00D63A11">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63A11" w:rsidRDefault="00D63A11" w:rsidP="00D63A11">
            <w:pPr>
              <w:spacing w:after="0" w:line="240" w:lineRule="auto"/>
              <w:jc w:val="both"/>
              <w:rPr>
                <w:rFonts w:ascii="Calibri" w:hAnsi="Calibri"/>
              </w:rPr>
            </w:pPr>
            <w:r w:rsidRPr="00D63A11">
              <w:rPr>
                <w:rFonts w:ascii="Calibri" w:hAnsi="Calibri"/>
              </w:rPr>
              <w:t>lub</w:t>
            </w:r>
          </w:p>
          <w:p w:rsidR="00D63A11" w:rsidRDefault="00D63A11" w:rsidP="00D63A11">
            <w:pPr>
              <w:spacing w:after="0" w:line="240" w:lineRule="auto"/>
              <w:jc w:val="both"/>
              <w:rPr>
                <w:rFonts w:ascii="Calibri" w:hAnsi="Calibri"/>
              </w:rPr>
            </w:pPr>
            <w:r w:rsidRPr="00D63A11">
              <w:rPr>
                <w:rFonts w:ascii="Calibri" w:hAnsi="Calibri"/>
              </w:rPr>
              <w:t>2.</w:t>
            </w:r>
            <w:r w:rsidRPr="00D63A11">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3C6677" w:rsidRDefault="00984533" w:rsidP="00D63A11">
            <w:pPr>
              <w:spacing w:after="0" w:line="240" w:lineRule="auto"/>
              <w:jc w:val="both"/>
              <w:rPr>
                <w:rFonts w:ascii="Calibri" w:hAnsi="Calibri"/>
              </w:rPr>
            </w:pPr>
            <w:r w:rsidRPr="003C6677">
              <w:rPr>
                <w:rFonts w:ascii="Calibri" w:hAnsi="Calibri"/>
              </w:rPr>
              <w:t>Termin</w:t>
            </w:r>
            <w:r w:rsidR="005D166C">
              <w:rPr>
                <w:rFonts w:ascii="Calibri" w:hAnsi="Calibri"/>
              </w:rPr>
              <w:t>, 14 dni</w:t>
            </w:r>
            <w:r w:rsidRPr="003C6677">
              <w:rPr>
                <w:rFonts w:ascii="Calibri" w:hAnsi="Calibri"/>
              </w:rPr>
              <w:t xml:space="preserve">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3C6677" w:rsidRDefault="00984533" w:rsidP="00480411">
            <w:pPr>
              <w:widowControl w:val="0"/>
              <w:autoSpaceDE w:val="0"/>
              <w:autoSpaceDN w:val="0"/>
              <w:adjustRightInd w:val="0"/>
              <w:spacing w:after="0" w:line="240" w:lineRule="auto"/>
              <w:jc w:val="both"/>
              <w:rPr>
                <w:rFonts w:ascii="Calibri" w:hAnsi="Calibri"/>
              </w:rPr>
            </w:pPr>
          </w:p>
          <w:p w:rsidR="00984533"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Protest jest wnoszony przez Wnioskodawcę w formie pisemnej, bezpośrednio do IZ RPO WD. Zgodnie z art. 54 ust. 2 ustawy</w:t>
            </w:r>
            <w:r>
              <w:rPr>
                <w:rFonts w:ascii="Calibri" w:hAnsi="Calibri"/>
              </w:rPr>
              <w:t xml:space="preserve"> wdrożeniowej</w:t>
            </w:r>
            <w:r w:rsidRPr="003C6677">
              <w:rPr>
                <w:rFonts w:ascii="Calibri" w:hAnsi="Calibri"/>
              </w:rPr>
              <w:t xml:space="preserve">, </w:t>
            </w:r>
            <w:r w:rsidRPr="003C6677">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Pr>
                <w:rFonts w:ascii="Calibri" w:hAnsi="Calibri" w:cs="Arial"/>
              </w:rPr>
              <w:br/>
            </w:r>
            <w:r w:rsidRPr="003C6677">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984533" w:rsidRPr="003C6677"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tabs>
                <w:tab w:val="num" w:pos="0"/>
              </w:tabs>
              <w:spacing w:after="0" w:line="240" w:lineRule="auto"/>
              <w:jc w:val="both"/>
              <w:rPr>
                <w:rFonts w:ascii="Calibri" w:hAnsi="Calibri" w:cs="Arial"/>
              </w:rPr>
            </w:pPr>
            <w:r w:rsidRPr="003C6677">
              <w:rPr>
                <w:rFonts w:ascii="Calibri" w:hAnsi="Calibri" w:cs="Arial"/>
              </w:rPr>
              <w:t xml:space="preserve">IZ RPO WD rozpatruje protest – weryfikując prawidłowość oceny projektu </w:t>
            </w:r>
            <w:r>
              <w:rPr>
                <w:rFonts w:ascii="Calibri" w:hAnsi="Calibri" w:cs="Arial"/>
              </w:rPr>
              <w:br/>
            </w:r>
            <w:r w:rsidRPr="003C6677">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spacing w:after="0" w:line="240" w:lineRule="auto"/>
              <w:jc w:val="both"/>
              <w:rPr>
                <w:rFonts w:ascii="Calibri" w:hAnsi="Calibri"/>
              </w:rPr>
            </w:pPr>
            <w:r w:rsidRPr="003C6677">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3C6677" w:rsidRDefault="00984533" w:rsidP="00480411">
            <w:pPr>
              <w:spacing w:after="0" w:line="240" w:lineRule="auto"/>
              <w:jc w:val="both"/>
              <w:rPr>
                <w:rFonts w:ascii="Calibri" w:hAnsi="Calibri"/>
              </w:rPr>
            </w:pPr>
            <w:r w:rsidRPr="003C6677">
              <w:rPr>
                <w:rFonts w:ascii="Calibri" w:hAnsi="Calibri"/>
              </w:rPr>
              <w:t>W przypadku uwzględnienia protestu IZ RPO WD przekazuje projekt do właściwego (następnego) etapu oceny lub umieszcza go na liście projektów wybranych do dofinansowania</w:t>
            </w:r>
            <w:r>
              <w:rPr>
                <w:rFonts w:ascii="Calibri" w:hAnsi="Calibri"/>
              </w:rPr>
              <w:t xml:space="preserve"> (w przypadku dostępności środków w danym działaniu/poddziałaniu)</w:t>
            </w:r>
            <w:r w:rsidRPr="003C6677">
              <w:rPr>
                <w:rFonts w:ascii="Calibri" w:hAnsi="Calibri"/>
              </w:rPr>
              <w:t>.</w:t>
            </w:r>
          </w:p>
          <w:p w:rsidR="00984533" w:rsidRPr="003C6677" w:rsidRDefault="00984533" w:rsidP="00480411">
            <w:pPr>
              <w:tabs>
                <w:tab w:val="num" w:pos="0"/>
              </w:tabs>
              <w:spacing w:after="0" w:line="240" w:lineRule="auto"/>
              <w:jc w:val="both"/>
              <w:rPr>
                <w:rFonts w:ascii="Calibri" w:hAnsi="Calibri" w:cs="Arial"/>
                <w:iCs/>
              </w:rPr>
            </w:pPr>
            <w:r>
              <w:rPr>
                <w:rFonts w:ascii="Calibri" w:hAnsi="Calibri" w:cs="Arial"/>
                <w:iCs/>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Nie podlega rozpatrzeniu przez IZ RPO WD protest, jeżeli mimo prawidłowego pouczenia ww. środek odwoławczy został wniesiony przez Wnioskodawcę do IZ RPO WD:</w:t>
            </w:r>
          </w:p>
          <w:p w:rsidR="00984533" w:rsidRPr="003C6677" w:rsidRDefault="00984533" w:rsidP="00480411">
            <w:pPr>
              <w:spacing w:after="0" w:line="240" w:lineRule="auto"/>
              <w:jc w:val="both"/>
              <w:rPr>
                <w:rFonts w:ascii="Calibri" w:hAnsi="Calibri"/>
              </w:rPr>
            </w:pPr>
            <w:r w:rsidRPr="003C6677">
              <w:rPr>
                <w:rFonts w:ascii="Calibri" w:hAnsi="Calibri"/>
              </w:rPr>
              <w:t xml:space="preserve">- po terminie, </w:t>
            </w:r>
          </w:p>
          <w:p w:rsidR="00984533" w:rsidRPr="003C6677" w:rsidRDefault="00984533" w:rsidP="00480411">
            <w:pPr>
              <w:spacing w:after="0" w:line="240" w:lineRule="auto"/>
              <w:jc w:val="both"/>
              <w:rPr>
                <w:rFonts w:ascii="Calibri" w:hAnsi="Calibri"/>
              </w:rPr>
            </w:pPr>
            <w:r w:rsidRPr="003C6677">
              <w:rPr>
                <w:rFonts w:ascii="Calibri" w:hAnsi="Calibri"/>
              </w:rPr>
              <w:t xml:space="preserve">- przez podmiot wykluczony z możliwości otrzymania dofinansowania, </w:t>
            </w:r>
          </w:p>
          <w:p w:rsidR="00984533" w:rsidRPr="003C6677" w:rsidRDefault="00984533" w:rsidP="00480411">
            <w:pPr>
              <w:spacing w:after="0" w:line="240" w:lineRule="auto"/>
              <w:jc w:val="both"/>
              <w:rPr>
                <w:rFonts w:ascii="Calibri" w:hAnsi="Calibri"/>
              </w:rPr>
            </w:pPr>
            <w:r w:rsidRPr="003C6677">
              <w:rPr>
                <w:rFonts w:ascii="Calibri" w:hAnsi="Calibri"/>
              </w:rPr>
              <w:t>-</w:t>
            </w:r>
            <w:r>
              <w:rPr>
                <w:rFonts w:ascii="Calibri" w:hAnsi="Calibri"/>
              </w:rPr>
              <w:t xml:space="preserve"> </w:t>
            </w:r>
            <w:r w:rsidRPr="003C6677">
              <w:rPr>
                <w:rFonts w:ascii="Calibri" w:hAnsi="Calibri"/>
              </w:rPr>
              <w:t>bez wskazania kryteriów wyboru projektów, z których oceną Wnioskodawca się nie zgadza (wraz z uzasadnieniem).</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Pr>
                <w:rFonts w:ascii="Calibri" w:hAnsi="Calibri"/>
              </w:rPr>
              <w:t xml:space="preserve"> wdrożeniowej</w:t>
            </w:r>
            <w:r w:rsidRPr="003C6677">
              <w:rPr>
                <w:rFonts w:ascii="Calibri" w:hAnsi="Calibri"/>
              </w:rPr>
              <w:t>.</w:t>
            </w:r>
          </w:p>
          <w:p w:rsidR="00984533" w:rsidRPr="003C6677" w:rsidRDefault="00984533" w:rsidP="00480411">
            <w:pPr>
              <w:spacing w:after="0" w:line="240" w:lineRule="auto"/>
              <w:jc w:val="both"/>
              <w:rPr>
                <w:rFonts w:ascii="Calibri" w:hAnsi="Calibri"/>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rPr>
              <w:t xml:space="preserve">W przypadku, gdy wniesiony protest nie zawiera: oznaczenia instytucji właściwej do rozpatrzenia protestu, oznaczenia Wnioskodawcy, numeru wniosku </w:t>
            </w:r>
            <w:r>
              <w:rPr>
                <w:rFonts w:ascii="Calibri" w:eastAsia="Calibri" w:hAnsi="Calibri"/>
              </w:rPr>
              <w:br/>
            </w:r>
            <w:r w:rsidRPr="003C6677">
              <w:rPr>
                <w:rFonts w:ascii="Calibri" w:eastAsia="Calibri" w:hAnsi="Calibri"/>
              </w:rP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C6677">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Pr>
                <w:rFonts w:ascii="Calibri" w:eastAsia="Calibri" w:hAnsi="Calibri" w:cs="Arial"/>
              </w:rPr>
              <w:br/>
            </w:r>
            <w:r w:rsidRPr="003C6677">
              <w:rPr>
                <w:rFonts w:ascii="Calibri" w:eastAsia="Calibri" w:hAnsi="Calibri" w:cs="Arial"/>
              </w:rPr>
              <w:t xml:space="preserve">W przypadku, gdy w odpowiedzi na wezwanie: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zawiera w dalszym ciągu uchybienia formalne i/lub zawiera oczywiste omyłki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i/lub,</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został wniesiony z uchybieniem 7-dniowego terminu, </w:t>
            </w:r>
            <w:r w:rsidRPr="003C6677">
              <w:rPr>
                <w:rFonts w:ascii="Calibri" w:eastAsia="Calibri" w:hAnsi="Calibri"/>
              </w:rPr>
              <w:t xml:space="preserve">licząc od dnia </w:t>
            </w:r>
            <w:r w:rsidRPr="003C6677">
              <w:rPr>
                <w:rFonts w:ascii="Calibri" w:eastAsia="Calibri" w:hAnsi="Calibri" w:cs="Arial"/>
              </w:rPr>
              <w:t xml:space="preserve">następnego po dniu otrzymania wezwania-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pozostawia środek odwoławczy bez rozpatrzenia.</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suppressAutoHyphens/>
              <w:spacing w:after="0" w:line="240" w:lineRule="auto"/>
              <w:jc w:val="both"/>
              <w:rPr>
                <w:rFonts w:ascii="Calibri" w:hAnsi="Calibri" w:cs="Arial"/>
              </w:rPr>
            </w:pPr>
            <w:r w:rsidRPr="003C6677">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 do wniesienia skargi kasacyjnej do Naczelnego Sądu Administracyjnego od wyroku Wojewódzkiego Sądu Administracyjnego we Wrocławiu posiada Wnioskodawca, jak również IZ RPO WD.</w:t>
            </w:r>
          </w:p>
          <w:p w:rsidR="00984533" w:rsidRPr="003C6677" w:rsidRDefault="00984533" w:rsidP="00480411">
            <w:pPr>
              <w:tabs>
                <w:tab w:val="left" w:pos="993"/>
                <w:tab w:val="left" w:pos="1276"/>
              </w:tabs>
              <w:spacing w:after="0" w:line="240" w:lineRule="auto"/>
              <w:jc w:val="both"/>
              <w:rPr>
                <w:rFonts w:ascii="Calibri" w:hAnsi="Calibri" w:cs="Arial"/>
              </w:rPr>
            </w:pP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2D2BDE"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weryfikacj</w:t>
            </w:r>
            <w:r>
              <w:rPr>
                <w:rFonts w:asciiTheme="minorHAnsi" w:hAnsiTheme="minorHAnsi"/>
                <w:sz w:val="22"/>
                <w:szCs w:val="22"/>
              </w:rPr>
              <w:t>a techniczna</w:t>
            </w:r>
            <w:r w:rsidRPr="00151119">
              <w:rPr>
                <w:rFonts w:asciiTheme="minorHAnsi" w:hAnsiTheme="minorHAnsi"/>
                <w:sz w:val="22"/>
                <w:szCs w:val="22"/>
              </w:rPr>
              <w:t>, ocen</w:t>
            </w:r>
            <w:r>
              <w:rPr>
                <w:rFonts w:asciiTheme="minorHAnsi" w:hAnsiTheme="minorHAnsi"/>
                <w:sz w:val="22"/>
                <w:szCs w:val="22"/>
              </w:rPr>
              <w:t>a</w:t>
            </w:r>
            <w:r w:rsidRPr="00151119">
              <w:rPr>
                <w:rFonts w:asciiTheme="minorHAnsi" w:hAnsiTheme="minorHAnsi"/>
                <w:sz w:val="22"/>
                <w:szCs w:val="22"/>
              </w:rPr>
              <w:t xml:space="preserve"> formaln</w:t>
            </w:r>
            <w:r>
              <w:rPr>
                <w:rFonts w:asciiTheme="minorHAnsi" w:hAnsiTheme="minorHAnsi"/>
                <w:sz w:val="22"/>
                <w:szCs w:val="22"/>
              </w:rPr>
              <w:t>a</w:t>
            </w:r>
            <w:r w:rsidRPr="00151119">
              <w:rPr>
                <w:rFonts w:asciiTheme="minorHAnsi" w:hAnsiTheme="minorHAnsi"/>
                <w:sz w:val="22"/>
                <w:szCs w:val="22"/>
              </w:rPr>
              <w:t xml:space="preserve"> oraz ocen</w:t>
            </w:r>
            <w:r>
              <w:rPr>
                <w:rFonts w:asciiTheme="minorHAnsi" w:hAnsiTheme="minorHAnsi"/>
                <w:sz w:val="22"/>
                <w:szCs w:val="22"/>
              </w:rPr>
              <w:t>a</w:t>
            </w:r>
            <w:r w:rsidRPr="00151119">
              <w:rPr>
                <w:rFonts w:asciiTheme="minorHAnsi" w:hAnsiTheme="minorHAnsi"/>
                <w:sz w:val="22"/>
                <w:szCs w:val="22"/>
              </w:rPr>
              <w:t xml:space="preserve"> merytoryczn</w:t>
            </w:r>
            <w:r>
              <w:rPr>
                <w:rFonts w:asciiTheme="minorHAnsi" w:hAnsiTheme="minorHAnsi"/>
                <w:sz w:val="22"/>
                <w:szCs w:val="22"/>
              </w:rPr>
              <w:t>a)</w:t>
            </w:r>
            <w:r w:rsidRPr="00151119">
              <w:rPr>
                <w:rFonts w:asciiTheme="minorHAnsi" w:hAnsiTheme="minorHAnsi"/>
                <w:sz w:val="22"/>
                <w:szCs w:val="22"/>
              </w:rPr>
              <w:t xml:space="preserve"> IZ RPO WD 2014-2020 zamieszcza na swojej stronie list</w:t>
            </w:r>
            <w:r w:rsidR="00E92452">
              <w:rPr>
                <w:rFonts w:asciiTheme="minorHAnsi" w:hAnsiTheme="minorHAnsi"/>
                <w:sz w:val="22"/>
                <w:szCs w:val="22"/>
              </w:rPr>
              <w:t>y</w:t>
            </w:r>
            <w:r w:rsidRPr="00151119">
              <w:rPr>
                <w:rFonts w:asciiTheme="minorHAnsi" w:hAnsiTheme="minorHAnsi"/>
                <w:sz w:val="22"/>
                <w:szCs w:val="22"/>
              </w:rPr>
              <w:t xml:space="preserve"> projektów zakwalifikowanych do kolejnego etapu</w:t>
            </w:r>
            <w:r>
              <w:rPr>
                <w:rFonts w:asciiTheme="minorHAnsi" w:hAnsiTheme="minorHAnsi"/>
                <w:sz w:val="22"/>
                <w:szCs w:val="22"/>
              </w:rPr>
              <w:t xml:space="preserve"> lub list</w:t>
            </w:r>
            <w:r w:rsidR="00E92452">
              <w:rPr>
                <w:rFonts w:asciiTheme="minorHAnsi" w:hAnsiTheme="minorHAnsi"/>
                <w:sz w:val="22"/>
                <w:szCs w:val="22"/>
              </w:rPr>
              <w:t>y</w:t>
            </w:r>
            <w:r>
              <w:rPr>
                <w:rFonts w:asciiTheme="minorHAnsi" w:hAnsiTheme="minorHAnsi"/>
                <w:sz w:val="22"/>
                <w:szCs w:val="22"/>
              </w:rPr>
              <w:t>, o któr</w:t>
            </w:r>
            <w:r w:rsidR="00E92452">
              <w:rPr>
                <w:rFonts w:asciiTheme="minorHAnsi" w:hAnsiTheme="minorHAnsi"/>
                <w:sz w:val="22"/>
                <w:szCs w:val="22"/>
              </w:rPr>
              <w:t>ych</w:t>
            </w:r>
            <w:r w:rsidR="00AA5C57">
              <w:rPr>
                <w:rFonts w:asciiTheme="minorHAnsi" w:hAnsiTheme="minorHAnsi"/>
                <w:sz w:val="22"/>
                <w:szCs w:val="22"/>
              </w:rPr>
              <w:t xml:space="preserve"> mowa </w:t>
            </w:r>
            <w:r w:rsidR="00AA5C57" w:rsidRPr="002D2BDE">
              <w:rPr>
                <w:rFonts w:asciiTheme="minorHAnsi" w:hAnsiTheme="minorHAnsi"/>
                <w:sz w:val="22"/>
                <w:szCs w:val="22"/>
              </w:rPr>
              <w:t>w art. 46</w:t>
            </w:r>
            <w:r w:rsidRPr="002D2BDE">
              <w:rPr>
                <w:rFonts w:asciiTheme="minorHAnsi" w:hAnsiTheme="minorHAnsi"/>
                <w:sz w:val="22"/>
                <w:szCs w:val="22"/>
              </w:rPr>
              <w:t xml:space="preserve"> ust. 4 ustawy</w:t>
            </w:r>
            <w:r w:rsidR="00A41980" w:rsidRPr="002D2BDE">
              <w:rPr>
                <w:rFonts w:asciiTheme="minorHAnsi" w:hAnsiTheme="minorHAnsi"/>
                <w:sz w:val="22"/>
                <w:szCs w:val="22"/>
              </w:rPr>
              <w:t xml:space="preserve"> wdrożeniowej</w:t>
            </w:r>
            <w:r w:rsidRPr="002D2BDE">
              <w:rPr>
                <w:rFonts w:asciiTheme="minorHAnsi" w:hAnsiTheme="minorHAnsi"/>
                <w:sz w:val="22"/>
                <w:szCs w:val="22"/>
              </w:rPr>
              <w:t xml:space="preserve">. Ww. listy zawierają m.in. numer wniosku, tytuł projektu, nazwę wnioskodawcy, kwotę dofinansowania oraz wartość całkowitą projektu. </w:t>
            </w:r>
          </w:p>
          <w:p w:rsidR="00984533" w:rsidRPr="002D2BDE" w:rsidRDefault="00984533" w:rsidP="00480411">
            <w:pPr>
              <w:autoSpaceDE w:val="0"/>
              <w:autoSpaceDN w:val="0"/>
              <w:adjustRightInd w:val="0"/>
              <w:spacing w:after="0" w:line="240" w:lineRule="auto"/>
              <w:jc w:val="both"/>
            </w:pPr>
            <w:r w:rsidRPr="002D2BDE">
              <w:t xml:space="preserve">Zgodnie z art. 46 ust. 4 ustawy wdrożeniowej po rozstrzygnięciu konkursu IZ RPO WD 2014-2020 zamieszcza na swojej stronie internetowej: </w:t>
            </w:r>
            <w:hyperlink r:id="rId19" w:history="1">
              <w:r w:rsidRPr="002D2BDE">
                <w:rPr>
                  <w:rStyle w:val="Hipercze"/>
                </w:rPr>
                <w:t>www.rpo.dolnyslask.pl</w:t>
              </w:r>
            </w:hyperlink>
            <w:r w:rsidRPr="002D2BDE">
              <w:t xml:space="preserve">  oraz na portalu Funduszy Europejskich: </w:t>
            </w:r>
            <w:hyperlink r:id="rId20" w:history="1">
              <w:r w:rsidRPr="002D2BDE">
                <w:rPr>
                  <w:rStyle w:val="Hipercze"/>
                </w:rPr>
                <w:t>www.funduszeeuropejskie.gov.pl</w:t>
              </w:r>
            </w:hyperlink>
            <w:r w:rsidRPr="002D2BDE">
              <w:t xml:space="preserve">, listy projektów, które uzyskały wymaganą liczbę punktów, z wyróżnieniem projektów wybranych do dofinansowania jak również powiadamia pisemnie każdego wnioskodawcę o zakończeniu oceny jego projektu. </w:t>
            </w:r>
          </w:p>
          <w:p w:rsidR="00984533" w:rsidRDefault="00AA5C57" w:rsidP="00480411">
            <w:pPr>
              <w:pStyle w:val="Default"/>
              <w:jc w:val="both"/>
              <w:rPr>
                <w:rFonts w:asciiTheme="minorHAnsi" w:hAnsiTheme="minorHAnsi"/>
                <w:sz w:val="22"/>
                <w:szCs w:val="22"/>
              </w:rPr>
            </w:pPr>
            <w:r w:rsidRPr="002D2BDE">
              <w:rPr>
                <w:rFonts w:asciiTheme="minorHAnsi" w:hAnsiTheme="minorHAnsi"/>
                <w:sz w:val="22"/>
                <w:szCs w:val="22"/>
              </w:rPr>
              <w:t>Dodatkowo</w:t>
            </w:r>
            <w:r w:rsidR="00EF4ECD" w:rsidRPr="002D2BDE">
              <w:rPr>
                <w:rFonts w:asciiTheme="minorHAnsi" w:hAnsiTheme="minorHAnsi"/>
                <w:sz w:val="22"/>
                <w:szCs w:val="22"/>
              </w:rPr>
              <w:t>,</w:t>
            </w:r>
            <w:r w:rsidRPr="002D2BDE">
              <w:rPr>
                <w:rFonts w:asciiTheme="minorHAnsi" w:hAnsiTheme="minorHAnsi"/>
                <w:sz w:val="22"/>
                <w:szCs w:val="22"/>
              </w:rPr>
              <w:t xml:space="preserve"> zgodnie z art. 44 ust. 5 </w:t>
            </w:r>
            <w:r w:rsidR="00984533" w:rsidRPr="002D2BDE">
              <w:rPr>
                <w:rFonts w:asciiTheme="minorHAnsi" w:hAnsiTheme="minorHAnsi"/>
                <w:sz w:val="22"/>
                <w:szCs w:val="22"/>
              </w:rPr>
              <w:t>po rozstrzygnięciu konkursu IZ RPO WD 2014-2020 zamieszcza na swojej stronie internetowej informację o składzie KOP.</w:t>
            </w:r>
            <w:r w:rsidR="00984533" w:rsidRPr="00151119">
              <w:rPr>
                <w:rFonts w:asciiTheme="minorHAnsi" w:hAnsiTheme="minorHAnsi"/>
                <w:sz w:val="22"/>
                <w:szCs w:val="22"/>
              </w:rPr>
              <w:t xml:space="preserve"> </w:t>
            </w:r>
            <w:r w:rsidR="00EF4ECD">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984533" w:rsidRPr="005D67D6" w:rsidRDefault="00984533"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984533" w:rsidRPr="002F3F25" w:rsidRDefault="001640C2" w:rsidP="00480411">
            <w:pPr>
              <w:pStyle w:val="bodytext"/>
              <w:jc w:val="center"/>
              <w:rPr>
                <w:rFonts w:asciiTheme="minorHAnsi" w:hAnsiTheme="minorHAnsi"/>
                <w:b/>
                <w:sz w:val="22"/>
                <w:szCs w:val="22"/>
              </w:rPr>
            </w:pPr>
            <w:r w:rsidRPr="002F3F25">
              <w:rPr>
                <w:rFonts w:asciiTheme="minorHAnsi" w:hAnsiTheme="minorHAnsi"/>
                <w:b/>
                <w:bCs/>
                <w:sz w:val="22"/>
                <w:szCs w:val="22"/>
              </w:rPr>
              <w:t>Infolinia: 801 700 008</w:t>
            </w:r>
            <w:r w:rsidRPr="002F3F25">
              <w:rPr>
                <w:rFonts w:asciiTheme="minorHAnsi" w:hAnsiTheme="minorHAnsi"/>
                <w:b/>
                <w:bCs/>
                <w:sz w:val="22"/>
                <w:szCs w:val="22"/>
              </w:rPr>
              <w:br/>
            </w:r>
          </w:p>
          <w:p w:rsidR="00984533" w:rsidRPr="002F3F25" w:rsidRDefault="00845BC6" w:rsidP="00480411">
            <w:pPr>
              <w:pStyle w:val="bodytext"/>
              <w:jc w:val="center"/>
              <w:rPr>
                <w:rFonts w:asciiTheme="minorHAnsi" w:hAnsiTheme="minorHAnsi"/>
                <w:b/>
                <w:sz w:val="22"/>
                <w:szCs w:val="22"/>
              </w:rPr>
            </w:pPr>
            <w:hyperlink r:id="rId21" w:history="1">
              <w:r w:rsidR="001640C2" w:rsidRPr="002F3F25">
                <w:rPr>
                  <w:rStyle w:val="Hipercze"/>
                  <w:rFonts w:asciiTheme="minorHAnsi" w:hAnsiTheme="minorHAnsi"/>
                  <w:b/>
                  <w:sz w:val="22"/>
                  <w:szCs w:val="22"/>
                </w:rPr>
                <w:t>pife@dolnyslask.pl</w:t>
              </w:r>
            </w:hyperlink>
          </w:p>
          <w:p w:rsidR="00984533" w:rsidRPr="002F3F25" w:rsidRDefault="00845BC6" w:rsidP="00480411">
            <w:pPr>
              <w:spacing w:before="120" w:after="120" w:line="240" w:lineRule="auto"/>
              <w:jc w:val="center"/>
            </w:pPr>
            <w:hyperlink r:id="rId22" w:history="1">
              <w:r w:rsidR="001640C2" w:rsidRPr="002F3F25">
                <w:rPr>
                  <w:rStyle w:val="Hipercze"/>
                </w:rPr>
                <w:t>pife.jeleniagora@dolnyslask.pl</w:t>
              </w:r>
            </w:hyperlink>
          </w:p>
          <w:p w:rsidR="00984533" w:rsidRPr="002F3F25" w:rsidRDefault="00845BC6" w:rsidP="00480411">
            <w:pPr>
              <w:spacing w:before="120" w:after="120" w:line="240" w:lineRule="auto"/>
              <w:jc w:val="center"/>
            </w:pPr>
            <w:hyperlink r:id="rId23" w:history="1">
              <w:r w:rsidR="001640C2" w:rsidRPr="002F3F25">
                <w:rPr>
                  <w:rStyle w:val="Hipercze"/>
                </w:rPr>
                <w:t>pife.legnica@dolnyslask.pl</w:t>
              </w:r>
            </w:hyperlink>
          </w:p>
          <w:p w:rsidR="00984533" w:rsidRPr="00FB53DA" w:rsidRDefault="00845BC6" w:rsidP="00480411">
            <w:pPr>
              <w:spacing w:before="120" w:after="120" w:line="240" w:lineRule="auto"/>
              <w:jc w:val="center"/>
            </w:pPr>
            <w:hyperlink r:id="rId24" w:history="1">
              <w:r w:rsidR="00984533" w:rsidRPr="00FB53DA">
                <w:rPr>
                  <w:rStyle w:val="Hipercze"/>
                </w:rPr>
                <w:t>pife.walbrzych@dolnyslask.pl</w:t>
              </w:r>
            </w:hyperlink>
          </w:p>
          <w:p w:rsidR="00984533" w:rsidRDefault="00984533" w:rsidP="00480411">
            <w:pPr>
              <w:autoSpaceDE w:val="0"/>
              <w:autoSpaceDN w:val="0"/>
              <w:adjustRightInd w:val="0"/>
              <w:spacing w:before="120" w:after="120" w:line="240" w:lineRule="auto"/>
              <w:jc w:val="both"/>
              <w:rPr>
                <w:rFonts w:cs="Calibri"/>
              </w:rPr>
            </w:pPr>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5"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r w:rsidR="00C77521">
              <w:t xml:space="preserve"> </w:t>
            </w:r>
            <w:r w:rsidR="00D657A3">
              <w:rPr>
                <w:rFonts w:cs="Calibri"/>
              </w:rPr>
              <w:t>Przed zadaniem pytania należy zapoznać</w:t>
            </w:r>
            <w:r w:rsidR="00C77521" w:rsidRPr="00C77521">
              <w:rPr>
                <w:rFonts w:cs="Calibri"/>
              </w:rPr>
              <w:t xml:space="preserve"> się z katalogiem najczęściej zadawanych pytań.</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6" w:history="1">
              <w:r w:rsidRPr="00D176C2">
                <w:rPr>
                  <w:rStyle w:val="Hipercze"/>
                  <w:rFonts w:cs="Calibri"/>
                </w:rPr>
                <w:t>www.rpo.dolnyslask.pl</w:t>
              </w:r>
            </w:hyperlink>
            <w:r w:rsidRPr="00D176C2">
              <w:t>.</w:t>
            </w:r>
          </w:p>
          <w:p w:rsidR="00984533" w:rsidRPr="00FA749C" w:rsidRDefault="00984533"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FC0A74">
            <w:pPr>
              <w:pStyle w:val="Default"/>
            </w:pPr>
            <w:r w:rsidRPr="00151119">
              <w:rPr>
                <w:rFonts w:asciiTheme="minorHAnsi" w:hAnsiTheme="minorHAnsi"/>
                <w:sz w:val="22"/>
                <w:szCs w:val="22"/>
              </w:rPr>
              <w:t xml:space="preserve">Orientacyjny termin rozstrzygnięcia konkursu to </w:t>
            </w:r>
            <w:r w:rsidR="00FC0A74" w:rsidRPr="002D2BDE">
              <w:rPr>
                <w:rFonts w:asciiTheme="minorHAnsi" w:hAnsiTheme="minorHAnsi"/>
                <w:sz w:val="22"/>
                <w:szCs w:val="22"/>
              </w:rPr>
              <w:t>wrzesień</w:t>
            </w:r>
            <w:r w:rsidR="00BD2093" w:rsidRPr="002D2BDE">
              <w:rPr>
                <w:rFonts w:asciiTheme="minorHAnsi" w:hAnsiTheme="minorHAnsi"/>
                <w:sz w:val="22"/>
                <w:szCs w:val="22"/>
              </w:rPr>
              <w:t xml:space="preserve"> </w:t>
            </w:r>
            <w:r w:rsidR="00020C5D" w:rsidRPr="002D2BDE">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7" w:name="_Toc425494883"/>
            <w:bookmarkEnd w:id="7"/>
            <w:r w:rsidRPr="00151119">
              <w:t xml:space="preserve">internetowej </w:t>
            </w:r>
            <w:hyperlink r:id="rId27"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081F91" w:rsidRPr="00EA15E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Times New Roman"/>
                <w:color w:val="00000A"/>
                <w:lang w:eastAsia="pl-PL"/>
              </w:rPr>
              <w:t>Rozporządzenie</w:t>
            </w:r>
            <w:r>
              <w:rPr>
                <w:rFonts w:ascii="Calibri" w:eastAsia="Times New Roman" w:hAnsi="Calibri" w:cs="Times New Roman"/>
                <w:color w:val="00000A"/>
                <w:lang w:eastAsia="pl-PL"/>
              </w:rPr>
              <w:t>m</w:t>
            </w:r>
            <w:r w:rsidRPr="00081F91">
              <w:rPr>
                <w:rFonts w:ascii="Calibri" w:eastAsia="Times New Roman" w:hAnsi="Calibri" w:cs="Times New Roman"/>
                <w:color w:val="00000A"/>
                <w:lang w:eastAsia="pl-PL"/>
              </w:rPr>
              <w:t xml:space="preserve"> Komisji (UE) nr 1407/2013 z dnia 18 grudnia 2013 r. w sprawie stosowania art. 107 i 108 Traktatu o funkcjonowaniu Unii Europejskiej do pomocy de minimis,</w:t>
            </w:r>
          </w:p>
          <w:p w:rsidR="00EA15E1" w:rsidRPr="00081F91" w:rsidRDefault="00EA15E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EF3AAC">
              <w:t xml:space="preserve">Rozporządzeniem Ministra Infrastruktury i Rozwoju z dnia 19 marca 2015 r. w sprawie udzielania pomocy de minimis w ramach regionalnych programów operacyjnych na lata 2014-2020. (Dz. U. z 2015 r. poz. 488 </w:t>
            </w:r>
            <w:r w:rsidRPr="00EF3AAC">
              <w:br/>
              <w:t>z późn. zm.),</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E97730">
              <w:rPr>
                <w:rFonts w:cs="Arial"/>
                <w:color w:val="000000"/>
              </w:rPr>
              <w:t xml:space="preserve"> </w:t>
            </w:r>
            <w:r w:rsidR="00081F91">
              <w:rPr>
                <w:rFonts w:ascii="Calibri" w:hAnsi="Calibri" w:cs="Calibri"/>
                <w:color w:val="000000"/>
              </w:rPr>
              <w:t xml:space="preserve"> z zastrzeżeniem przepisów dot. pomocy publicznej.</w:t>
            </w:r>
          </w:p>
          <w:p w:rsidR="00984533" w:rsidRDefault="00984533"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w:t>
            </w:r>
            <w:r w:rsidRPr="002D2BDE">
              <w:rPr>
                <w:color w:val="000000"/>
              </w:rPr>
              <w:t>ostatniego wniosku o płatność:</w:t>
            </w:r>
            <w:r w:rsidR="005E659B" w:rsidRPr="002D2BDE">
              <w:rPr>
                <w:color w:val="000000"/>
              </w:rPr>
              <w:t xml:space="preserve"> </w:t>
            </w:r>
            <w:r w:rsidR="002D2BDE" w:rsidRPr="002D2BDE">
              <w:rPr>
                <w:color w:val="000000"/>
              </w:rPr>
              <w:t>03</w:t>
            </w:r>
            <w:r w:rsidR="00AE3B42" w:rsidRPr="002D2BDE">
              <w:rPr>
                <w:color w:val="000000"/>
              </w:rPr>
              <w:t>.</w:t>
            </w:r>
            <w:r w:rsidR="00081F91" w:rsidRPr="002D2BDE">
              <w:rPr>
                <w:color w:val="000000"/>
              </w:rPr>
              <w:t>12.2018</w:t>
            </w:r>
            <w:r w:rsidR="00FD6131" w:rsidRPr="002D2BDE">
              <w:rPr>
                <w:color w:val="000000"/>
              </w:rPr>
              <w:t xml:space="preserve"> 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735145" w:rsidRPr="00735145" w:rsidRDefault="00735145" w:rsidP="00735145">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735145" w:rsidRPr="00735145" w:rsidRDefault="00735145" w:rsidP="00735145">
            <w:pPr>
              <w:numPr>
                <w:ilvl w:val="0"/>
                <w:numId w:val="38"/>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735145" w:rsidRDefault="00735145" w:rsidP="00735145">
            <w:pPr>
              <w:suppressAutoHyphens/>
              <w:spacing w:after="120" w:line="240" w:lineRule="auto"/>
              <w:jc w:val="both"/>
              <w:rPr>
                <w:rFonts w:eastAsia="Times New Roman" w:cs="Times New Roman"/>
                <w:color w:val="00000A"/>
                <w:szCs w:val="20"/>
                <w:lang w:eastAsia="pl-PL"/>
              </w:rPr>
            </w:pPr>
          </w:p>
          <w:p w:rsidR="00735145" w:rsidRPr="00735145" w:rsidRDefault="00735145" w:rsidP="00735145">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735145" w:rsidRPr="00735145" w:rsidRDefault="00735145" w:rsidP="00735145">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735145" w:rsidRPr="00735145" w:rsidRDefault="00845BC6" w:rsidP="00735145">
            <w:pPr>
              <w:suppressAutoHyphens/>
              <w:spacing w:after="120" w:line="240" w:lineRule="auto"/>
              <w:jc w:val="both"/>
              <w:rPr>
                <w:rFonts w:eastAsia="Droid Sans Fallback" w:cs="Calibri"/>
                <w:color w:val="00000A"/>
              </w:rPr>
            </w:pPr>
            <w:hyperlink r:id="rId28" w:history="1">
              <w:r w:rsidR="00735145" w:rsidRPr="00735145">
                <w:rPr>
                  <w:rFonts w:eastAsia="Droid Sans Fallback" w:cs="Calibri"/>
                  <w:color w:val="0000FF"/>
                  <w:u w:val="single"/>
                </w:rPr>
                <w:t>www.funduszeeuropejskie.gov.pl</w:t>
              </w:r>
            </w:hyperlink>
            <w:r w:rsidR="00735145" w:rsidRPr="00735145">
              <w:rPr>
                <w:rFonts w:eastAsia="Droid Sans Fallback" w:cs="Calibri"/>
                <w:color w:val="00000A"/>
              </w:rPr>
              <w:t>.</w:t>
            </w:r>
          </w:p>
          <w:p w:rsidR="00735145" w:rsidRPr="00735145" w:rsidRDefault="00735145" w:rsidP="00735145">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735145" w:rsidRPr="00735145" w:rsidRDefault="00735145" w:rsidP="00735145">
            <w:pPr>
              <w:suppressAutoHyphens/>
              <w:spacing w:after="120" w:line="240" w:lineRule="auto"/>
              <w:jc w:val="both"/>
              <w:rPr>
                <w:rFonts w:eastAsia="Droid Sans Fallback" w:cs="Calibri"/>
                <w:color w:val="00000A"/>
              </w:rPr>
            </w:pPr>
          </w:p>
          <w:p w:rsidR="00735145" w:rsidRPr="00735145" w:rsidRDefault="00735145" w:rsidP="00735145">
            <w:pPr>
              <w:numPr>
                <w:ilvl w:val="0"/>
                <w:numId w:val="38"/>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735145" w:rsidRDefault="00735145" w:rsidP="00735145">
            <w:pPr>
              <w:suppressAutoHyphens/>
              <w:spacing w:after="120" w:line="240" w:lineRule="auto"/>
              <w:jc w:val="both"/>
              <w:rPr>
                <w:rFonts w:eastAsia="Times New Roman" w:cs="Times New Roman"/>
                <w:color w:val="00000A"/>
                <w:szCs w:val="20"/>
                <w:lang w:eastAsia="pl-PL"/>
              </w:rPr>
            </w:pPr>
          </w:p>
          <w:p w:rsidR="00735145" w:rsidRPr="00735145" w:rsidRDefault="00735145" w:rsidP="00735145">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735145" w:rsidRPr="00735145" w:rsidRDefault="00735145" w:rsidP="00735145">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735145" w:rsidRPr="00735145" w:rsidRDefault="00735145" w:rsidP="00735145">
            <w:pPr>
              <w:suppressAutoHyphens/>
              <w:spacing w:line="240" w:lineRule="auto"/>
              <w:ind w:left="360"/>
              <w:rPr>
                <w:rFonts w:eastAsia="Droid Sans Fallback" w:cs="Calibri"/>
                <w:color w:val="00000A"/>
                <w:sz w:val="2"/>
                <w:szCs w:val="2"/>
              </w:rPr>
            </w:pPr>
          </w:p>
          <w:p w:rsidR="00735145" w:rsidRPr="00735145" w:rsidRDefault="00735145" w:rsidP="00735145">
            <w:pPr>
              <w:numPr>
                <w:ilvl w:val="0"/>
                <w:numId w:val="38"/>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9E1832" w:rsidRDefault="00735145" w:rsidP="00735145">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t>32.</w:t>
            </w:r>
          </w:p>
        </w:tc>
        <w:tc>
          <w:tcPr>
            <w:tcW w:w="2268" w:type="dxa"/>
          </w:tcPr>
          <w:p w:rsidR="00984533" w:rsidRPr="009E1832" w:rsidRDefault="00984533" w:rsidP="00480411">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 xml:space="preserve">(t.j.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5261AF" w:rsidRDefault="00DA4A3C" w:rsidP="00480411">
      <w:pPr>
        <w:pStyle w:val="Default"/>
        <w:rPr>
          <w:sz w:val="22"/>
          <w:szCs w:val="22"/>
        </w:rPr>
      </w:pPr>
    </w:p>
    <w:p w:rsidR="000D7DC1" w:rsidRDefault="000D7DC1" w:rsidP="000D7DC1">
      <w:pPr>
        <w:pStyle w:val="Default"/>
        <w:ind w:left="360"/>
        <w:rPr>
          <w:b/>
          <w:bCs/>
          <w:sz w:val="22"/>
          <w:szCs w:val="22"/>
        </w:rPr>
      </w:pPr>
    </w:p>
    <w:p w:rsidR="000D7DC1" w:rsidRPr="000D7DC1" w:rsidRDefault="000D7DC1" w:rsidP="000D7DC1">
      <w:pPr>
        <w:pStyle w:val="Default"/>
        <w:ind w:left="360"/>
        <w:rPr>
          <w:sz w:val="22"/>
          <w:szCs w:val="22"/>
        </w:rPr>
      </w:pPr>
      <w:r w:rsidRPr="005261AF">
        <w:rPr>
          <w:b/>
          <w:bCs/>
          <w:sz w:val="22"/>
          <w:szCs w:val="22"/>
        </w:rPr>
        <w:t>Załączniki</w:t>
      </w:r>
      <w:r w:rsidR="00D626E0">
        <w:rPr>
          <w:b/>
          <w:bCs/>
          <w:sz w:val="22"/>
          <w:szCs w:val="22"/>
        </w:rPr>
        <w:t xml:space="preserve">  do regul</w:t>
      </w:r>
      <w:r w:rsidR="00AA6D23">
        <w:rPr>
          <w:b/>
          <w:bCs/>
          <w:sz w:val="22"/>
          <w:szCs w:val="22"/>
        </w:rPr>
        <w:t>a</w:t>
      </w:r>
      <w:r w:rsidR="00D626E0">
        <w:rPr>
          <w:b/>
          <w:bCs/>
          <w:sz w:val="22"/>
          <w:szCs w:val="22"/>
        </w:rPr>
        <w:t xml:space="preserve">minu </w:t>
      </w:r>
      <w:r w:rsidRPr="005261AF">
        <w:rPr>
          <w:b/>
          <w:bCs/>
          <w:sz w:val="22"/>
          <w:szCs w:val="22"/>
        </w:rPr>
        <w:t xml:space="preserve">: </w:t>
      </w:r>
    </w:p>
    <w:p w:rsidR="00203AEB" w:rsidRPr="00145653"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145653">
        <w:rPr>
          <w:rFonts w:asciiTheme="minorHAnsi" w:hAnsiTheme="minorHAnsi"/>
          <w:bCs/>
          <w:szCs w:val="22"/>
        </w:rPr>
        <w:t>Wyciąg z Kryteriów wyboru projektów</w:t>
      </w:r>
      <w:r w:rsidRPr="00145653">
        <w:rPr>
          <w:rFonts w:asciiTheme="minorHAnsi" w:hAnsiTheme="minorHAnsi"/>
          <w:szCs w:val="22"/>
        </w:rPr>
        <w:t xml:space="preserve"> zatwierdzonych przez KM RPO WD 2014-2020 </w:t>
      </w:r>
      <w:r w:rsidR="0034777C" w:rsidRPr="00145653">
        <w:rPr>
          <w:rFonts w:asciiTheme="minorHAnsi" w:hAnsiTheme="minorHAnsi"/>
          <w:szCs w:val="22"/>
        </w:rPr>
        <w:t>w dniu 12.02.2016</w:t>
      </w:r>
      <w:r w:rsidR="000D366A" w:rsidRPr="00145653">
        <w:rPr>
          <w:rFonts w:asciiTheme="minorHAnsi" w:hAnsiTheme="minorHAnsi"/>
          <w:szCs w:val="22"/>
        </w:rPr>
        <w:t xml:space="preserve"> r. (Uchwała  </w:t>
      </w:r>
      <w:r w:rsidR="000D366A" w:rsidRPr="00145653">
        <w:rPr>
          <w:rFonts w:asciiTheme="minorHAnsi" w:hAnsiTheme="minorHAnsi"/>
          <w:bCs/>
          <w:szCs w:val="22"/>
        </w:rPr>
        <w:t xml:space="preserve">nr </w:t>
      </w:r>
      <w:r w:rsidR="002F3F25">
        <w:rPr>
          <w:rFonts w:asciiTheme="minorHAnsi" w:hAnsiTheme="minorHAnsi"/>
          <w:bCs/>
          <w:szCs w:val="22"/>
        </w:rPr>
        <w:t>25</w:t>
      </w:r>
      <w:r w:rsidR="000D366A" w:rsidRPr="00145653">
        <w:rPr>
          <w:rFonts w:asciiTheme="minorHAnsi" w:hAnsiTheme="minorHAnsi"/>
          <w:bCs/>
          <w:szCs w:val="22"/>
        </w:rPr>
        <w:t>/1</w:t>
      </w:r>
      <w:r w:rsidR="0034777C" w:rsidRPr="00145653">
        <w:rPr>
          <w:rFonts w:asciiTheme="minorHAnsi" w:hAnsiTheme="minorHAnsi"/>
          <w:bCs/>
          <w:szCs w:val="22"/>
        </w:rPr>
        <w:t>6</w:t>
      </w:r>
      <w:r w:rsidR="000D366A" w:rsidRPr="00145653">
        <w:rPr>
          <w:rFonts w:asciiTheme="minorHAnsi" w:hAnsiTheme="minorHAnsi"/>
          <w:szCs w:val="22"/>
        </w:rPr>
        <w:t xml:space="preserve"> KM RPO WD)</w:t>
      </w:r>
      <w:r w:rsidR="001B7E02" w:rsidRPr="00145653">
        <w:rPr>
          <w:rFonts w:asciiTheme="minorHAnsi" w:hAnsiTheme="minorHAnsi"/>
          <w:szCs w:val="22"/>
        </w:rPr>
        <w:t xml:space="preserve"> </w:t>
      </w:r>
      <w:r w:rsidRPr="00145653">
        <w:rPr>
          <w:rFonts w:asciiTheme="minorHAnsi" w:hAnsiTheme="minorHAnsi"/>
          <w:szCs w:val="22"/>
        </w:rPr>
        <w:t>obowiązujących w niniejszym naborze.</w:t>
      </w:r>
    </w:p>
    <w:p w:rsidR="00EF749B" w:rsidRPr="00CA24EF" w:rsidRDefault="00163C1F" w:rsidP="007F22B2">
      <w:pPr>
        <w:pStyle w:val="Akapitzlist"/>
        <w:numPr>
          <w:ilvl w:val="0"/>
          <w:numId w:val="13"/>
        </w:numPr>
        <w:autoSpaceDE w:val="0"/>
        <w:autoSpaceDN w:val="0"/>
        <w:adjustRightInd w:val="0"/>
        <w:spacing w:line="240" w:lineRule="auto"/>
        <w:jc w:val="both"/>
        <w:rPr>
          <w:rFonts w:asciiTheme="minorHAnsi" w:hAnsiTheme="minorHAnsi"/>
          <w:szCs w:val="22"/>
        </w:rPr>
      </w:pPr>
      <w:r w:rsidRPr="00145653">
        <w:rPr>
          <w:rFonts w:asciiTheme="minorHAnsi" w:hAnsiTheme="minorHAnsi" w:cs="Calibri"/>
          <w:color w:val="000000"/>
          <w:szCs w:val="22"/>
        </w:rPr>
        <w:t xml:space="preserve">Lista wskaźników na poziomie projektu dla </w:t>
      </w:r>
      <w:r w:rsidR="00540EE1" w:rsidRPr="00145653">
        <w:rPr>
          <w:rFonts w:asciiTheme="minorHAnsi" w:hAnsiTheme="minorHAnsi" w:cs="Calibri"/>
          <w:color w:val="000000"/>
          <w:szCs w:val="22"/>
        </w:rPr>
        <w:t>pod</w:t>
      </w:r>
      <w:r w:rsidRPr="00145653">
        <w:rPr>
          <w:rFonts w:asciiTheme="minorHAnsi" w:hAnsiTheme="minorHAnsi" w:cs="Calibri"/>
          <w:color w:val="000000"/>
          <w:szCs w:val="22"/>
        </w:rPr>
        <w:t xml:space="preserve">działania </w:t>
      </w:r>
      <w:r w:rsidR="007F22B2" w:rsidRPr="00145653">
        <w:rPr>
          <w:rFonts w:asciiTheme="minorHAnsi" w:hAnsiTheme="minorHAnsi" w:cs="Calibri"/>
          <w:color w:val="000000"/>
          <w:szCs w:val="22"/>
        </w:rPr>
        <w:t>7.1</w:t>
      </w:r>
      <w:r w:rsidR="0034777C" w:rsidRPr="00145653">
        <w:rPr>
          <w:rFonts w:asciiTheme="minorHAnsi" w:hAnsiTheme="minorHAnsi" w:cs="Calibri"/>
          <w:color w:val="000000"/>
          <w:szCs w:val="22"/>
        </w:rPr>
        <w:t>.1</w:t>
      </w:r>
      <w:r w:rsidR="001847A5" w:rsidRPr="00145653">
        <w:rPr>
          <w:rFonts w:asciiTheme="minorHAnsi" w:hAnsiTheme="minorHAnsi" w:cs="Calibri"/>
          <w:color w:val="000000"/>
          <w:szCs w:val="22"/>
        </w:rPr>
        <w:t xml:space="preserve"> </w:t>
      </w:r>
      <w:r w:rsidR="007F22B2" w:rsidRPr="00145653">
        <w:rPr>
          <w:rFonts w:asciiTheme="minorHAnsi" w:hAnsiTheme="minorHAnsi" w:cs="Calibri"/>
          <w:color w:val="000000"/>
          <w:szCs w:val="22"/>
        </w:rPr>
        <w:t xml:space="preserve">Inwestycje w edukację przedszkolną, podstawową i gimnazjalną </w:t>
      </w:r>
      <w:r w:rsidRPr="00145653">
        <w:rPr>
          <w:rFonts w:asciiTheme="minorHAnsi" w:hAnsiTheme="minorHAnsi" w:cs="Calibri"/>
          <w:color w:val="000000"/>
          <w:szCs w:val="22"/>
        </w:rPr>
        <w:t>RPO WD 2014-2020.</w:t>
      </w:r>
    </w:p>
    <w:p w:rsidR="00CA24EF" w:rsidRPr="00CA24EF" w:rsidRDefault="00CA24EF" w:rsidP="00CA24EF">
      <w:pPr>
        <w:pStyle w:val="Akapitzlist"/>
        <w:numPr>
          <w:ilvl w:val="0"/>
          <w:numId w:val="13"/>
        </w:numPr>
        <w:autoSpaceDE w:val="0"/>
        <w:autoSpaceDN w:val="0"/>
        <w:adjustRightInd w:val="0"/>
        <w:spacing w:before="0" w:line="240" w:lineRule="auto"/>
        <w:jc w:val="both"/>
        <w:rPr>
          <w:rFonts w:asciiTheme="minorHAnsi" w:hAnsiTheme="minorHAnsi"/>
          <w:szCs w:val="22"/>
        </w:rPr>
      </w:pPr>
      <w:r w:rsidRPr="00CA24EF">
        <w:rPr>
          <w:rFonts w:asciiTheme="minorHAnsi" w:hAnsiTheme="minorHAnsi"/>
          <w:szCs w:val="22"/>
        </w:rPr>
        <w:t>Standard wyposażenia szkolnych pracowni</w:t>
      </w:r>
      <w:r>
        <w:rPr>
          <w:rFonts w:asciiTheme="minorHAnsi" w:hAnsiTheme="minorHAnsi"/>
          <w:szCs w:val="22"/>
        </w:rPr>
        <w:t>.</w:t>
      </w: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29"/>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057" w:rsidRDefault="00527057" w:rsidP="00E873C4">
      <w:pPr>
        <w:spacing w:after="0" w:line="240" w:lineRule="auto"/>
      </w:pPr>
      <w:r>
        <w:separator/>
      </w:r>
    </w:p>
  </w:endnote>
  <w:endnote w:type="continuationSeparator" w:id="0">
    <w:p w:rsidR="00527057" w:rsidRDefault="00527057"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roman"/>
    <w:pitch w:val="variable"/>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382745"/>
      <w:docPartObj>
        <w:docPartGallery w:val="Page Numbers (Bottom of Page)"/>
        <w:docPartUnique/>
      </w:docPartObj>
    </w:sdtPr>
    <w:sdtEndPr/>
    <w:sdtContent>
      <w:p w:rsidR="00527057" w:rsidRDefault="00527057">
        <w:pPr>
          <w:pStyle w:val="Stopka"/>
          <w:jc w:val="right"/>
        </w:pPr>
        <w:r>
          <w:fldChar w:fldCharType="begin"/>
        </w:r>
        <w:r>
          <w:instrText>PAGE   \* MERGEFORMAT</w:instrText>
        </w:r>
        <w:r>
          <w:fldChar w:fldCharType="separate"/>
        </w:r>
        <w:r w:rsidR="00845BC6">
          <w:rPr>
            <w:noProof/>
          </w:rPr>
          <w:t>2</w:t>
        </w:r>
        <w:r>
          <w:fldChar w:fldCharType="end"/>
        </w:r>
      </w:p>
    </w:sdtContent>
  </w:sdt>
  <w:p w:rsidR="00527057" w:rsidRDefault="005270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057" w:rsidRDefault="00527057" w:rsidP="00E873C4">
      <w:pPr>
        <w:spacing w:after="0" w:line="240" w:lineRule="auto"/>
      </w:pPr>
      <w:r>
        <w:separator/>
      </w:r>
    </w:p>
  </w:footnote>
  <w:footnote w:type="continuationSeparator" w:id="0">
    <w:p w:rsidR="00527057" w:rsidRDefault="00527057" w:rsidP="00E873C4">
      <w:pPr>
        <w:spacing w:after="0" w:line="240" w:lineRule="auto"/>
      </w:pPr>
      <w:r>
        <w:continuationSeparator/>
      </w:r>
    </w:p>
  </w:footnote>
  <w:footnote w:id="1">
    <w:p w:rsidR="00527057" w:rsidRDefault="0052705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527057" w:rsidRDefault="0052705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527057" w:rsidRDefault="0052705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527057" w:rsidRDefault="0052705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527057" w:rsidRDefault="0052705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 w:id="6">
    <w:p w:rsidR="00527057" w:rsidRDefault="00527057" w:rsidP="00EA15E1">
      <w:pPr>
        <w:pStyle w:val="Tekstprzypisudolnego"/>
        <w:jc w:val="both"/>
      </w:pPr>
      <w:r>
        <w:rPr>
          <w:rStyle w:val="Odwoanieprzypisudolnego"/>
        </w:rPr>
        <w:footnoteRef/>
      </w:r>
      <w:r>
        <w:t xml:space="preserve"> </w:t>
      </w:r>
      <w:r>
        <w:rPr>
          <w:szCs w:val="20"/>
        </w:rPr>
        <w:t xml:space="preserve">Pod pojęciem rozbudowy rozumie się sytuację, w której rozbudowywana część obiektu będzie funkcjonalnie i rzeczywiście połączona z istniejącą częścią szkoły. </w:t>
      </w:r>
      <w:r>
        <w:t xml:space="preserve"> </w:t>
      </w:r>
    </w:p>
    <w:p w:rsidR="00527057" w:rsidRDefault="00527057">
      <w:pPr>
        <w:pStyle w:val="Tekstprzypisudolnego"/>
      </w:pPr>
    </w:p>
  </w:footnote>
  <w:footnote w:id="7">
    <w:p w:rsidR="00527057" w:rsidRDefault="00527057">
      <w:pPr>
        <w:pStyle w:val="Tekstprzypisudolnego"/>
      </w:pPr>
      <w:r>
        <w:rPr>
          <w:rStyle w:val="Odwoanieprzypisudolnego"/>
        </w:rPr>
        <w:footnoteRef/>
      </w:r>
      <w:r>
        <w:t xml:space="preserve"> </w:t>
      </w:r>
      <w:r w:rsidRPr="00103E92">
        <w:rPr>
          <w:sz w:val="16"/>
          <w:szCs w:val="16"/>
        </w:rPr>
        <w:t>Za wyjątkiem zakupu placu zabaw</w:t>
      </w:r>
    </w:p>
  </w:footnote>
  <w:footnote w:id="8">
    <w:p w:rsidR="00527057" w:rsidRDefault="00527057" w:rsidP="00C7054F">
      <w:pPr>
        <w:pStyle w:val="Tekstprzypisudolnego"/>
        <w:jc w:val="both"/>
      </w:pPr>
      <w:r>
        <w:rPr>
          <w:rStyle w:val="Odwoanieprzypisudolnego"/>
        </w:rPr>
        <w:footnoteRef/>
      </w:r>
      <w:r>
        <w:t xml:space="preserve"> </w:t>
      </w:r>
      <w:r w:rsidRPr="00C7054F">
        <w:rPr>
          <w:sz w:val="16"/>
          <w:szCs w:val="16"/>
        </w:rPr>
        <w:t>Wydatki kwalifikowalne nie obejmują wydatków ponoszonych na część związaną z infrastrukturą przedszkoli. Jeśli wnioskodawca nie ma możliwości wykazania kosztów w podziale na szkołę i przedszkole należy określić procentowy udział powierzchni użytkowej związanej z prowadzeniem działalności przedszkolnej w całkowitej powierzchni użytkowej budynku. Następnie należy wg uzyskanej proporcji obniżyć wydatki kwalifikowalne.</w:t>
      </w:r>
      <w:r w:rsidRPr="00C7054F">
        <w:t xml:space="preserve">  </w:t>
      </w:r>
    </w:p>
  </w:footnote>
  <w:footnote w:id="9">
    <w:p w:rsidR="00527057" w:rsidRDefault="00527057" w:rsidP="00EA15E1">
      <w:pPr>
        <w:pStyle w:val="Tekstprzypisudolnego"/>
        <w:jc w:val="both"/>
      </w:pPr>
      <w:r>
        <w:rPr>
          <w:rStyle w:val="Odwoanieprzypisudolnego"/>
        </w:rPr>
        <w:footnoteRef/>
      </w:r>
      <w:r>
        <w:t xml:space="preserve"> </w:t>
      </w:r>
      <w:r w:rsidRPr="00516363">
        <w:rPr>
          <w:sz w:val="16"/>
          <w:szCs w:val="16"/>
        </w:rPr>
        <w:t>Wydatki kwalifikowalne nie obejmują wydatków ponoszonych na część związa</w:t>
      </w:r>
      <w:r>
        <w:rPr>
          <w:sz w:val="16"/>
          <w:szCs w:val="16"/>
        </w:rPr>
        <w:t xml:space="preserve">ną z infrastrukturą szkół ponadgimnazjalnych </w:t>
      </w:r>
      <w:r w:rsidRPr="009701C6">
        <w:rPr>
          <w:sz w:val="16"/>
          <w:szCs w:val="16"/>
        </w:rPr>
        <w:t>Jeśli wnioskodawca nie ma możliwości wykaza</w:t>
      </w:r>
      <w:r>
        <w:rPr>
          <w:sz w:val="16"/>
          <w:szCs w:val="16"/>
        </w:rPr>
        <w:t xml:space="preserve">nia kosztów w podziale na szkołę podstawowoą/gimnazjum i szkołę ponadgimnazjalną  </w:t>
      </w:r>
      <w:r w:rsidRPr="00516363">
        <w:rPr>
          <w:sz w:val="16"/>
          <w:szCs w:val="16"/>
        </w:rPr>
        <w:t>należy określić procentowy udział powierzchni użytkowej związanej z prowadz</w:t>
      </w:r>
      <w:r>
        <w:rPr>
          <w:sz w:val="16"/>
          <w:szCs w:val="16"/>
        </w:rPr>
        <w:t xml:space="preserve">eniem działalności szkoły ponadgimnazjalnej </w:t>
      </w:r>
      <w:r w:rsidRPr="00516363">
        <w:rPr>
          <w:sz w:val="16"/>
          <w:szCs w:val="16"/>
        </w:rPr>
        <w:t>w całkowitej powierzchni użytkowej budynku. Następnie należy wg uzyskanej proporcji obniżyć wydatki kwalifikowalne.</w:t>
      </w:r>
      <w:r>
        <w:rPr>
          <w:szCs w:val="20"/>
        </w:rPr>
        <w:t xml:space="preserve"> </w:t>
      </w:r>
      <w:r>
        <w:t xml:space="preserve"> </w:t>
      </w:r>
    </w:p>
  </w:footnote>
  <w:footnote w:id="10">
    <w:p w:rsidR="00527057" w:rsidRPr="009447AC" w:rsidRDefault="00527057" w:rsidP="00AD1311">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7">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4">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7">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4">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26"/>
  </w:num>
  <w:num w:numId="3">
    <w:abstractNumId w:val="33"/>
  </w:num>
  <w:num w:numId="4">
    <w:abstractNumId w:val="29"/>
  </w:num>
  <w:num w:numId="5">
    <w:abstractNumId w:val="4"/>
  </w:num>
  <w:num w:numId="6">
    <w:abstractNumId w:val="35"/>
  </w:num>
  <w:num w:numId="7">
    <w:abstractNumId w:val="9"/>
  </w:num>
  <w:num w:numId="8">
    <w:abstractNumId w:val="16"/>
  </w:num>
  <w:num w:numId="9">
    <w:abstractNumId w:val="32"/>
  </w:num>
  <w:num w:numId="10">
    <w:abstractNumId w:val="20"/>
  </w:num>
  <w:num w:numId="11">
    <w:abstractNumId w:val="27"/>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5"/>
  </w:num>
  <w:num w:numId="16">
    <w:abstractNumId w:val="1"/>
  </w:num>
  <w:num w:numId="17">
    <w:abstractNumId w:val="38"/>
  </w:num>
  <w:num w:numId="18">
    <w:abstractNumId w:val="24"/>
  </w:num>
  <w:num w:numId="19">
    <w:abstractNumId w:val="2"/>
  </w:num>
  <w:num w:numId="20">
    <w:abstractNumId w:val="21"/>
  </w:num>
  <w:num w:numId="21">
    <w:abstractNumId w:val="25"/>
  </w:num>
  <w:num w:numId="22">
    <w:abstractNumId w:val="36"/>
  </w:num>
  <w:num w:numId="23">
    <w:abstractNumId w:val="17"/>
  </w:num>
  <w:num w:numId="24">
    <w:abstractNumId w:val="30"/>
  </w:num>
  <w:num w:numId="25">
    <w:abstractNumId w:val="34"/>
  </w:num>
  <w:num w:numId="26">
    <w:abstractNumId w:val="18"/>
  </w:num>
  <w:num w:numId="27">
    <w:abstractNumId w:val="23"/>
  </w:num>
  <w:num w:numId="28">
    <w:abstractNumId w:val="6"/>
  </w:num>
  <w:num w:numId="29">
    <w:abstractNumId w:val="0"/>
  </w:num>
  <w:num w:numId="30">
    <w:abstractNumId w:val="5"/>
  </w:num>
  <w:num w:numId="31">
    <w:abstractNumId w:val="3"/>
  </w:num>
  <w:num w:numId="32">
    <w:abstractNumId w:val="22"/>
  </w:num>
  <w:num w:numId="33">
    <w:abstractNumId w:val="10"/>
  </w:num>
  <w:num w:numId="34">
    <w:abstractNumId w:val="39"/>
  </w:num>
  <w:num w:numId="35">
    <w:abstractNumId w:val="31"/>
  </w:num>
  <w:num w:numId="36">
    <w:abstractNumId w:val="37"/>
  </w:num>
  <w:num w:numId="37">
    <w:abstractNumId w:val="13"/>
  </w:num>
  <w:num w:numId="38">
    <w:abstractNumId w:val="12"/>
  </w:num>
  <w:num w:numId="39">
    <w:abstractNumId w:val="8"/>
  </w:num>
  <w:num w:numId="40">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9"/>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20C5D"/>
    <w:rsid w:val="00021D74"/>
    <w:rsid w:val="00032C8C"/>
    <w:rsid w:val="000337E9"/>
    <w:rsid w:val="00034EE2"/>
    <w:rsid w:val="00040467"/>
    <w:rsid w:val="0004133F"/>
    <w:rsid w:val="00051A6D"/>
    <w:rsid w:val="00053BC4"/>
    <w:rsid w:val="000552B0"/>
    <w:rsid w:val="0006765F"/>
    <w:rsid w:val="00067A0F"/>
    <w:rsid w:val="00070A44"/>
    <w:rsid w:val="00075900"/>
    <w:rsid w:val="000763EC"/>
    <w:rsid w:val="00077561"/>
    <w:rsid w:val="00081F91"/>
    <w:rsid w:val="00083567"/>
    <w:rsid w:val="000A5384"/>
    <w:rsid w:val="000A59C8"/>
    <w:rsid w:val="000A5A8B"/>
    <w:rsid w:val="000A5D74"/>
    <w:rsid w:val="000C10A2"/>
    <w:rsid w:val="000C47BE"/>
    <w:rsid w:val="000C6ED3"/>
    <w:rsid w:val="000D322C"/>
    <w:rsid w:val="000D366A"/>
    <w:rsid w:val="000D7DC1"/>
    <w:rsid w:val="000E092B"/>
    <w:rsid w:val="000E2E3A"/>
    <w:rsid w:val="000E60E9"/>
    <w:rsid w:val="000E7206"/>
    <w:rsid w:val="000E776E"/>
    <w:rsid w:val="000F329D"/>
    <w:rsid w:val="000F50FE"/>
    <w:rsid w:val="000F7A4F"/>
    <w:rsid w:val="00101E95"/>
    <w:rsid w:val="0010204C"/>
    <w:rsid w:val="0010374F"/>
    <w:rsid w:val="00103E92"/>
    <w:rsid w:val="00110149"/>
    <w:rsid w:val="00110E7E"/>
    <w:rsid w:val="00124CCA"/>
    <w:rsid w:val="00124D4E"/>
    <w:rsid w:val="001253D8"/>
    <w:rsid w:val="00130AA7"/>
    <w:rsid w:val="00132DD2"/>
    <w:rsid w:val="00140C08"/>
    <w:rsid w:val="00141276"/>
    <w:rsid w:val="00141FBD"/>
    <w:rsid w:val="001442E1"/>
    <w:rsid w:val="00145653"/>
    <w:rsid w:val="0015088A"/>
    <w:rsid w:val="00151119"/>
    <w:rsid w:val="00163B95"/>
    <w:rsid w:val="00163C1F"/>
    <w:rsid w:val="001640C2"/>
    <w:rsid w:val="001741B3"/>
    <w:rsid w:val="00180B34"/>
    <w:rsid w:val="00182231"/>
    <w:rsid w:val="001847A5"/>
    <w:rsid w:val="001B7E02"/>
    <w:rsid w:val="001C0789"/>
    <w:rsid w:val="001D5ADE"/>
    <w:rsid w:val="00202925"/>
    <w:rsid w:val="00203AEB"/>
    <w:rsid w:val="00204163"/>
    <w:rsid w:val="002049F3"/>
    <w:rsid w:val="00214423"/>
    <w:rsid w:val="00216D57"/>
    <w:rsid w:val="0022084B"/>
    <w:rsid w:val="002238CA"/>
    <w:rsid w:val="002366CF"/>
    <w:rsid w:val="002368A3"/>
    <w:rsid w:val="00246F9C"/>
    <w:rsid w:val="002479B3"/>
    <w:rsid w:val="00263D0C"/>
    <w:rsid w:val="002771D8"/>
    <w:rsid w:val="002777A2"/>
    <w:rsid w:val="0028267C"/>
    <w:rsid w:val="00283849"/>
    <w:rsid w:val="00284BCE"/>
    <w:rsid w:val="002872B3"/>
    <w:rsid w:val="002965D5"/>
    <w:rsid w:val="002A02F4"/>
    <w:rsid w:val="002A772D"/>
    <w:rsid w:val="002A7A36"/>
    <w:rsid w:val="002B4B1B"/>
    <w:rsid w:val="002B543D"/>
    <w:rsid w:val="002B5686"/>
    <w:rsid w:val="002B7A29"/>
    <w:rsid w:val="002D184C"/>
    <w:rsid w:val="002D2BDE"/>
    <w:rsid w:val="002D4095"/>
    <w:rsid w:val="002D6AE8"/>
    <w:rsid w:val="002E2658"/>
    <w:rsid w:val="002E5984"/>
    <w:rsid w:val="002E5B1F"/>
    <w:rsid w:val="002F2511"/>
    <w:rsid w:val="002F3568"/>
    <w:rsid w:val="002F3F25"/>
    <w:rsid w:val="002F5ACD"/>
    <w:rsid w:val="00300E2C"/>
    <w:rsid w:val="00302591"/>
    <w:rsid w:val="00303BCB"/>
    <w:rsid w:val="00314B94"/>
    <w:rsid w:val="00320901"/>
    <w:rsid w:val="0032333D"/>
    <w:rsid w:val="00327354"/>
    <w:rsid w:val="00331136"/>
    <w:rsid w:val="00331C42"/>
    <w:rsid w:val="00344EF4"/>
    <w:rsid w:val="003451EF"/>
    <w:rsid w:val="0034777C"/>
    <w:rsid w:val="00364F8A"/>
    <w:rsid w:val="0037103D"/>
    <w:rsid w:val="00372F5E"/>
    <w:rsid w:val="00373A48"/>
    <w:rsid w:val="003846E2"/>
    <w:rsid w:val="003864E8"/>
    <w:rsid w:val="00386933"/>
    <w:rsid w:val="00387FDF"/>
    <w:rsid w:val="00390D9C"/>
    <w:rsid w:val="00393818"/>
    <w:rsid w:val="003948B3"/>
    <w:rsid w:val="003A0F50"/>
    <w:rsid w:val="003A6136"/>
    <w:rsid w:val="003B4611"/>
    <w:rsid w:val="003B5B37"/>
    <w:rsid w:val="003B6C9D"/>
    <w:rsid w:val="003D6EF8"/>
    <w:rsid w:val="003F1BA7"/>
    <w:rsid w:val="003F59D8"/>
    <w:rsid w:val="0040059D"/>
    <w:rsid w:val="00410C67"/>
    <w:rsid w:val="00411FC6"/>
    <w:rsid w:val="004123F0"/>
    <w:rsid w:val="004151FA"/>
    <w:rsid w:val="00417D17"/>
    <w:rsid w:val="00424DF6"/>
    <w:rsid w:val="00434562"/>
    <w:rsid w:val="00434B9B"/>
    <w:rsid w:val="00435B86"/>
    <w:rsid w:val="0045670F"/>
    <w:rsid w:val="00456C95"/>
    <w:rsid w:val="004612F9"/>
    <w:rsid w:val="004640F4"/>
    <w:rsid w:val="00474A39"/>
    <w:rsid w:val="00476F8F"/>
    <w:rsid w:val="00480411"/>
    <w:rsid w:val="00485BAF"/>
    <w:rsid w:val="004905C3"/>
    <w:rsid w:val="004925E8"/>
    <w:rsid w:val="00496977"/>
    <w:rsid w:val="004A3789"/>
    <w:rsid w:val="004A4DDF"/>
    <w:rsid w:val="004B0B50"/>
    <w:rsid w:val="004B1FF3"/>
    <w:rsid w:val="004B45B7"/>
    <w:rsid w:val="004B5C08"/>
    <w:rsid w:val="004C4183"/>
    <w:rsid w:val="004D07A7"/>
    <w:rsid w:val="004D3634"/>
    <w:rsid w:val="004D6188"/>
    <w:rsid w:val="004E1A59"/>
    <w:rsid w:val="004E2E01"/>
    <w:rsid w:val="004E4D79"/>
    <w:rsid w:val="004F1892"/>
    <w:rsid w:val="004F1BA2"/>
    <w:rsid w:val="004F4D56"/>
    <w:rsid w:val="004F7ABA"/>
    <w:rsid w:val="005007A3"/>
    <w:rsid w:val="00502178"/>
    <w:rsid w:val="005261AF"/>
    <w:rsid w:val="00527057"/>
    <w:rsid w:val="00530F60"/>
    <w:rsid w:val="00531A59"/>
    <w:rsid w:val="00531AA5"/>
    <w:rsid w:val="00532690"/>
    <w:rsid w:val="00532F07"/>
    <w:rsid w:val="0053485A"/>
    <w:rsid w:val="00540EE1"/>
    <w:rsid w:val="005415B5"/>
    <w:rsid w:val="005477CE"/>
    <w:rsid w:val="0056015A"/>
    <w:rsid w:val="00565A63"/>
    <w:rsid w:val="00571FD0"/>
    <w:rsid w:val="00574632"/>
    <w:rsid w:val="00575541"/>
    <w:rsid w:val="005779A2"/>
    <w:rsid w:val="00585063"/>
    <w:rsid w:val="0059272F"/>
    <w:rsid w:val="005B0EB2"/>
    <w:rsid w:val="005B34B9"/>
    <w:rsid w:val="005C6AB4"/>
    <w:rsid w:val="005C6DBE"/>
    <w:rsid w:val="005D166C"/>
    <w:rsid w:val="005D1AEB"/>
    <w:rsid w:val="005D67D6"/>
    <w:rsid w:val="005E2E99"/>
    <w:rsid w:val="005E3357"/>
    <w:rsid w:val="005E659B"/>
    <w:rsid w:val="005E776A"/>
    <w:rsid w:val="005F2D8C"/>
    <w:rsid w:val="005F65D9"/>
    <w:rsid w:val="00600EB8"/>
    <w:rsid w:val="00625260"/>
    <w:rsid w:val="00630D34"/>
    <w:rsid w:val="00634898"/>
    <w:rsid w:val="00634D48"/>
    <w:rsid w:val="006545AC"/>
    <w:rsid w:val="00656F36"/>
    <w:rsid w:val="006600E9"/>
    <w:rsid w:val="00670468"/>
    <w:rsid w:val="006728B0"/>
    <w:rsid w:val="006754E3"/>
    <w:rsid w:val="006762E1"/>
    <w:rsid w:val="0067677F"/>
    <w:rsid w:val="00683BC9"/>
    <w:rsid w:val="0068758B"/>
    <w:rsid w:val="006877AB"/>
    <w:rsid w:val="006928EA"/>
    <w:rsid w:val="006A061F"/>
    <w:rsid w:val="006A1BF0"/>
    <w:rsid w:val="006B0BAB"/>
    <w:rsid w:val="006B1704"/>
    <w:rsid w:val="006B2FE8"/>
    <w:rsid w:val="006B5689"/>
    <w:rsid w:val="006B5A9F"/>
    <w:rsid w:val="006C03F2"/>
    <w:rsid w:val="006C3F4E"/>
    <w:rsid w:val="006D7C1A"/>
    <w:rsid w:val="006F69DA"/>
    <w:rsid w:val="00701A7D"/>
    <w:rsid w:val="00702DCE"/>
    <w:rsid w:val="0071078C"/>
    <w:rsid w:val="00715262"/>
    <w:rsid w:val="00716ADF"/>
    <w:rsid w:val="0072080A"/>
    <w:rsid w:val="00723CFF"/>
    <w:rsid w:val="00733ADF"/>
    <w:rsid w:val="00735145"/>
    <w:rsid w:val="007371E3"/>
    <w:rsid w:val="0074779B"/>
    <w:rsid w:val="007556F0"/>
    <w:rsid w:val="007564BC"/>
    <w:rsid w:val="00757768"/>
    <w:rsid w:val="00761383"/>
    <w:rsid w:val="007625CF"/>
    <w:rsid w:val="00764E1A"/>
    <w:rsid w:val="00766179"/>
    <w:rsid w:val="00783EA8"/>
    <w:rsid w:val="00791DB1"/>
    <w:rsid w:val="007A06B8"/>
    <w:rsid w:val="007A3277"/>
    <w:rsid w:val="007A5A81"/>
    <w:rsid w:val="007B042A"/>
    <w:rsid w:val="007B0A0A"/>
    <w:rsid w:val="007B7525"/>
    <w:rsid w:val="007B7614"/>
    <w:rsid w:val="007C05FA"/>
    <w:rsid w:val="007D19B0"/>
    <w:rsid w:val="007D5FE3"/>
    <w:rsid w:val="007E0AA1"/>
    <w:rsid w:val="007E4E1C"/>
    <w:rsid w:val="007E591C"/>
    <w:rsid w:val="007E7954"/>
    <w:rsid w:val="007F22B2"/>
    <w:rsid w:val="007F2804"/>
    <w:rsid w:val="007F3D9A"/>
    <w:rsid w:val="007F45E9"/>
    <w:rsid w:val="007F5D95"/>
    <w:rsid w:val="007F7945"/>
    <w:rsid w:val="00800124"/>
    <w:rsid w:val="00805E31"/>
    <w:rsid w:val="0081019B"/>
    <w:rsid w:val="00812121"/>
    <w:rsid w:val="0083415B"/>
    <w:rsid w:val="0083689A"/>
    <w:rsid w:val="008373EE"/>
    <w:rsid w:val="008447B6"/>
    <w:rsid w:val="00845BC6"/>
    <w:rsid w:val="00850017"/>
    <w:rsid w:val="008600F3"/>
    <w:rsid w:val="00862A72"/>
    <w:rsid w:val="00863524"/>
    <w:rsid w:val="0086574D"/>
    <w:rsid w:val="00867A44"/>
    <w:rsid w:val="00891A07"/>
    <w:rsid w:val="0089254A"/>
    <w:rsid w:val="008B0CF1"/>
    <w:rsid w:val="008C3515"/>
    <w:rsid w:val="008E35D3"/>
    <w:rsid w:val="008E5657"/>
    <w:rsid w:val="008F1D9D"/>
    <w:rsid w:val="008F2DD0"/>
    <w:rsid w:val="008F4AAF"/>
    <w:rsid w:val="008F531C"/>
    <w:rsid w:val="0090534C"/>
    <w:rsid w:val="00907747"/>
    <w:rsid w:val="00916F84"/>
    <w:rsid w:val="00921011"/>
    <w:rsid w:val="00924740"/>
    <w:rsid w:val="00924E91"/>
    <w:rsid w:val="00925D7D"/>
    <w:rsid w:val="009337A7"/>
    <w:rsid w:val="00936001"/>
    <w:rsid w:val="009367C2"/>
    <w:rsid w:val="009455A4"/>
    <w:rsid w:val="009553C5"/>
    <w:rsid w:val="00956C47"/>
    <w:rsid w:val="00961B8B"/>
    <w:rsid w:val="0096429D"/>
    <w:rsid w:val="00966E9C"/>
    <w:rsid w:val="00972732"/>
    <w:rsid w:val="00972D12"/>
    <w:rsid w:val="0097359B"/>
    <w:rsid w:val="00975ED7"/>
    <w:rsid w:val="00984533"/>
    <w:rsid w:val="00991FEC"/>
    <w:rsid w:val="009933D5"/>
    <w:rsid w:val="0099517B"/>
    <w:rsid w:val="009956E4"/>
    <w:rsid w:val="009A0630"/>
    <w:rsid w:val="009A5F90"/>
    <w:rsid w:val="009A7256"/>
    <w:rsid w:val="009B14CF"/>
    <w:rsid w:val="009B3869"/>
    <w:rsid w:val="009B5AE6"/>
    <w:rsid w:val="009C095F"/>
    <w:rsid w:val="009C428E"/>
    <w:rsid w:val="009C7CEA"/>
    <w:rsid w:val="009D3B9B"/>
    <w:rsid w:val="009D4C89"/>
    <w:rsid w:val="009E0C22"/>
    <w:rsid w:val="009E1832"/>
    <w:rsid w:val="009E443F"/>
    <w:rsid w:val="009E5231"/>
    <w:rsid w:val="009F540F"/>
    <w:rsid w:val="00A01645"/>
    <w:rsid w:val="00A0322A"/>
    <w:rsid w:val="00A0659C"/>
    <w:rsid w:val="00A2016E"/>
    <w:rsid w:val="00A21B41"/>
    <w:rsid w:val="00A236A3"/>
    <w:rsid w:val="00A24988"/>
    <w:rsid w:val="00A25EE0"/>
    <w:rsid w:val="00A305A0"/>
    <w:rsid w:val="00A41980"/>
    <w:rsid w:val="00A428C1"/>
    <w:rsid w:val="00A52334"/>
    <w:rsid w:val="00A60962"/>
    <w:rsid w:val="00A61522"/>
    <w:rsid w:val="00A675F0"/>
    <w:rsid w:val="00A72E47"/>
    <w:rsid w:val="00A74139"/>
    <w:rsid w:val="00A75F59"/>
    <w:rsid w:val="00A87906"/>
    <w:rsid w:val="00A95AFD"/>
    <w:rsid w:val="00AA0A4C"/>
    <w:rsid w:val="00AA3F24"/>
    <w:rsid w:val="00AA421A"/>
    <w:rsid w:val="00AA5C57"/>
    <w:rsid w:val="00AA6D23"/>
    <w:rsid w:val="00AB1F03"/>
    <w:rsid w:val="00AB4FBA"/>
    <w:rsid w:val="00AB5956"/>
    <w:rsid w:val="00AB6F14"/>
    <w:rsid w:val="00AC2E88"/>
    <w:rsid w:val="00AC43B1"/>
    <w:rsid w:val="00AD11D3"/>
    <w:rsid w:val="00AD1311"/>
    <w:rsid w:val="00AD3892"/>
    <w:rsid w:val="00AD417D"/>
    <w:rsid w:val="00AD4F70"/>
    <w:rsid w:val="00AD6E10"/>
    <w:rsid w:val="00AE05B6"/>
    <w:rsid w:val="00AE3B42"/>
    <w:rsid w:val="00AE4A8C"/>
    <w:rsid w:val="00AF2A83"/>
    <w:rsid w:val="00AF490F"/>
    <w:rsid w:val="00AF520B"/>
    <w:rsid w:val="00B0157C"/>
    <w:rsid w:val="00B05ACC"/>
    <w:rsid w:val="00B05D69"/>
    <w:rsid w:val="00B203D0"/>
    <w:rsid w:val="00B23C9D"/>
    <w:rsid w:val="00B40499"/>
    <w:rsid w:val="00B41748"/>
    <w:rsid w:val="00B42EB9"/>
    <w:rsid w:val="00B433A2"/>
    <w:rsid w:val="00B474CB"/>
    <w:rsid w:val="00B51B27"/>
    <w:rsid w:val="00B5255D"/>
    <w:rsid w:val="00B5754A"/>
    <w:rsid w:val="00B61F6F"/>
    <w:rsid w:val="00B64FEB"/>
    <w:rsid w:val="00B66089"/>
    <w:rsid w:val="00B66E42"/>
    <w:rsid w:val="00B67EF7"/>
    <w:rsid w:val="00B71854"/>
    <w:rsid w:val="00B83536"/>
    <w:rsid w:val="00B92573"/>
    <w:rsid w:val="00B9341F"/>
    <w:rsid w:val="00BA0FE2"/>
    <w:rsid w:val="00BA161C"/>
    <w:rsid w:val="00BB6BFC"/>
    <w:rsid w:val="00BB6E6F"/>
    <w:rsid w:val="00BC08C5"/>
    <w:rsid w:val="00BC357F"/>
    <w:rsid w:val="00BC5BD2"/>
    <w:rsid w:val="00BD0C2B"/>
    <w:rsid w:val="00BD2093"/>
    <w:rsid w:val="00BD4229"/>
    <w:rsid w:val="00BD65D3"/>
    <w:rsid w:val="00BE12B2"/>
    <w:rsid w:val="00BE5EED"/>
    <w:rsid w:val="00BE7BF6"/>
    <w:rsid w:val="00BF0DA2"/>
    <w:rsid w:val="00C04E00"/>
    <w:rsid w:val="00C1610E"/>
    <w:rsid w:val="00C16578"/>
    <w:rsid w:val="00C20A58"/>
    <w:rsid w:val="00C22B29"/>
    <w:rsid w:val="00C22C74"/>
    <w:rsid w:val="00C34B4F"/>
    <w:rsid w:val="00C371CF"/>
    <w:rsid w:val="00C37569"/>
    <w:rsid w:val="00C47AD4"/>
    <w:rsid w:val="00C62904"/>
    <w:rsid w:val="00C652F8"/>
    <w:rsid w:val="00C7054F"/>
    <w:rsid w:val="00C73D60"/>
    <w:rsid w:val="00C76888"/>
    <w:rsid w:val="00C77521"/>
    <w:rsid w:val="00C77D65"/>
    <w:rsid w:val="00C83DCF"/>
    <w:rsid w:val="00C873AA"/>
    <w:rsid w:val="00C918E6"/>
    <w:rsid w:val="00CA24EF"/>
    <w:rsid w:val="00CA32FC"/>
    <w:rsid w:val="00CB0572"/>
    <w:rsid w:val="00CB17E9"/>
    <w:rsid w:val="00CB275D"/>
    <w:rsid w:val="00CC4947"/>
    <w:rsid w:val="00CD6D41"/>
    <w:rsid w:val="00CE00BD"/>
    <w:rsid w:val="00CE03F4"/>
    <w:rsid w:val="00CE0E72"/>
    <w:rsid w:val="00CF5F23"/>
    <w:rsid w:val="00D0002D"/>
    <w:rsid w:val="00D016E7"/>
    <w:rsid w:val="00D116B3"/>
    <w:rsid w:val="00D12C60"/>
    <w:rsid w:val="00D176C2"/>
    <w:rsid w:val="00D22FEE"/>
    <w:rsid w:val="00D26B32"/>
    <w:rsid w:val="00D34029"/>
    <w:rsid w:val="00D43031"/>
    <w:rsid w:val="00D5162B"/>
    <w:rsid w:val="00D53086"/>
    <w:rsid w:val="00D53368"/>
    <w:rsid w:val="00D560BA"/>
    <w:rsid w:val="00D626E0"/>
    <w:rsid w:val="00D62E9D"/>
    <w:rsid w:val="00D63A11"/>
    <w:rsid w:val="00D647CC"/>
    <w:rsid w:val="00D657A3"/>
    <w:rsid w:val="00D65CF5"/>
    <w:rsid w:val="00D755E9"/>
    <w:rsid w:val="00D77233"/>
    <w:rsid w:val="00D8213E"/>
    <w:rsid w:val="00D905F3"/>
    <w:rsid w:val="00DA215F"/>
    <w:rsid w:val="00DA4A3C"/>
    <w:rsid w:val="00DA7F5A"/>
    <w:rsid w:val="00DB2036"/>
    <w:rsid w:val="00DB2EA5"/>
    <w:rsid w:val="00DB4EA7"/>
    <w:rsid w:val="00DC123A"/>
    <w:rsid w:val="00DC34AB"/>
    <w:rsid w:val="00DC364F"/>
    <w:rsid w:val="00DD0818"/>
    <w:rsid w:val="00DD13E8"/>
    <w:rsid w:val="00DD1C76"/>
    <w:rsid w:val="00DD3029"/>
    <w:rsid w:val="00DE51F0"/>
    <w:rsid w:val="00DF0941"/>
    <w:rsid w:val="00DF5F45"/>
    <w:rsid w:val="00E05575"/>
    <w:rsid w:val="00E05670"/>
    <w:rsid w:val="00E1750F"/>
    <w:rsid w:val="00E24EFE"/>
    <w:rsid w:val="00E25638"/>
    <w:rsid w:val="00E2717D"/>
    <w:rsid w:val="00E50251"/>
    <w:rsid w:val="00E51525"/>
    <w:rsid w:val="00E51F50"/>
    <w:rsid w:val="00E5371F"/>
    <w:rsid w:val="00E630E4"/>
    <w:rsid w:val="00E75A4F"/>
    <w:rsid w:val="00E766EE"/>
    <w:rsid w:val="00E820F5"/>
    <w:rsid w:val="00E86FF0"/>
    <w:rsid w:val="00E873C4"/>
    <w:rsid w:val="00E92452"/>
    <w:rsid w:val="00E97730"/>
    <w:rsid w:val="00EA15E1"/>
    <w:rsid w:val="00EC0DC4"/>
    <w:rsid w:val="00EC4FC1"/>
    <w:rsid w:val="00EC6F8D"/>
    <w:rsid w:val="00ED56A0"/>
    <w:rsid w:val="00ED6C8D"/>
    <w:rsid w:val="00EE0117"/>
    <w:rsid w:val="00EE291C"/>
    <w:rsid w:val="00EF3E21"/>
    <w:rsid w:val="00EF4ECD"/>
    <w:rsid w:val="00EF749B"/>
    <w:rsid w:val="00F013EF"/>
    <w:rsid w:val="00F05333"/>
    <w:rsid w:val="00F14DAF"/>
    <w:rsid w:val="00F259B1"/>
    <w:rsid w:val="00F373AC"/>
    <w:rsid w:val="00F37B47"/>
    <w:rsid w:val="00F653A6"/>
    <w:rsid w:val="00F66A4E"/>
    <w:rsid w:val="00F6718E"/>
    <w:rsid w:val="00F7423C"/>
    <w:rsid w:val="00F76B28"/>
    <w:rsid w:val="00F84251"/>
    <w:rsid w:val="00F8458B"/>
    <w:rsid w:val="00F91A90"/>
    <w:rsid w:val="00F92F37"/>
    <w:rsid w:val="00F975C3"/>
    <w:rsid w:val="00FA03C1"/>
    <w:rsid w:val="00FA120E"/>
    <w:rsid w:val="00FA1644"/>
    <w:rsid w:val="00FA2D84"/>
    <w:rsid w:val="00FA6B9F"/>
    <w:rsid w:val="00FA749C"/>
    <w:rsid w:val="00FB53DA"/>
    <w:rsid w:val="00FB54B4"/>
    <w:rsid w:val="00FC0A74"/>
    <w:rsid w:val="00FC3B1E"/>
    <w:rsid w:val="00FC4F97"/>
    <w:rsid w:val="00FC700D"/>
    <w:rsid w:val="00FD433A"/>
    <w:rsid w:val="00FD6131"/>
    <w:rsid w:val="00FD6EC7"/>
    <w:rsid w:val="00FE158C"/>
    <w:rsid w:val="00FF1529"/>
    <w:rsid w:val="00FF1826"/>
    <w:rsid w:val="00FF33DA"/>
    <w:rsid w:val="00FF3949"/>
    <w:rsid w:val="00FF3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7371E3"/>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7371E3"/>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31584052">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mailto:pife@dolnyslask.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funduszeeuropejskie.gov.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walbrzych@dolnyslask.pl"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mailto:pife.legnica@dolnyslask.pl" TargetMode="External"/><Relationship Id="rId28" Type="http://schemas.openxmlformats.org/officeDocument/2006/relationships/hyperlink" Target="http://www.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hyperlink" Target="mailto:pife.jeleniagora@dolnyslask.pl" TargetMode="External"/><Relationship Id="rId27" Type="http://schemas.openxmlformats.org/officeDocument/2006/relationships/hyperlink" Target="http://&#8230;&#8230;&#8230;&#8230;&#8230;&#8230;&#8230;.."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71EE6-B10F-4AEB-B09E-46100642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9239</Words>
  <Characters>55437</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2</cp:revision>
  <cp:lastPrinted>2017-01-17T12:14:00Z</cp:lastPrinted>
  <dcterms:created xsi:type="dcterms:W3CDTF">2017-01-24T08:36:00Z</dcterms:created>
  <dcterms:modified xsi:type="dcterms:W3CDTF">2017-01-24T08:36:00Z</dcterms:modified>
</cp:coreProperties>
</file>