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BE5BD3">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604840" w:rsidRPr="00604840" w:rsidRDefault="00604840" w:rsidP="00604840">
      <w:pPr>
        <w:pStyle w:val="Nagwek"/>
        <w:spacing w:before="120" w:after="120"/>
        <w:jc w:val="center"/>
        <w:rPr>
          <w:rFonts w:cs="Arial"/>
          <w:b/>
          <w:sz w:val="32"/>
          <w:szCs w:val="32"/>
        </w:rPr>
      </w:pPr>
      <w:bookmarkStart w:id="0" w:name="_Toc422949625"/>
      <w:bookmarkStart w:id="1" w:name="_Toc430826812"/>
      <w:r w:rsidRPr="00604840">
        <w:rPr>
          <w:rFonts w:cs="Arial"/>
          <w:b/>
          <w:sz w:val="32"/>
          <w:szCs w:val="32"/>
        </w:rPr>
        <w:t>Działanie 7.1 Inwestycje w edukację przedsz</w:t>
      </w:r>
      <w:r>
        <w:rPr>
          <w:rFonts w:cs="Arial"/>
          <w:b/>
          <w:sz w:val="32"/>
          <w:szCs w:val="32"/>
        </w:rPr>
        <w:t xml:space="preserve">kolną, podstawową </w:t>
      </w:r>
      <w:r>
        <w:rPr>
          <w:rFonts w:cs="Arial"/>
          <w:b/>
          <w:sz w:val="32"/>
          <w:szCs w:val="32"/>
        </w:rPr>
        <w:br/>
        <w:t>i gimnazjalną</w:t>
      </w:r>
    </w:p>
    <w:p w:rsidR="00E873C4" w:rsidRDefault="00E75A4F" w:rsidP="00604840">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w:t>
      </w:r>
      <w:r w:rsidR="00982544">
        <w:rPr>
          <w:rFonts w:cs="Arial"/>
          <w:b/>
          <w:sz w:val="32"/>
          <w:szCs w:val="32"/>
        </w:rPr>
        <w:t>2</w:t>
      </w:r>
      <w:r w:rsidRPr="00E75A4F">
        <w:rPr>
          <w:rFonts w:cs="Arial"/>
          <w:b/>
          <w:sz w:val="32"/>
          <w:szCs w:val="32"/>
        </w:rPr>
        <w:t xml:space="preserve"> Inwestycje w edukację przedszkolną, podstawową </w:t>
      </w:r>
      <w:r w:rsidR="00604840">
        <w:rPr>
          <w:rFonts w:cs="Arial"/>
          <w:b/>
          <w:sz w:val="32"/>
          <w:szCs w:val="32"/>
        </w:rPr>
        <w:br/>
      </w:r>
      <w:r w:rsidRPr="00E75A4F">
        <w:rPr>
          <w:rFonts w:cs="Arial"/>
          <w:b/>
          <w:sz w:val="32"/>
          <w:szCs w:val="32"/>
        </w:rPr>
        <w:t xml:space="preserve">i gimnazjalną </w:t>
      </w:r>
      <w:r w:rsidR="00863524" w:rsidRPr="00863524">
        <w:rPr>
          <w:rFonts w:cs="Arial"/>
          <w:b/>
          <w:sz w:val="32"/>
          <w:szCs w:val="32"/>
        </w:rPr>
        <w:t xml:space="preserve">– </w:t>
      </w:r>
      <w:r w:rsidR="005C5F45">
        <w:rPr>
          <w:rFonts w:cs="Arial"/>
          <w:b/>
          <w:sz w:val="32"/>
          <w:szCs w:val="32"/>
        </w:rPr>
        <w:t>ZIT Wr</w:t>
      </w:r>
      <w:r w:rsidR="00982544">
        <w:rPr>
          <w:rFonts w:cs="Arial"/>
          <w:b/>
          <w:sz w:val="32"/>
          <w:szCs w:val="32"/>
        </w:rPr>
        <w:t>OF</w:t>
      </w:r>
      <w:r w:rsidR="00863524" w:rsidRPr="00863524">
        <w:rPr>
          <w:rFonts w:cs="Arial"/>
          <w:b/>
          <w:sz w:val="32"/>
          <w:szCs w:val="32"/>
        </w:rPr>
        <w:t xml:space="preserve"> </w:t>
      </w:r>
    </w:p>
    <w:p w:rsidR="006754E3" w:rsidRPr="006754E3" w:rsidRDefault="006754E3" w:rsidP="00480411">
      <w:pPr>
        <w:pStyle w:val="Nagwek"/>
        <w:spacing w:before="120" w:after="120"/>
        <w:jc w:val="center"/>
        <w:rPr>
          <w:rFonts w:cs="Arial"/>
          <w:b/>
          <w:sz w:val="24"/>
          <w:szCs w:val="24"/>
        </w:rPr>
      </w:pPr>
    </w:p>
    <w:bookmarkEnd w:id="0"/>
    <w:bookmarkEnd w:id="1"/>
    <w:p w:rsidR="00604840" w:rsidRDefault="00604840" w:rsidP="00604840">
      <w:pPr>
        <w:pStyle w:val="Nagwek"/>
        <w:spacing w:before="120" w:after="120"/>
        <w:jc w:val="center"/>
        <w:rPr>
          <w:rFonts w:cs="Arial"/>
          <w:b/>
          <w:sz w:val="32"/>
          <w:szCs w:val="32"/>
        </w:rPr>
      </w:pPr>
      <w:r w:rsidRPr="00604840">
        <w:rPr>
          <w:rFonts w:cs="Arial"/>
          <w:b/>
          <w:sz w:val="32"/>
          <w:szCs w:val="32"/>
        </w:rPr>
        <w:t>(Infrastruktura szkół podstawowych i gimnazjalnych)</w:t>
      </w:r>
    </w:p>
    <w:p w:rsidR="006754E3" w:rsidRPr="006754E3" w:rsidRDefault="006754E3" w:rsidP="006754E3">
      <w:pPr>
        <w:tabs>
          <w:tab w:val="left" w:pos="2835"/>
        </w:tabs>
        <w:spacing w:line="240" w:lineRule="auto"/>
        <w:jc w:val="center"/>
        <w:rPr>
          <w:b/>
          <w:u w:val="single"/>
        </w:rPr>
      </w:pPr>
    </w:p>
    <w:p w:rsidR="00124CCA" w:rsidRDefault="00A3554E" w:rsidP="005832D4">
      <w:pPr>
        <w:spacing w:line="240" w:lineRule="auto"/>
        <w:jc w:val="center"/>
      </w:pPr>
      <w:r w:rsidRPr="00A3554E">
        <w:rPr>
          <w:b/>
          <w:sz w:val="28"/>
          <w:szCs w:val="28"/>
        </w:rPr>
        <w:t xml:space="preserve">Nr naboru </w:t>
      </w:r>
      <w:r w:rsidR="005832D4" w:rsidRPr="005832D4">
        <w:rPr>
          <w:b/>
          <w:sz w:val="28"/>
          <w:szCs w:val="28"/>
        </w:rPr>
        <w:t>RPDS.07.01.02-IZ.00-02-074/16</w:t>
      </w:r>
    </w:p>
    <w:p w:rsidR="00936001" w:rsidRDefault="00936001" w:rsidP="00480411">
      <w:pPr>
        <w:spacing w:line="240" w:lineRule="auto"/>
        <w:jc w:val="center"/>
        <w:rPr>
          <w:sz w:val="28"/>
          <w:szCs w:val="28"/>
        </w:rPr>
      </w:pPr>
    </w:p>
    <w:p w:rsidR="005832D4" w:rsidRDefault="00E873C4" w:rsidP="00480411">
      <w:pPr>
        <w:spacing w:line="240" w:lineRule="auto"/>
        <w:jc w:val="center"/>
        <w:rPr>
          <w:sz w:val="28"/>
          <w:szCs w:val="28"/>
        </w:rPr>
      </w:pPr>
      <w:r w:rsidRPr="00E873C4">
        <w:rPr>
          <w:sz w:val="28"/>
          <w:szCs w:val="28"/>
        </w:rPr>
        <w:t xml:space="preserve">Wrocław, </w:t>
      </w:r>
      <w:r w:rsidR="00117EFA">
        <w:rPr>
          <w:sz w:val="28"/>
          <w:szCs w:val="28"/>
        </w:rPr>
        <w:t>kwiecień</w:t>
      </w:r>
      <w:bookmarkStart w:id="2" w:name="_GoBack"/>
      <w:bookmarkEnd w:id="2"/>
      <w:r w:rsidR="00117EFA">
        <w:rPr>
          <w:sz w:val="28"/>
          <w:szCs w:val="28"/>
        </w:rPr>
        <w:t xml:space="preserve"> </w:t>
      </w:r>
      <w:r w:rsidR="005832D4">
        <w:rPr>
          <w:sz w:val="28"/>
          <w:szCs w:val="28"/>
        </w:rPr>
        <w:t>2016 r.</w:t>
      </w:r>
    </w:p>
    <w:p w:rsidR="00604840" w:rsidRDefault="00604840" w:rsidP="00480411">
      <w:pPr>
        <w:spacing w:line="240" w:lineRule="auto"/>
        <w:jc w:val="center"/>
        <w:rPr>
          <w:b/>
          <w:bCs/>
        </w:rPr>
      </w:pPr>
    </w:p>
    <w:p w:rsidR="00D0002D" w:rsidRDefault="008F4AAF" w:rsidP="00480411">
      <w:pPr>
        <w:spacing w:line="240" w:lineRule="auto"/>
        <w:jc w:val="center"/>
        <w:rPr>
          <w:b/>
          <w:bCs/>
        </w:rPr>
      </w:pPr>
      <w:r w:rsidRPr="008F4AAF">
        <w:rPr>
          <w:b/>
          <w:bCs/>
        </w:rPr>
        <w:t xml:space="preserve"> </w:t>
      </w: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ZIT WrOF</w:t>
            </w:r>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982544">
              <w:rPr>
                <w:rFonts w:cs="Arial"/>
              </w:rPr>
              <w:t>2</w:t>
            </w:r>
            <w:r w:rsidR="00BA161C" w:rsidRPr="00BA161C">
              <w:rPr>
                <w:rFonts w:cs="Arial"/>
              </w:rPr>
              <w:t xml:space="preserve"> Inwestycje w edukację przedszkolną, podstawową i gimnazjalną –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cs="Calibri"/>
                <w:color w:val="000000"/>
              </w:rPr>
              <w:t>Traktat o funkcjonowaniu Unii Europejskiej</w:t>
            </w:r>
            <w:r w:rsidR="00AC43B1" w:rsidRPr="00C635C7">
              <w:rPr>
                <w:rFonts w:ascii="Calibri" w:hAnsi="Calibri" w:cs="Calibri"/>
                <w:color w:val="000000"/>
              </w:rPr>
              <w:t>;</w:t>
            </w:r>
            <w:r w:rsidRPr="00C635C7">
              <w:rPr>
                <w:rFonts w:ascii="Calibri" w:hAnsi="Calibri" w:cs="Calibri"/>
                <w:color w:val="000000"/>
              </w:rPr>
              <w:t xml:space="preserve"> </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Rozporządzenie ogólne;</w:t>
            </w:r>
          </w:p>
          <w:p w:rsidR="00FD6EC7" w:rsidRPr="00C635C7"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hAnsiTheme="minorHAnsi" w:cs="EUAlbertina"/>
                <w:bCs/>
                <w:color w:val="000000"/>
                <w:szCs w:val="22"/>
              </w:rPr>
              <w:t xml:space="preserve">Rozporządzenie Parlamentu Europejskiego i Rady (UE) Nr 1301/2013 </w:t>
            </w:r>
            <w:r w:rsidRPr="00C635C7">
              <w:rPr>
                <w:rFonts w:asciiTheme="minorHAnsi" w:hAnsiTheme="minorHAnsi" w:cs="EUAlbertina"/>
                <w:bCs/>
                <w:color w:val="000000"/>
                <w:szCs w:val="22"/>
              </w:rPr>
              <w:br/>
              <w:t xml:space="preserve">z dnia 17 grudnia 2013 r. </w:t>
            </w:r>
            <w:r w:rsidRPr="00C635C7">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Pr="00C635C7">
              <w:rPr>
                <w:rFonts w:asciiTheme="minorHAnsi" w:eastAsiaTheme="minorHAnsi" w:hAnsiTheme="minorHAnsi" w:cs="Calibri"/>
                <w:color w:val="000000"/>
                <w:szCs w:val="22"/>
                <w:lang w:eastAsia="en-US"/>
              </w:rPr>
              <w:t>;</w:t>
            </w:r>
          </w:p>
          <w:p w:rsidR="002368A3" w:rsidRPr="00C635C7"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C635C7">
              <w:rPr>
                <w:rFonts w:asciiTheme="minorHAnsi" w:eastAsiaTheme="minorHAnsi" w:hAnsiTheme="minorHAnsi" w:cs="EUAlbertina"/>
                <w:color w:val="000000"/>
                <w:szCs w:val="22"/>
                <w:lang w:eastAsia="en-US"/>
              </w:rPr>
              <w:br/>
              <w:t xml:space="preserve">i końcowych na potrzeby ram wykonania oraz klasyfikacji kategorii interwencji w odniesieniu do europejskich funduszy strukturalnych </w:t>
            </w:r>
            <w:r w:rsidRPr="00C635C7">
              <w:rPr>
                <w:rFonts w:asciiTheme="minorHAnsi" w:eastAsiaTheme="minorHAnsi" w:hAnsiTheme="minorHAnsi" w:cs="EUAlbertina"/>
                <w:color w:val="000000"/>
                <w:szCs w:val="22"/>
                <w:lang w:eastAsia="en-US"/>
              </w:rPr>
              <w:br/>
              <w:t>i inwestycyjnych;</w:t>
            </w:r>
          </w:p>
          <w:p w:rsidR="000E092B" w:rsidRPr="00C635C7"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sidRPr="00C635C7">
              <w:rPr>
                <w:rFonts w:asciiTheme="minorHAnsi" w:eastAsiaTheme="minorHAnsi" w:hAnsiTheme="minorHAnsi" w:cs="Calibri"/>
                <w:color w:val="000000"/>
                <w:szCs w:val="22"/>
                <w:lang w:eastAsia="en-US"/>
              </w:rPr>
              <w:br/>
              <w:t xml:space="preserve">w zastosowaniu art. 107 i 108 Traktatu (Dz. Urz. UE L 187 z 26.06.2014, </w:t>
            </w:r>
            <w:r w:rsidRPr="00C635C7">
              <w:rPr>
                <w:rFonts w:asciiTheme="minorHAnsi" w:eastAsiaTheme="minorHAnsi" w:hAnsiTheme="minorHAnsi" w:cs="Calibri"/>
                <w:color w:val="000000"/>
                <w:szCs w:val="22"/>
                <w:lang w:eastAsia="en-US"/>
              </w:rPr>
              <w:br/>
              <w:t>s. 1);</w:t>
            </w:r>
          </w:p>
          <w:p w:rsidR="000E092B" w:rsidRPr="00C635C7"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Rozporządzenie Komisji (UE) nr 1407/2013 z dnia 18 grudnia 2013 r. </w:t>
            </w:r>
            <w:r w:rsidRPr="00C635C7">
              <w:rPr>
                <w:rFonts w:asciiTheme="minorHAnsi" w:eastAsiaTheme="minorHAnsi" w:hAnsiTheme="minorHAnsi" w:cs="Calibri"/>
                <w:color w:val="000000"/>
                <w:szCs w:val="22"/>
                <w:lang w:eastAsia="en-US"/>
              </w:rPr>
              <w:br/>
              <w:t>w sprawie stosowania art. 107 i 108 Traktatu o funkcjonowaniu Unii Europejskiej do pomocy de minimis;</w:t>
            </w:r>
          </w:p>
          <w:p w:rsidR="00C42C5B" w:rsidRPr="00C635C7" w:rsidRDefault="00C42C5B" w:rsidP="00C42C5B">
            <w:pPr>
              <w:pStyle w:val="Akapitzlist"/>
              <w:numPr>
                <w:ilvl w:val="0"/>
                <w:numId w:val="12"/>
              </w:numPr>
              <w:spacing w:line="240" w:lineRule="auto"/>
              <w:ind w:left="714" w:hanging="357"/>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Rozporządzenie Ministra Infrastruktury i Rozwoju z dnia 19 marca 2015 r. w sprawie udzielania pomocy de minimis w ramach regionalnych programów operacyjnych na lata 2014–2020; </w:t>
            </w:r>
          </w:p>
          <w:p w:rsidR="00761383" w:rsidRPr="00C635C7" w:rsidRDefault="00761383" w:rsidP="00761383">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bCs/>
                <w:color w:val="000000"/>
              </w:rPr>
              <w:t>Ustawa o systemie oświaty z dnia 7 września 1991 r. (Dz. U. z 2004 r., Nr 256, poz. 2572 z późniejszymi zmianami);</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stycznia 2004 r. Prawo zamówień publicznych (Dz. U. </w:t>
            </w:r>
            <w:r w:rsidRPr="00C635C7">
              <w:rPr>
                <w:rFonts w:asciiTheme="minorHAnsi" w:eastAsiaTheme="minorHAnsi" w:hAnsiTheme="minorHAnsi" w:cs="Calibri"/>
                <w:color w:val="000000"/>
                <w:szCs w:val="22"/>
                <w:lang w:eastAsia="en-US"/>
              </w:rPr>
              <w:br/>
              <w:t>z 2013 r. poz. 907,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27 sierpnia 2009 r. o finansach publicznych (Dz. U. z 2013 r. poz. 885,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29 września 1994 r. o rachunkowości (DZ. U. z 2013r., poz. 330,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14 czerwca 1960 r. Kodeks postępowania </w:t>
            </w:r>
            <w:r w:rsidRPr="00C635C7">
              <w:rPr>
                <w:rFonts w:asciiTheme="minorHAnsi" w:eastAsiaTheme="minorHAnsi" w:hAnsiTheme="minorHAnsi" w:cs="Calibri"/>
                <w:color w:val="000000"/>
                <w:szCs w:val="22"/>
                <w:lang w:eastAsia="en-US"/>
              </w:rPr>
              <w:lastRenderedPageBreak/>
              <w:t>administracyjnego (Dz. U. z 2013 r. poz. 267,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11 lipca 2014 r. o zasadach realizacji programów </w:t>
            </w:r>
            <w:r w:rsidRPr="00C635C7">
              <w:rPr>
                <w:rFonts w:asciiTheme="minorHAnsi" w:eastAsiaTheme="minorHAnsi" w:hAnsiTheme="minorHAnsi" w:cs="Calibri"/>
                <w:color w:val="000000"/>
                <w:szCs w:val="22"/>
                <w:lang w:eastAsia="en-US"/>
              </w:rPr>
              <w:br/>
              <w:t>w zakresie polityki spójności finansowanych w pers</w:t>
            </w:r>
            <w:r w:rsidR="007E7954" w:rsidRPr="00C635C7">
              <w:rPr>
                <w:rFonts w:asciiTheme="minorHAnsi" w:eastAsiaTheme="minorHAnsi" w:hAnsiTheme="minorHAnsi" w:cs="Calibri"/>
                <w:color w:val="000000"/>
                <w:szCs w:val="22"/>
                <w:lang w:eastAsia="en-US"/>
              </w:rPr>
              <w:t>pektywie finansowej 2014–2020 (</w:t>
            </w:r>
            <w:r w:rsidRPr="00C635C7">
              <w:rPr>
                <w:rFonts w:asciiTheme="minorHAnsi" w:eastAsiaTheme="minorHAnsi" w:hAnsiTheme="minorHAnsi" w:cs="Calibri"/>
                <w:color w:val="000000"/>
                <w:szCs w:val="22"/>
                <w:lang w:eastAsia="en-US"/>
              </w:rPr>
              <w:t>Dz. U z 2014 r. poz. 1146, z późn. zm.);</w:t>
            </w:r>
          </w:p>
          <w:p w:rsidR="004905C3" w:rsidRPr="00C635C7" w:rsidRDefault="004D07A7" w:rsidP="000D322C">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szCs w:val="22"/>
              </w:rPr>
              <w:t xml:space="preserve">Ustawa z dnia 11 marca 2004 r. o podatku od towarów i usług </w:t>
            </w:r>
            <w:r w:rsidR="004905C3" w:rsidRPr="00C635C7">
              <w:rPr>
                <w:rFonts w:asciiTheme="minorHAnsi" w:hAnsiTheme="minorHAnsi"/>
                <w:bCs/>
                <w:color w:val="000000"/>
              </w:rPr>
              <w:t>(</w:t>
            </w:r>
            <w:proofErr w:type="spellStart"/>
            <w:r w:rsidR="004905C3" w:rsidRPr="00C635C7">
              <w:rPr>
                <w:rFonts w:asciiTheme="minorHAnsi" w:hAnsiTheme="minorHAnsi"/>
                <w:bCs/>
                <w:color w:val="000000"/>
              </w:rPr>
              <w:t>t.j</w:t>
            </w:r>
            <w:proofErr w:type="spellEnd"/>
            <w:r w:rsidR="004905C3" w:rsidRPr="00C635C7">
              <w:rPr>
                <w:rFonts w:asciiTheme="minorHAnsi" w:hAnsiTheme="minorHAnsi"/>
                <w:bCs/>
                <w:color w:val="000000"/>
              </w:rPr>
              <w:t>. Dz. U. z 2011 r. Nr 177, poz. 1054 z późn. zm.);</w:t>
            </w:r>
          </w:p>
          <w:p w:rsidR="00A0659C" w:rsidRPr="00C635C7"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rPr>
              <w:t>Strategia Rozwoju Województwa Dolnośląskiego 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Szczegółowy opis osi priorytetowych Regionalnego Programu Operacyjnego Województwa Dolnośląskiego 2014-2020 z dnia</w:t>
            </w:r>
            <w:r w:rsidR="00C635C7" w:rsidRPr="00C635C7">
              <w:rPr>
                <w:rFonts w:asciiTheme="minorHAnsi" w:eastAsiaTheme="minorHAnsi" w:hAnsiTheme="minorHAnsi" w:cs="Calibri"/>
                <w:color w:val="000000"/>
                <w:szCs w:val="22"/>
                <w:lang w:eastAsia="en-US"/>
              </w:rPr>
              <w:t xml:space="preserve"> 22 lutego 2016 r.</w:t>
            </w:r>
            <w:r w:rsidR="000C5215" w:rsidRPr="00C635C7">
              <w:rPr>
                <w:rFonts w:asciiTheme="minorHAnsi" w:eastAsiaTheme="minorHAnsi" w:hAnsiTheme="minorHAnsi" w:cs="Calibri"/>
                <w:color w:val="000000"/>
                <w:szCs w:val="22"/>
                <w:lang w:eastAsia="en-US"/>
              </w:rPr>
              <w:t xml:space="preserve"> </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31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trybów wyboru projektów na lata 2014-2020;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10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8 maja 2015 r. </w:t>
            </w:r>
            <w:r w:rsidRPr="00C635C7">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Pr="00C635C7">
              <w:rPr>
                <w:rFonts w:asciiTheme="minorHAnsi" w:eastAsiaTheme="minorHAnsi" w:hAnsiTheme="minorHAnsi" w:cs="Calibri"/>
                <w:color w:val="000000"/>
                <w:szCs w:val="22"/>
                <w:lang w:eastAsia="en-US"/>
              </w:rPr>
              <w:t xml:space="preserve">z dnia 30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C635C7"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00B92573" w:rsidRPr="00C635C7">
              <w:rPr>
                <w:rFonts w:asciiTheme="minorHAnsi" w:hAnsiTheme="minorHAnsi" w:cs="MS Sans Serif"/>
                <w:szCs w:val="22"/>
              </w:rPr>
              <w:t xml:space="preserve">z dnia 19 października 2015 r. </w:t>
            </w:r>
            <w:r w:rsidRPr="00C635C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C635C7">
              <w:rPr>
                <w:rFonts w:asciiTheme="minorHAnsi" w:eastAsiaTheme="minorHAnsi" w:hAnsiTheme="minorHAnsi" w:cs="Calibri"/>
                <w:szCs w:val="22"/>
                <w:lang w:eastAsia="en-US"/>
              </w:rPr>
              <w:br/>
            </w:r>
            <w:r w:rsidRPr="00C635C7">
              <w:rPr>
                <w:rFonts w:asciiTheme="minorHAnsi" w:eastAsiaTheme="minorHAnsi" w:hAnsiTheme="minorHAnsi" w:cs="Calibri"/>
                <w:szCs w:val="22"/>
                <w:lang w:eastAsia="en-US"/>
              </w:rPr>
              <w:t>z krajowych lub regionalnych programów operacyjnych.</w:t>
            </w:r>
          </w:p>
          <w:p w:rsidR="008373EE" w:rsidRPr="00C635C7"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Wytyczne </w:t>
            </w:r>
            <w:r w:rsidR="000C10A2" w:rsidRPr="00C635C7">
              <w:rPr>
                <w:rFonts w:asciiTheme="minorHAnsi" w:eastAsiaTheme="minorHAnsi" w:hAnsiTheme="minorHAnsi" w:cs="Calibri"/>
                <w:szCs w:val="22"/>
                <w:lang w:eastAsia="en-US"/>
              </w:rPr>
              <w:t>Ministra Infrastruktury i Rozwoju</w:t>
            </w:r>
            <w:r w:rsidR="00B92573" w:rsidRPr="00C635C7">
              <w:rPr>
                <w:rFonts w:asciiTheme="minorHAnsi" w:hAnsiTheme="minorHAnsi" w:cs="MS Sans Serif"/>
                <w:szCs w:val="22"/>
              </w:rPr>
              <w:t xml:space="preserve"> z dnia 31 marca 2015 r. </w:t>
            </w:r>
            <w:r w:rsidR="000C10A2" w:rsidRPr="00C635C7">
              <w:rPr>
                <w:rFonts w:asciiTheme="minorHAnsi" w:eastAsiaTheme="minorHAnsi" w:hAnsiTheme="minorHAnsi" w:cs="Calibri"/>
                <w:szCs w:val="22"/>
                <w:lang w:eastAsia="en-US"/>
              </w:rPr>
              <w:t xml:space="preserve"> </w:t>
            </w:r>
            <w:r w:rsidR="002F2511" w:rsidRPr="00C635C7">
              <w:rPr>
                <w:rFonts w:asciiTheme="minorHAnsi" w:eastAsiaTheme="minorHAnsi" w:hAnsiTheme="minorHAnsi" w:cs="Calibri"/>
                <w:szCs w:val="22"/>
                <w:lang w:eastAsia="en-US"/>
              </w:rPr>
              <w:br/>
            </w:r>
            <w:r w:rsidRPr="00C635C7">
              <w:rPr>
                <w:rFonts w:asciiTheme="minorHAnsi" w:hAnsiTheme="minorHAnsi"/>
                <w:szCs w:val="22"/>
              </w:rPr>
              <w:lastRenderedPageBreak/>
              <w:t>w zakresie zagadnień związanych z przygotowaniem projektów inwestycyjnych, w tym projektów generujących dochód i projektów hybrydowych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7.1.C Przedsięwzięcia prowadzące bezpośrednio do poprawy warunków nauczania zwłaszcza w zakresie zajęć matematyczno-przyrodniczych i cyfrowych realizowane poprzez przebudowę, rozbudowę</w:t>
            </w:r>
            <w:r w:rsidR="00327FD9">
              <w:rPr>
                <w:rStyle w:val="Odwoanieprzypisudolnego"/>
                <w:rFonts w:cs="Calibri"/>
                <w:color w:val="000000"/>
              </w:rPr>
              <w:footnoteReference w:id="1"/>
            </w:r>
            <w:r w:rsidRPr="000C5215">
              <w:rPr>
                <w:rFonts w:cs="Calibri"/>
                <w:color w:val="000000"/>
              </w:rPr>
              <w:t xml:space="preserve">, adaptację lub budowę (w tym także zakup wyposażenia) szkół i placówek.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7.1.D Przedsięwzięcia z zakresu wyposażenia w nowoczesny sprzęt i materiały dydaktyczne pracowni, zwłaszcza matematyczno-przyrodniczych i cyfrowych.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7.1.E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0C5215" w:rsidRDefault="000C5215" w:rsidP="000C5215">
            <w:pPr>
              <w:autoSpaceDE w:val="0"/>
              <w:autoSpaceDN w:val="0"/>
              <w:adjustRightInd w:val="0"/>
              <w:spacing w:after="0" w:line="240" w:lineRule="auto"/>
              <w:jc w:val="both"/>
              <w:rPr>
                <w:rFonts w:cs="Calibri"/>
                <w:color w:val="000000"/>
              </w:rPr>
            </w:pPr>
          </w:p>
          <w:p w:rsidR="00BD1B31" w:rsidRPr="007D3AFA" w:rsidRDefault="00BD1B31" w:rsidP="00BD1B31">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BD1B31" w:rsidRPr="000C5215" w:rsidRDefault="00BD1B31"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Możliwe jest łączenie ww. typów projektów – o wyborze typu decyduje struktura wydatków kwalifikowalnych (ich większościowy udział). </w:t>
            </w:r>
          </w:p>
          <w:p w:rsidR="000C5215" w:rsidRPr="000C5215" w:rsidRDefault="000C5215" w:rsidP="000C5215">
            <w:pPr>
              <w:autoSpaceDE w:val="0"/>
              <w:autoSpaceDN w:val="0"/>
              <w:adjustRightInd w:val="0"/>
              <w:spacing w:after="0" w:line="240" w:lineRule="auto"/>
              <w:jc w:val="both"/>
              <w:rPr>
                <w:rFonts w:cs="Calibri"/>
                <w:color w:val="000000"/>
              </w:rPr>
            </w:pPr>
          </w:p>
          <w:p w:rsidR="00327FD9" w:rsidRDefault="000C5215" w:rsidP="000C5215">
            <w:pPr>
              <w:autoSpaceDE w:val="0"/>
              <w:autoSpaceDN w:val="0"/>
              <w:adjustRightInd w:val="0"/>
              <w:spacing w:after="0" w:line="240" w:lineRule="auto"/>
              <w:jc w:val="both"/>
              <w:rPr>
                <w:rFonts w:cs="Calibri"/>
                <w:color w:val="000000"/>
              </w:rPr>
            </w:pPr>
            <w:r w:rsidRPr="000C5215">
              <w:rPr>
                <w:rFonts w:cs="Calibri"/>
                <w:color w:val="000000"/>
              </w:rPr>
              <w:t>Aby projekt mógł być realizowany, projektodawca musi wskazać</w:t>
            </w:r>
            <w:r w:rsidR="00327FD9">
              <w:rPr>
                <w:rFonts w:cs="Calibri"/>
                <w:color w:val="000000"/>
              </w:rPr>
              <w:t>:</w:t>
            </w:r>
          </w:p>
          <w:p w:rsidR="000C5215" w:rsidRDefault="00327FD9" w:rsidP="000C5215">
            <w:pPr>
              <w:autoSpaceDE w:val="0"/>
              <w:autoSpaceDN w:val="0"/>
              <w:adjustRightInd w:val="0"/>
              <w:spacing w:after="0" w:line="240" w:lineRule="auto"/>
              <w:jc w:val="both"/>
              <w:rPr>
                <w:rFonts w:cs="Calibri"/>
                <w:color w:val="000000"/>
              </w:rPr>
            </w:pPr>
            <w:r>
              <w:rPr>
                <w:rFonts w:cs="Calibri"/>
                <w:color w:val="000000"/>
              </w:rPr>
              <w:t xml:space="preserve">- </w:t>
            </w:r>
            <w:r w:rsidR="000C5215" w:rsidRPr="000C5215">
              <w:rPr>
                <w:rFonts w:cs="Calibri"/>
                <w:color w:val="000000"/>
              </w:rPr>
              <w:t>wizję</w:t>
            </w:r>
            <w:r>
              <w:rPr>
                <w:rFonts w:cs="Calibri"/>
                <w:color w:val="000000"/>
              </w:rPr>
              <w:t xml:space="preserve"> </w:t>
            </w:r>
            <w:r w:rsidR="000C5215" w:rsidRPr="000C5215">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327FD9" w:rsidRDefault="00327FD9" w:rsidP="00327FD9">
            <w:pPr>
              <w:pStyle w:val="Default"/>
              <w:jc w:val="both"/>
            </w:pPr>
            <w:r>
              <w:rPr>
                <w:rFonts w:asciiTheme="minorHAnsi" w:hAnsiTheme="minorHAnsi"/>
                <w:sz w:val="22"/>
                <w:szCs w:val="22"/>
              </w:rPr>
              <w:t xml:space="preserve">- że </w:t>
            </w:r>
            <w:r>
              <w:t>projekt przyczynia się do osiągnięcia celów RPO WD finansowanych ze środków EFS;</w:t>
            </w:r>
          </w:p>
          <w:p w:rsidR="00327FD9" w:rsidRPr="000C5215" w:rsidRDefault="00327FD9" w:rsidP="00327FD9">
            <w:pPr>
              <w:autoSpaceDE w:val="0"/>
              <w:autoSpaceDN w:val="0"/>
              <w:adjustRightInd w:val="0"/>
              <w:spacing w:after="0" w:line="240" w:lineRule="auto"/>
              <w:jc w:val="both"/>
              <w:rPr>
                <w:rFonts w:cs="Calibri"/>
                <w:color w:val="000000"/>
              </w:rPr>
            </w:pPr>
            <w:r>
              <w:t xml:space="preserve">- że konieczność </w:t>
            </w:r>
            <w:r w:rsidRPr="00922F92">
              <w:t>wydatkowania środków została potwierdzona analizą potrzeb</w:t>
            </w:r>
            <w:r w:rsidRPr="00D51C74">
              <w:t xml:space="preserve"> </w:t>
            </w:r>
            <w:r w:rsidRPr="00922F92">
              <w:t>szkoły objętej projektem</w:t>
            </w:r>
          </w:p>
          <w:p w:rsidR="000C5215" w:rsidRPr="000C5215" w:rsidRDefault="000C5215" w:rsidP="000C5215">
            <w:pPr>
              <w:autoSpaceDE w:val="0"/>
              <w:autoSpaceDN w:val="0"/>
              <w:adjustRightInd w:val="0"/>
              <w:spacing w:after="0" w:line="240" w:lineRule="auto"/>
              <w:jc w:val="both"/>
              <w:rPr>
                <w:rFonts w:cs="Calibri"/>
                <w:color w:val="000000"/>
              </w:rPr>
            </w:pPr>
          </w:p>
          <w:p w:rsid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lastRenderedPageBreak/>
              <w:t>Wszystkie przedsięwzięcia związane z poprawą warunków kształcenia będą uwzględniać konieczność dostosowaniem infrastruktury i wyposażenia do potrzeb osób z niepełnosprawnościami (jako obowiązkowy element projektu).</w:t>
            </w:r>
          </w:p>
          <w:p w:rsidR="000A7B22" w:rsidRPr="000C5215" w:rsidRDefault="000A7B22" w:rsidP="000C5215">
            <w:pPr>
              <w:autoSpaceDE w:val="0"/>
              <w:autoSpaceDN w:val="0"/>
              <w:adjustRightInd w:val="0"/>
              <w:spacing w:after="0" w:line="240" w:lineRule="auto"/>
              <w:jc w:val="both"/>
              <w:rPr>
                <w:rFonts w:cs="Calibri"/>
                <w:color w:val="000000"/>
              </w:rPr>
            </w:pPr>
            <w:r w:rsidRPr="000A7B22">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Preferowane będą projekty:</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dostosowujące szkoły do pracy z uczniem o specjalnych potrzebach edukacyjnych;</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zapewniające rozwój infrastruktury w zakresie nauk matematyczno-przyrodniczych i cyfrowych (wyposażenie pracowni);</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komplementarne z przedsięwzięciami realizowanymi w obszarze edukacji współfinansowanymi z EFS;</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realizowane na obszarach wiejskich.</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Nie będą finansowane:</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związane z termomodernizacją przekraczające 49% wartości całkowitych wydatków kwalifikowalnych na pojedynczy budynek w projekcie. </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związane z zakupem placów zabaw przekraczające 49% wartości całkowitych wydatków kwalifikowalnych projektu. </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w:t>
            </w:r>
            <w:r w:rsidR="00DC7902" w:rsidRPr="00DC7902">
              <w:t xml:space="preserve"> </w:t>
            </w:r>
            <w:r w:rsidR="00DC7902" w:rsidRPr="00DC7902">
              <w:rPr>
                <w:rFonts w:cs="Calibri"/>
                <w:color w:val="000000"/>
              </w:rPr>
              <w:t>Koszty zagospodarowania terenu</w:t>
            </w:r>
            <w:r w:rsidR="00DC7902" w:rsidRPr="00DC7902">
              <w:rPr>
                <w:rFonts w:cs="Calibri"/>
                <w:color w:val="000000"/>
                <w:vertAlign w:val="superscript"/>
              </w:rPr>
              <w:footnoteReference w:id="2"/>
            </w:r>
            <w:r w:rsidR="00DC7902" w:rsidRPr="00DC7902">
              <w:rPr>
                <w:rFonts w:cs="Calibri"/>
                <w:color w:val="000000"/>
              </w:rPr>
              <w:t xml:space="preserve"> </w:t>
            </w:r>
            <w:r w:rsidRPr="000C5215">
              <w:rPr>
                <w:rFonts w:cs="Calibri"/>
                <w:color w:val="000000"/>
              </w:rPr>
              <w:t xml:space="preserve">wokół, szkół i placówek oraz budowy dróg dojazdowych, wewnętrznych i parkingów. </w:t>
            </w:r>
          </w:p>
          <w:p w:rsidR="00327FD9" w:rsidRDefault="00327FD9" w:rsidP="00327FD9">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327FD9" w:rsidRPr="00327FD9" w:rsidRDefault="00327FD9" w:rsidP="00327FD9">
            <w:pPr>
              <w:pStyle w:val="Default"/>
              <w:spacing w:after="80"/>
              <w:jc w:val="both"/>
              <w:rPr>
                <w:rFonts w:asciiTheme="minorHAnsi" w:hAnsiTheme="minorHAnsi"/>
                <w:sz w:val="22"/>
                <w:szCs w:val="22"/>
              </w:rPr>
            </w:pPr>
            <w:r>
              <w:rPr>
                <w:rFonts w:asciiTheme="minorHAnsi" w:hAnsiTheme="minorHAnsi"/>
                <w:sz w:val="22"/>
                <w:szCs w:val="22"/>
              </w:rPr>
              <w:t>- Wydatki na infrastrukturę szkół ponadgimnazjalnych</w:t>
            </w:r>
            <w:r>
              <w:rPr>
                <w:rStyle w:val="Odwoanieprzypisudolnego"/>
                <w:rFonts w:asciiTheme="minorHAnsi" w:hAnsiTheme="minorHAnsi"/>
                <w:sz w:val="22"/>
                <w:szCs w:val="22"/>
              </w:rPr>
              <w:footnoteReference w:id="4"/>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na zakup używanych środków trwałych. </w:t>
            </w:r>
          </w:p>
          <w:p w:rsidR="000C5215" w:rsidRPr="000C5215" w:rsidRDefault="000C5215" w:rsidP="000C5215">
            <w:pPr>
              <w:autoSpaceDE w:val="0"/>
              <w:autoSpaceDN w:val="0"/>
              <w:adjustRightInd w:val="0"/>
              <w:spacing w:after="0" w:line="240" w:lineRule="auto"/>
              <w:jc w:val="both"/>
              <w:rPr>
                <w:rFonts w:cs="Calibri"/>
                <w:color w:val="000000"/>
              </w:rPr>
            </w:pPr>
          </w:p>
          <w:p w:rsidR="002368A3" w:rsidRPr="002368A3" w:rsidRDefault="000C5215" w:rsidP="00480411">
            <w:pPr>
              <w:pStyle w:val="CM1"/>
              <w:spacing w:before="200" w:after="200"/>
              <w:jc w:val="both"/>
              <w:rPr>
                <w:rFonts w:asciiTheme="minorHAnsi" w:hAnsiTheme="minorHAnsi" w:cs="Calibri"/>
                <w:color w:val="000000"/>
                <w:sz w:val="22"/>
                <w:szCs w:val="22"/>
              </w:rPr>
            </w:pPr>
            <w:r w:rsidRPr="00387665">
              <w:rPr>
                <w:rFonts w:asciiTheme="minorHAnsi" w:hAnsiTheme="minorHAnsi" w:cs="Calibri"/>
                <w:color w:val="000000"/>
                <w:sz w:val="22"/>
                <w:szCs w:val="22"/>
              </w:rPr>
              <w:t>Kategorią interwencji (zakresem interwencji dominującym) dla niniejszego konkursu jest kategoria 051 Infrastruktura edukacyjna na potrzeby edukacji szkolnej (na poziomie podstawowym i średnim ogólnokształcącym).</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lastRenderedPageBreak/>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 xml:space="preserve">jednostki organizacyjne </w:t>
            </w:r>
            <w:proofErr w:type="spellStart"/>
            <w:r w:rsidRPr="00387665">
              <w:rPr>
                <w:rFonts w:asciiTheme="minorHAnsi" w:eastAsia="TTE1ABE920t00" w:hAnsiTheme="minorHAnsi" w:cs="Arial"/>
                <w:szCs w:val="22"/>
              </w:rPr>
              <w:t>jst</w:t>
            </w:r>
            <w:proofErr w:type="spellEnd"/>
            <w:r w:rsidRPr="00387665">
              <w:rPr>
                <w:rFonts w:asciiTheme="minorHAnsi" w:eastAsia="TTE1ABE920t00" w:hAnsiTheme="minorHAnsi" w:cs="Arial"/>
                <w:szCs w:val="22"/>
              </w:rPr>
              <w: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Pr>
                <w:rFonts w:cs="Calibri"/>
                <w:color w:val="000000"/>
              </w:rPr>
              <w:t xml:space="preserve">wynosi </w:t>
            </w:r>
            <w:r w:rsidR="00387665" w:rsidRPr="00387665">
              <w:rPr>
                <w:rFonts w:cs="Calibri"/>
                <w:b/>
                <w:color w:val="000000"/>
              </w:rPr>
              <w:t xml:space="preserve">5 326 859 </w:t>
            </w:r>
            <w:r w:rsidR="00390B97" w:rsidRPr="00390B97">
              <w:rPr>
                <w:rFonts w:cs="Calibri"/>
                <w:b/>
                <w:color w:val="000000"/>
              </w:rPr>
              <w:t xml:space="preserve">Euro </w:t>
            </w:r>
            <w:r w:rsidR="009D19B3" w:rsidRPr="009D19B3">
              <w:rPr>
                <w:rFonts w:cs="Calibri"/>
                <w:b/>
                <w:color w:val="000000"/>
              </w:rPr>
              <w:t>–</w:t>
            </w:r>
            <w:r w:rsidR="00935DB8">
              <w:rPr>
                <w:rFonts w:cs="Calibri"/>
                <w:b/>
                <w:color w:val="000000"/>
              </w:rPr>
              <w:t xml:space="preserve">23 722 634 </w:t>
            </w:r>
            <w:r w:rsidR="009D19B3" w:rsidRPr="009D19B3">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t>
            </w:r>
            <w:r w:rsidR="006105EE" w:rsidRPr="00332D2D">
              <w:rPr>
                <w:rFonts w:cs="MS Sans Serif"/>
              </w:rPr>
              <w:t xml:space="preserve">w lutym 2016 </w:t>
            </w:r>
            <w:r w:rsidR="006105EE">
              <w:rPr>
                <w:rFonts w:cs="MS Sans Serif"/>
              </w:rPr>
              <w:t>r</w:t>
            </w:r>
            <w:r>
              <w:rPr>
                <w:rFonts w:cs="MS Sans Serif"/>
              </w:rPr>
              <w:t>.</w:t>
            </w:r>
            <w:r w:rsidRPr="00CB0572">
              <w:rPr>
                <w:rFonts w:cs="MS Sans Serif"/>
              </w:rPr>
              <w:t xml:space="preserve">, </w:t>
            </w:r>
            <w:r>
              <w:rPr>
                <w:rFonts w:cs="MS Sans Serif"/>
              </w:rPr>
              <w:t xml:space="preserve">1 euro = </w:t>
            </w:r>
            <w:r w:rsidR="00387665" w:rsidRPr="00387665">
              <w:rPr>
                <w:rFonts w:cs="MS Sans Serif"/>
              </w:rPr>
              <w:t xml:space="preserve">4,4534 </w:t>
            </w:r>
            <w:r w:rsidRPr="00EE291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5"/>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w:t>
            </w:r>
            <w:r w:rsidRPr="00DC364F">
              <w:rPr>
                <w:rFonts w:cs="Arial"/>
              </w:rPr>
              <w:lastRenderedPageBreak/>
              <w:t xml:space="preserve">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8330F0" w:rsidRPr="00800124" w:rsidRDefault="008330F0" w:rsidP="008330F0">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p w:rsidR="008330F0" w:rsidRPr="00DC364F" w:rsidRDefault="008330F0" w:rsidP="008330F0">
            <w:pPr>
              <w:tabs>
                <w:tab w:val="left" w:pos="459"/>
              </w:tabs>
              <w:spacing w:before="40" w:after="40" w:line="240" w:lineRule="auto"/>
              <w:jc w:val="both"/>
              <w:rPr>
                <w:rFonts w:cs="Arial"/>
              </w:rPr>
            </w:pPr>
          </w:p>
          <w:p w:rsidR="008330F0" w:rsidRPr="00D65CF5" w:rsidRDefault="008330F0" w:rsidP="008330F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8330F0" w:rsidP="008330F0">
            <w:pPr>
              <w:spacing w:before="120" w:after="120" w:line="240" w:lineRule="auto"/>
              <w:jc w:val="both"/>
            </w:pPr>
            <w:r w:rsidRPr="00D65CF5">
              <w:t xml:space="preserve">Wszystkie ww. regulacje dotyczące pomocy publicznej dostępne są na stronie </w:t>
            </w:r>
            <w:hyperlink r:id="rId14"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5"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904DB2">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6"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05305F" w:rsidRDefault="00A41980" w:rsidP="0005305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05305F" w:rsidRPr="0005305F" w:rsidRDefault="0005305F" w:rsidP="0005305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lastRenderedPageBreak/>
              <w:t xml:space="preserve">- </w:t>
            </w:r>
            <w:r w:rsidRPr="0005305F">
              <w:t>czytelność załączonych skanów,</w:t>
            </w:r>
          </w:p>
          <w:p w:rsidR="00A41980" w:rsidRPr="00053525" w:rsidRDefault="008D5057" w:rsidP="008D5057">
            <w:p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 xml:space="preserve">zamieszczana </w:t>
            </w:r>
            <w:r w:rsidRPr="00A97034">
              <w:rPr>
                <w:rFonts w:ascii="Calibri" w:hAnsi="Calibri" w:cs="Calibri"/>
                <w:color w:val="000000"/>
              </w:rPr>
              <w:lastRenderedPageBreak/>
              <w:t>jest na stronie internetowej</w:t>
            </w:r>
            <w:r>
              <w:rPr>
                <w:rFonts w:ascii="Calibri" w:hAnsi="Calibri" w:cs="Calibri"/>
                <w:color w:val="000000"/>
              </w:rPr>
              <w:t xml:space="preserve"> </w:t>
            </w:r>
            <w:hyperlink r:id="rId17"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hyperlink r:id="rId19"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20"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136E29" w:rsidRPr="00F724B1" w:rsidRDefault="00136E29" w:rsidP="003C6440">
            <w:pPr>
              <w:pStyle w:val="xl33"/>
              <w:spacing w:after="0"/>
              <w:jc w:val="both"/>
              <w:rPr>
                <w:rFonts w:asciiTheme="minorHAnsi" w:hAnsiTheme="minorHAnsi"/>
                <w:sz w:val="22"/>
                <w:szCs w:val="22"/>
              </w:rPr>
            </w:pPr>
            <w:r w:rsidRPr="00F724B1">
              <w:rPr>
                <w:rFonts w:asciiTheme="minorHAnsi" w:hAnsiTheme="minorHAnsi"/>
                <w:sz w:val="22"/>
                <w:szCs w:val="22"/>
              </w:rPr>
              <w:t>Suma kontrolna wersji elektronicznej wniosku (w systemie) musi być identyczna z sumą kontrolną papierowej wersji wniosku.</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wniosek o dofinansowanie projektu w ramach naboru nr …………..</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3C6440" w:rsidRDefault="003C6440" w:rsidP="003C6440">
            <w:pPr>
              <w:pStyle w:val="xl33"/>
              <w:spacing w:after="0"/>
              <w:jc w:val="both"/>
              <w:rPr>
                <w:rFonts w:asciiTheme="minorHAnsi" w:hAnsiTheme="minorHAnsi" w:cs="Arial"/>
                <w:sz w:val="22"/>
                <w:szCs w:val="22"/>
              </w:rPr>
            </w:pPr>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3C6440" w:rsidRPr="00993C49" w:rsidRDefault="003C6440" w:rsidP="003C6440">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3C6440" w:rsidRDefault="003C6440" w:rsidP="003C6440">
            <w:pPr>
              <w:autoSpaceDE w:val="0"/>
              <w:autoSpaceDN w:val="0"/>
              <w:adjustRightInd w:val="0"/>
              <w:spacing w:before="120" w:after="120" w:line="240" w:lineRule="auto"/>
              <w:jc w:val="both"/>
              <w:rPr>
                <w:rFonts w:cs="Arial"/>
              </w:rPr>
            </w:pPr>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8D6750" w:rsidRPr="007B042A" w:rsidRDefault="008D6750" w:rsidP="00655F52">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w:t>
            </w:r>
            <w:r w:rsidRPr="007B042A">
              <w:rPr>
                <w:rFonts w:cs="Times New Roman"/>
                <w:color w:val="000000"/>
              </w:rPr>
              <w:lastRenderedPageBreak/>
              <w:t xml:space="preserve">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C6440" w:rsidRPr="00B970EE" w:rsidRDefault="003C6440" w:rsidP="003C6440">
            <w:pPr>
              <w:pStyle w:val="xl33"/>
              <w:spacing w:after="0"/>
              <w:jc w:val="both"/>
              <w:rPr>
                <w:rFonts w:asciiTheme="minorHAnsi" w:hAnsiTheme="minorHAnsi" w:cs="Arial"/>
                <w:sz w:val="22"/>
                <w:szCs w:val="22"/>
              </w:rPr>
            </w:pPr>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p>
          <w:p w:rsidR="003C6440" w:rsidRPr="00B970EE" w:rsidRDefault="003C6440" w:rsidP="003C6440">
            <w:pPr>
              <w:pStyle w:val="xl33"/>
              <w:spacing w:after="0"/>
              <w:jc w:val="both"/>
              <w:rPr>
                <w:rFonts w:asciiTheme="minorHAnsi" w:hAnsiTheme="minorHAnsi" w:cs="Arial"/>
                <w:sz w:val="22"/>
                <w:szCs w:val="22"/>
              </w:rPr>
            </w:pPr>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p>
          <w:p w:rsidR="003C6440" w:rsidRDefault="003C6440" w:rsidP="003C6440">
            <w:pPr>
              <w:pStyle w:val="xl33"/>
              <w:spacing w:before="0" w:after="0"/>
              <w:jc w:val="both"/>
              <w:rPr>
                <w:rFonts w:asciiTheme="minorHAnsi" w:hAnsiTheme="minorHAnsi" w:cs="Arial"/>
                <w:sz w:val="22"/>
                <w:szCs w:val="22"/>
              </w:rPr>
            </w:pPr>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lastRenderedPageBreak/>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21"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2"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3"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D7420E">
              <w:rPr>
                <w:iCs/>
                <w:sz w:val="22"/>
                <w:szCs w:val="22"/>
              </w:rPr>
              <w:t>25</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7717C1">
              <w:rPr>
                <w:iCs/>
                <w:sz w:val="22"/>
                <w:szCs w:val="22"/>
              </w:rPr>
              <w:t>12</w:t>
            </w:r>
            <w:r w:rsidR="00D5162B" w:rsidRPr="009455A4">
              <w:rPr>
                <w:iCs/>
                <w:sz w:val="22"/>
                <w:szCs w:val="22"/>
              </w:rPr>
              <w:t xml:space="preserve"> </w:t>
            </w:r>
            <w:r w:rsidR="007717C1">
              <w:rPr>
                <w:iCs/>
                <w:sz w:val="22"/>
                <w:szCs w:val="22"/>
              </w:rPr>
              <w:t>lutego</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 xml:space="preserve">Wnioskodawca jest zobowiązany do wyboru i określenia wartości docelowej we </w:t>
            </w:r>
            <w:r>
              <w:rPr>
                <w:sz w:val="22"/>
                <w:szCs w:val="22"/>
              </w:rPr>
              <w:lastRenderedPageBreak/>
              <w:t>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616174">
              <w:rPr>
                <w:iCs/>
                <w:sz w:val="22"/>
                <w:szCs w:val="22"/>
              </w:rPr>
              <w:t>2</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6">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7">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w:t>
            </w:r>
            <w:r w:rsidRPr="00DB69D3">
              <w:rPr>
                <w:rFonts w:ascii="Calibri" w:hAnsi="Calibri"/>
                <w:szCs w:val="22"/>
              </w:rPr>
              <w:lastRenderedPageBreak/>
              <w:t xml:space="preserve">IZ RPO WD, a w przypadku etapu oceny badania wpływu projektu na Strategię ZIT do IZ RPO WD za pośrednictwem IP RPO WD </w:t>
            </w:r>
            <w:r w:rsidR="00B9478C" w:rsidRPr="00B9478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lastRenderedPageBreak/>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lastRenderedPageBreak/>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8" w:history="1">
              <w:r w:rsidRPr="00BD5AC3">
                <w:rPr>
                  <w:rStyle w:val="Hipercze"/>
                </w:rPr>
                <w:t>www.rpo.dolnyslask.pl</w:t>
              </w:r>
            </w:hyperlink>
            <w:r>
              <w:rPr>
                <w:rStyle w:val="Hipercze"/>
              </w:rPr>
              <w:t>,</w:t>
            </w:r>
            <w:r>
              <w:t xml:space="preserve"> </w:t>
            </w:r>
            <w:hyperlink r:id="rId29" w:history="1">
              <w:r w:rsidRPr="00E00FE1">
                <w:rPr>
                  <w:rStyle w:val="Hipercze"/>
                </w:rPr>
                <w:t>www.bip.um.wroc.pl/zit</w:t>
              </w:r>
            </w:hyperlink>
            <w:r>
              <w:t xml:space="preserve">, </w:t>
            </w:r>
            <w:r w:rsidRPr="00BD5AC3">
              <w:t xml:space="preserve">  </w:t>
            </w:r>
            <w:hyperlink r:id="rId30" w:history="1">
              <w:r w:rsidRPr="00E00FE1">
                <w:rPr>
                  <w:rStyle w:val="Hipercze"/>
                </w:rPr>
                <w:t>www.wroclaw.pl/zit-</w:t>
              </w:r>
              <w:r>
                <w:rPr>
                  <w:rStyle w:val="Hipercze"/>
                </w:rPr>
                <w:t>WrOF</w:t>
              </w:r>
            </w:hyperlink>
            <w:r>
              <w:t xml:space="preserve"> </w:t>
            </w:r>
            <w:r w:rsidRPr="00BD5AC3">
              <w:t xml:space="preserve">oraz na portalu Funduszy Europejskich: </w:t>
            </w:r>
            <w:hyperlink r:id="rId31"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 xml:space="preserve">dokumenty i informacje przedstawiane przez wnioskodawców, do momentu zawarcia z nimi umowy o dofinansowanie albo wydania w stosunku do nich </w:t>
            </w:r>
            <w:r w:rsidRPr="00E92452">
              <w:rPr>
                <w:sz w:val="22"/>
                <w:szCs w:val="22"/>
              </w:rPr>
              <w:lastRenderedPageBreak/>
              <w:t>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C635C7" w:rsidRDefault="00B01135" w:rsidP="00480411">
            <w:pPr>
              <w:pStyle w:val="bodytext"/>
              <w:jc w:val="center"/>
              <w:rPr>
                <w:rFonts w:asciiTheme="minorHAnsi" w:hAnsiTheme="minorHAnsi"/>
                <w:b/>
                <w:sz w:val="22"/>
                <w:szCs w:val="22"/>
              </w:rPr>
            </w:pPr>
            <w:r w:rsidRPr="00C635C7">
              <w:rPr>
                <w:rFonts w:asciiTheme="minorHAnsi" w:hAnsiTheme="minorHAnsi"/>
                <w:b/>
                <w:bCs/>
                <w:sz w:val="22"/>
                <w:szCs w:val="22"/>
              </w:rPr>
              <w:t>Infolinia: 801 700 008</w:t>
            </w:r>
            <w:r w:rsidRPr="00C635C7">
              <w:rPr>
                <w:rFonts w:asciiTheme="minorHAnsi" w:hAnsiTheme="minorHAnsi"/>
                <w:b/>
                <w:bCs/>
                <w:sz w:val="22"/>
                <w:szCs w:val="22"/>
              </w:rPr>
              <w:br/>
            </w:r>
          </w:p>
          <w:p w:rsidR="00B01135" w:rsidRPr="00C635C7" w:rsidRDefault="00F724B1" w:rsidP="00480411">
            <w:pPr>
              <w:pStyle w:val="bodytext"/>
              <w:jc w:val="center"/>
              <w:rPr>
                <w:rFonts w:asciiTheme="minorHAnsi" w:hAnsiTheme="minorHAnsi"/>
                <w:b/>
                <w:sz w:val="22"/>
                <w:szCs w:val="22"/>
              </w:rPr>
            </w:pPr>
            <w:hyperlink r:id="rId32" w:history="1">
              <w:r w:rsidR="00B01135" w:rsidRPr="00C635C7">
                <w:rPr>
                  <w:rStyle w:val="Hipercze"/>
                  <w:rFonts w:asciiTheme="minorHAnsi" w:hAnsiTheme="minorHAnsi"/>
                  <w:b/>
                  <w:sz w:val="22"/>
                  <w:szCs w:val="22"/>
                </w:rPr>
                <w:t>pife@dolnyslask.pl</w:t>
              </w:r>
            </w:hyperlink>
          </w:p>
          <w:p w:rsidR="00B01135" w:rsidRPr="00C635C7" w:rsidRDefault="00F724B1" w:rsidP="00480411">
            <w:pPr>
              <w:spacing w:before="120" w:after="120" w:line="240" w:lineRule="auto"/>
              <w:jc w:val="center"/>
            </w:pPr>
            <w:hyperlink r:id="rId33" w:history="1">
              <w:r w:rsidR="00B01135" w:rsidRPr="00C635C7">
                <w:rPr>
                  <w:rStyle w:val="Hipercze"/>
                </w:rPr>
                <w:t>pife.jeleniagora@dolnyslask.pl</w:t>
              </w:r>
            </w:hyperlink>
          </w:p>
          <w:p w:rsidR="00B01135" w:rsidRPr="00C635C7" w:rsidRDefault="00F724B1" w:rsidP="00480411">
            <w:pPr>
              <w:spacing w:before="120" w:after="120" w:line="240" w:lineRule="auto"/>
              <w:jc w:val="center"/>
            </w:pPr>
            <w:hyperlink r:id="rId34" w:history="1">
              <w:r w:rsidR="00B01135" w:rsidRPr="00C635C7">
                <w:rPr>
                  <w:rStyle w:val="Hipercze"/>
                </w:rPr>
                <w:t>pife.legnica@dolnyslask.pl</w:t>
              </w:r>
            </w:hyperlink>
          </w:p>
          <w:p w:rsidR="00B01135" w:rsidRDefault="00F724B1" w:rsidP="00480411">
            <w:pPr>
              <w:spacing w:before="120" w:after="120" w:line="240" w:lineRule="auto"/>
              <w:jc w:val="center"/>
              <w:rPr>
                <w:rStyle w:val="Hipercze"/>
              </w:rPr>
            </w:pPr>
            <w:hyperlink r:id="rId35" w:history="1">
              <w:r w:rsidR="00B01135" w:rsidRPr="00FB53DA">
                <w:rPr>
                  <w:rStyle w:val="Hipercze"/>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lastRenderedPageBreak/>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6"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7"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06657D">
              <w:rPr>
                <w:rFonts w:asciiTheme="minorHAnsi" w:hAnsiTheme="minorHAnsi"/>
                <w:sz w:val="22"/>
                <w:szCs w:val="22"/>
              </w:rPr>
              <w:t>wrzesień</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8" w:history="1">
              <w:r w:rsidRPr="00151119">
                <w:rPr>
                  <w:rStyle w:val="Hipercze"/>
                  <w:rFonts w:cs="Calibri"/>
                </w:rPr>
                <w:t>www.rpo.dolnyslask.pl</w:t>
              </w:r>
            </w:hyperlink>
            <w:r w:rsidR="003A63E2">
              <w:t xml:space="preserve"> i </w:t>
            </w:r>
            <w:hyperlink r:id="rId39">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w:t>
            </w:r>
            <w:r w:rsidRPr="00151119">
              <w:rPr>
                <w:rFonts w:asciiTheme="minorHAnsi" w:hAnsiTheme="minorHAnsi"/>
                <w:b/>
                <w:bCs/>
                <w:sz w:val="22"/>
                <w:szCs w:val="22"/>
              </w:rPr>
              <w:lastRenderedPageBreak/>
              <w:t xml:space="preserve">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lastRenderedPageBreak/>
              <w:t xml:space="preserve">Jeśli w danym naborze wniesiono protesty to kwota wolnych środków w działaniu/poddziałaniu w pierwszej kolejności przeznaczona będzie na </w:t>
            </w:r>
            <w:r>
              <w:lastRenderedPageBreak/>
              <w:t xml:space="preserve">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 xml:space="preserve">Wytycznych w zakresie kwalifikowalności wydatków w ramach Europejskiego Funduszu Rozwoju Regionalnego, </w:t>
            </w:r>
            <w:r w:rsidRPr="00B26D06">
              <w:rPr>
                <w:rFonts w:cs="Calibri"/>
                <w:color w:val="000000"/>
              </w:rPr>
              <w:lastRenderedPageBreak/>
              <w:t>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F724B1" w:rsidP="00B26B57">
            <w:pPr>
              <w:suppressAutoHyphens/>
              <w:spacing w:after="120" w:line="240" w:lineRule="auto"/>
              <w:jc w:val="both"/>
              <w:rPr>
                <w:rFonts w:eastAsia="Droid Sans Fallback" w:cs="Calibri"/>
                <w:color w:val="00000A"/>
              </w:rPr>
            </w:pPr>
            <w:hyperlink r:id="rId40"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735145">
              <w:rPr>
                <w:rFonts w:eastAsia="Droid Sans Fallback" w:cs="Calibri"/>
                <w:color w:val="00000A"/>
              </w:rPr>
              <w:lastRenderedPageBreak/>
              <w:t>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 xml:space="preserve">14 z dnia 17 czerwca 2014 r. uznającego niektóre rodzaje pomocy za zgodne z rynkiem wewnętrznym w zastosowaniu art. 107 i 108 Traktatu (Dz. Urz. </w:t>
            </w:r>
            <w:r w:rsidRPr="004640F4">
              <w:lastRenderedPageBreak/>
              <w:t>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B26B57">
        <w:rPr>
          <w:rFonts w:asciiTheme="minorHAnsi" w:hAnsiTheme="minorHAnsi"/>
          <w:szCs w:val="22"/>
        </w:rPr>
        <w:t>w dniu 12.02.2016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0D46FD">
        <w:rPr>
          <w:rFonts w:asciiTheme="minorHAnsi" w:hAnsiTheme="minorHAnsi"/>
          <w:bCs/>
          <w:szCs w:val="22"/>
        </w:rPr>
        <w:t xml:space="preserve"> 25/</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130D08"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40" w:rsidRDefault="003C6440" w:rsidP="00E873C4">
      <w:pPr>
        <w:spacing w:after="0" w:line="240" w:lineRule="auto"/>
      </w:pPr>
      <w:r>
        <w:separator/>
      </w:r>
    </w:p>
  </w:endnote>
  <w:endnote w:type="continuationSeparator" w:id="0">
    <w:p w:rsidR="003C6440" w:rsidRDefault="003C644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3C6440" w:rsidRDefault="003C6440">
        <w:pPr>
          <w:pStyle w:val="Stopka"/>
          <w:jc w:val="right"/>
        </w:pPr>
        <w:r>
          <w:fldChar w:fldCharType="begin"/>
        </w:r>
        <w:r>
          <w:instrText>PAGE   \* MERGEFORMAT</w:instrText>
        </w:r>
        <w:r>
          <w:fldChar w:fldCharType="separate"/>
        </w:r>
        <w:r w:rsidR="00F724B1">
          <w:rPr>
            <w:noProof/>
          </w:rPr>
          <w:t>1</w:t>
        </w:r>
        <w:r>
          <w:fldChar w:fldCharType="end"/>
        </w:r>
      </w:p>
    </w:sdtContent>
  </w:sdt>
  <w:p w:rsidR="003C6440" w:rsidRDefault="003C64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40" w:rsidRDefault="003C6440" w:rsidP="00E873C4">
      <w:pPr>
        <w:spacing w:after="0" w:line="240" w:lineRule="auto"/>
      </w:pPr>
      <w:r>
        <w:separator/>
      </w:r>
    </w:p>
  </w:footnote>
  <w:footnote w:type="continuationSeparator" w:id="0">
    <w:p w:rsidR="003C6440" w:rsidRDefault="003C6440" w:rsidP="00E873C4">
      <w:pPr>
        <w:spacing w:after="0" w:line="240" w:lineRule="auto"/>
      </w:pPr>
      <w:r>
        <w:continuationSeparator/>
      </w:r>
    </w:p>
  </w:footnote>
  <w:footnote w:id="1">
    <w:p w:rsidR="003C6440" w:rsidRDefault="003C6440">
      <w:pPr>
        <w:pStyle w:val="Tekstprzypisudolnego"/>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3C6440" w:rsidRDefault="003C6440" w:rsidP="00DC7902">
      <w:pPr>
        <w:pStyle w:val="Tekstprzypisudolnego"/>
      </w:pPr>
      <w:r>
        <w:rPr>
          <w:rStyle w:val="Odwoanieprzypisudolnego"/>
        </w:rPr>
        <w:footnoteRef/>
      </w:r>
      <w:r>
        <w:t xml:space="preserve"> </w:t>
      </w:r>
      <w:r w:rsidRPr="00A10133">
        <w:rPr>
          <w:sz w:val="16"/>
          <w:szCs w:val="16"/>
        </w:rPr>
        <w:t>Za wyjątkiem zakupu placu zabaw</w:t>
      </w:r>
    </w:p>
  </w:footnote>
  <w:footnote w:id="3">
    <w:p w:rsidR="003C6440" w:rsidRDefault="003C6440" w:rsidP="00327FD9">
      <w:pPr>
        <w:pStyle w:val="Tekstprzypisudolnego"/>
        <w:jc w:val="both"/>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3C6440" w:rsidRDefault="003C6440" w:rsidP="00327FD9">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3C6440" w:rsidRPr="009447AC" w:rsidRDefault="003C6440"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C10A2"/>
    <w:rsid w:val="000C3BC3"/>
    <w:rsid w:val="000C47BE"/>
    <w:rsid w:val="000C5215"/>
    <w:rsid w:val="000C6ED3"/>
    <w:rsid w:val="000D322C"/>
    <w:rsid w:val="000D366A"/>
    <w:rsid w:val="000D46FD"/>
    <w:rsid w:val="000E092B"/>
    <w:rsid w:val="000E2E3A"/>
    <w:rsid w:val="000E7206"/>
    <w:rsid w:val="000E776E"/>
    <w:rsid w:val="000F329D"/>
    <w:rsid w:val="000F50FE"/>
    <w:rsid w:val="00101E95"/>
    <w:rsid w:val="0010204C"/>
    <w:rsid w:val="0010374F"/>
    <w:rsid w:val="00110149"/>
    <w:rsid w:val="00110E7E"/>
    <w:rsid w:val="00117EFA"/>
    <w:rsid w:val="00124CCA"/>
    <w:rsid w:val="00130AA7"/>
    <w:rsid w:val="00130D08"/>
    <w:rsid w:val="00132DD2"/>
    <w:rsid w:val="00136E29"/>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3AEB"/>
    <w:rsid w:val="002049F3"/>
    <w:rsid w:val="00205ACE"/>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5D32"/>
    <w:rsid w:val="002A02F4"/>
    <w:rsid w:val="002A772D"/>
    <w:rsid w:val="002B4B1B"/>
    <w:rsid w:val="002B5686"/>
    <w:rsid w:val="002B7A29"/>
    <w:rsid w:val="002C12E8"/>
    <w:rsid w:val="002D184C"/>
    <w:rsid w:val="002D4095"/>
    <w:rsid w:val="002D6AE8"/>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6136"/>
    <w:rsid w:val="003A63E2"/>
    <w:rsid w:val="003B4611"/>
    <w:rsid w:val="003B6C9D"/>
    <w:rsid w:val="003C4A6C"/>
    <w:rsid w:val="003C6440"/>
    <w:rsid w:val="003D6EF8"/>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3789"/>
    <w:rsid w:val="004B0B50"/>
    <w:rsid w:val="004B45B7"/>
    <w:rsid w:val="004C4183"/>
    <w:rsid w:val="004D07A7"/>
    <w:rsid w:val="004D3634"/>
    <w:rsid w:val="004D6188"/>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1078C"/>
    <w:rsid w:val="007149A2"/>
    <w:rsid w:val="00715262"/>
    <w:rsid w:val="00716ADF"/>
    <w:rsid w:val="00723CFF"/>
    <w:rsid w:val="0074779B"/>
    <w:rsid w:val="00753DF3"/>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60962"/>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2195"/>
    <w:rsid w:val="00AF490F"/>
    <w:rsid w:val="00AF520B"/>
    <w:rsid w:val="00B01135"/>
    <w:rsid w:val="00B1379C"/>
    <w:rsid w:val="00B203D0"/>
    <w:rsid w:val="00B23C9D"/>
    <w:rsid w:val="00B26B57"/>
    <w:rsid w:val="00B26D06"/>
    <w:rsid w:val="00B40499"/>
    <w:rsid w:val="00B41748"/>
    <w:rsid w:val="00B42EB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B0572"/>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5A4F"/>
    <w:rsid w:val="00E766EE"/>
    <w:rsid w:val="00E820F5"/>
    <w:rsid w:val="00E873C4"/>
    <w:rsid w:val="00E87B6F"/>
    <w:rsid w:val="00E911E6"/>
    <w:rsid w:val="00E92452"/>
    <w:rsid w:val="00EA3624"/>
    <w:rsid w:val="00EC567F"/>
    <w:rsid w:val="00EC6F8D"/>
    <w:rsid w:val="00ED56A0"/>
    <w:rsid w:val="00ED6C8D"/>
    <w:rsid w:val="00EE291C"/>
    <w:rsid w:val="00EF3E21"/>
    <w:rsid w:val="00EF59F9"/>
    <w:rsid w:val="00EF749B"/>
    <w:rsid w:val="00F013EF"/>
    <w:rsid w:val="00F05333"/>
    <w:rsid w:val="00F07286"/>
    <w:rsid w:val="00F14DAF"/>
    <w:rsid w:val="00F259B1"/>
    <w:rsid w:val="00F653A6"/>
    <w:rsid w:val="00F66A4E"/>
    <w:rsid w:val="00F6718E"/>
    <w:rsid w:val="00F724B1"/>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3C644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3C644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wroclaw.pl/zit-wrof" TargetMode="External"/><Relationship Id="rId39" Type="http://schemas.openxmlformats.org/officeDocument/2006/relationships/hyperlink" Target="http://www.wroclaw.pl/zit-wrof"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legnica@dolnyslask.p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jeleniagor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http://www.bip.um.wroc.pl/z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http://www.rpo.dolnyslask.p/" TargetMode="External"/><Relationship Id="rId30" Type="http://schemas.openxmlformats.org/officeDocument/2006/relationships/hyperlink" Target="http://www.wroclaw.pl/zit-wrof" TargetMode="External"/><Relationship Id="rId35" Type="http://schemas.openxmlformats.org/officeDocument/2006/relationships/hyperlink" Target="mailto:pife.walbrzych@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F801-B564-4544-B0DD-D2E9E562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9832</Words>
  <Characters>58997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2015-12-18T11:21:00Z</cp:lastPrinted>
  <dcterms:created xsi:type="dcterms:W3CDTF">2016-04-29T12:25:00Z</dcterms:created>
  <dcterms:modified xsi:type="dcterms:W3CDTF">2016-04-29T12:25:00Z</dcterms:modified>
</cp:coreProperties>
</file>