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0074D">
        <w:rPr>
          <w:sz w:val="24"/>
          <w:szCs w:val="24"/>
        </w:rPr>
        <w:t xml:space="preserve">                  Załącznik nr     </w:t>
      </w:r>
      <w:r>
        <w:rPr>
          <w:sz w:val="24"/>
          <w:szCs w:val="24"/>
        </w:rPr>
        <w:t xml:space="preserve"> do Uchwa</w:t>
      </w:r>
      <w:r w:rsidR="0040074D">
        <w:rPr>
          <w:sz w:val="24"/>
          <w:szCs w:val="24"/>
        </w:rPr>
        <w:t>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805E31" w:rsidRPr="000C47BE">
        <w:rPr>
          <w:rFonts w:cs="Arial"/>
          <w:b/>
          <w:sz w:val="32"/>
          <w:szCs w:val="32"/>
        </w:rPr>
        <w:t>.1</w:t>
      </w:r>
      <w:r w:rsidR="00E75A4F" w:rsidRPr="00E75A4F">
        <w:rPr>
          <w:rFonts w:cs="Arial"/>
          <w:b/>
          <w:sz w:val="32"/>
          <w:szCs w:val="32"/>
        </w:rPr>
        <w:t xml:space="preserve"> Inwestycje w edukację </w:t>
      </w:r>
      <w:r>
        <w:rPr>
          <w:rFonts w:cs="Arial"/>
          <w:b/>
          <w:sz w:val="32"/>
          <w:szCs w:val="32"/>
        </w:rPr>
        <w:t xml:space="preserve">ponadgimnazjalną, w tym zawodową </w:t>
      </w:r>
      <w:r w:rsidR="00863524" w:rsidRPr="00863524">
        <w:rPr>
          <w:rFonts w:cs="Arial"/>
          <w:b/>
          <w:sz w:val="32"/>
          <w:szCs w:val="32"/>
        </w:rPr>
        <w:t xml:space="preserve">– </w:t>
      </w:r>
      <w:r w:rsidR="00A67A46">
        <w:rPr>
          <w:rFonts w:cs="Arial"/>
          <w:b/>
          <w:sz w:val="32"/>
          <w:szCs w:val="32"/>
        </w:rPr>
        <w:t>konkursy horyzontalne</w:t>
      </w:r>
    </w:p>
    <w:p w:rsidR="006754E3" w:rsidRPr="006754E3" w:rsidRDefault="006754E3" w:rsidP="00480411">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E43D56">
        <w:rPr>
          <w:b/>
          <w:sz w:val="28"/>
          <w:szCs w:val="28"/>
          <w:u w:val="single"/>
        </w:rPr>
        <w:t xml:space="preserve">(Infrastruktura </w:t>
      </w:r>
      <w:r w:rsidR="00E43D56" w:rsidRPr="00E43D56">
        <w:rPr>
          <w:b/>
          <w:sz w:val="28"/>
          <w:szCs w:val="28"/>
          <w:u w:val="single"/>
        </w:rPr>
        <w:t>szkół ponadgimnazjalnych ogólnokształcących</w:t>
      </w:r>
      <w:r w:rsidRPr="00E43D56">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8C54F0">
        <w:rPr>
          <w:b/>
          <w:sz w:val="28"/>
          <w:szCs w:val="28"/>
        </w:rPr>
        <w:t>.01-IZ.00-02-077</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bookmarkStart w:id="2" w:name="_GoBack"/>
      <w:r w:rsidRPr="00E873C4">
        <w:rPr>
          <w:sz w:val="28"/>
          <w:szCs w:val="28"/>
        </w:rPr>
        <w:t xml:space="preserve">Wrocław, </w:t>
      </w:r>
      <w:r w:rsidR="00D37F1A">
        <w:rPr>
          <w:sz w:val="28"/>
          <w:szCs w:val="28"/>
        </w:rPr>
        <w:t>kwiecień</w:t>
      </w:r>
      <w:r w:rsidR="005467FB">
        <w:rPr>
          <w:sz w:val="28"/>
          <w:szCs w:val="28"/>
        </w:rPr>
        <w:t xml:space="preserve"> </w:t>
      </w:r>
      <w:r w:rsidR="009A0630">
        <w:rPr>
          <w:sz w:val="28"/>
          <w:szCs w:val="28"/>
        </w:rPr>
        <w:t>2016</w:t>
      </w:r>
    </w:p>
    <w:bookmarkEnd w:id="2"/>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w:t>
            </w:r>
            <w:r w:rsidRPr="008F4AAF">
              <w:rPr>
                <w:rFonts w:ascii="Calibri" w:hAnsi="Calibri" w:cs="Calibri"/>
                <w:color w:val="000000"/>
              </w:rPr>
              <w:lastRenderedPageBreak/>
              <w:t xml:space="preserve">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0B53A8" w:rsidRDefault="005F764E" w:rsidP="000B53A8">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Pr>
                <w:rFonts w:ascii="Calibri" w:eastAsia="Times New Roman" w:hAnsi="Calibri" w:cs="Calibri"/>
                <w:color w:val="000000"/>
                <w:szCs w:val="20"/>
                <w:lang w:eastAsia="pl-PL"/>
              </w:rPr>
              <w:t xml:space="preserve">7 Infrastruktura edukacyjna </w:t>
            </w:r>
            <w:r w:rsidRPr="005F764E">
              <w:rPr>
                <w:rFonts w:ascii="Calibri" w:eastAsia="Times New Roman" w:hAnsi="Calibri" w:cs="Arial"/>
                <w:color w:val="00000A"/>
                <w:lang w:eastAsia="pl-PL"/>
              </w:rPr>
              <w:t>Podd</w:t>
            </w:r>
            <w:r>
              <w:rPr>
                <w:rFonts w:ascii="Calibri" w:eastAsia="Times New Roman" w:hAnsi="Calibri" w:cs="Calibri"/>
                <w:color w:val="000000"/>
                <w:szCs w:val="20"/>
                <w:lang w:eastAsia="pl-PL"/>
              </w:rPr>
              <w:t>ziałania 7.2</w:t>
            </w:r>
            <w:r w:rsidRPr="005F764E">
              <w:rPr>
                <w:rFonts w:ascii="Calibri" w:eastAsia="Times New Roman" w:hAnsi="Calibri" w:cs="Calibri"/>
                <w:color w:val="000000"/>
                <w:szCs w:val="20"/>
                <w:lang w:eastAsia="pl-PL"/>
              </w:rPr>
              <w:t xml:space="preserve">.1 </w:t>
            </w:r>
            <w:r w:rsidR="000B53A8">
              <w:rPr>
                <w:rFonts w:ascii="Calibri" w:eastAsia="Times New Roman" w:hAnsi="Calibri" w:cs="Arial"/>
                <w:color w:val="00000A"/>
                <w:lang w:eastAsia="pl-PL"/>
              </w:rPr>
              <w:t>Inwestycje w edukację</w:t>
            </w:r>
            <w:r>
              <w:rPr>
                <w:rFonts w:ascii="Calibri" w:eastAsia="Times New Roman" w:hAnsi="Calibri" w:cs="Arial"/>
                <w:color w:val="00000A"/>
                <w:lang w:eastAsia="pl-PL"/>
              </w:rPr>
              <w:t xml:space="preserve"> ponadgimnazjalną, w tym zawodową </w:t>
            </w:r>
            <w:r w:rsidRPr="005F764E">
              <w:rPr>
                <w:rFonts w:ascii="Calibri" w:eastAsia="Times New Roman" w:hAnsi="Calibri" w:cs="Arial"/>
                <w:color w:val="00000A"/>
                <w:lang w:eastAsia="pl-PL"/>
              </w:rPr>
              <w:t xml:space="preserve"> – konkurs horyzontalny.</w:t>
            </w:r>
          </w:p>
          <w:p w:rsidR="005F764E" w:rsidRPr="000B53A8" w:rsidRDefault="005F764E" w:rsidP="000B53A8">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b/>
                <w:color w:val="000000"/>
                <w:szCs w:val="20"/>
                <w:lang w:eastAsia="pl-PL"/>
              </w:rPr>
              <w:t>Nabór w trybie konkursowym – horyzontalny.</w:t>
            </w:r>
          </w:p>
          <w:p w:rsidR="005F764E" w:rsidRP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partnerskie z udziałem beneficjentów z obszaru ZIT/OSI oraz beneficjentów spoza tego obszaru,</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realizowane przez powiat o zasięgu obejmującym cały powiat – w sytuacji gdy w  skład powiatu wchodzą zarówno gminy zlokalizowane na obszarze ZIT/OSI, jak i poza obszarem ZIT/OSI,</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Wnio</w:t>
            </w:r>
            <w:r w:rsidR="0024415E">
              <w:rPr>
                <w:rFonts w:eastAsia="Times New Roman" w:cs="Times New Roman"/>
                <w:szCs w:val="20"/>
                <w:lang w:eastAsia="pl-PL"/>
              </w:rPr>
              <w:t>skodawców o znaczeniu</w:t>
            </w:r>
            <w:r w:rsidRPr="005F764E">
              <w:rPr>
                <w:rFonts w:eastAsia="Times New Roman" w:cs="Times New Roman"/>
                <w:szCs w:val="20"/>
                <w:lang w:eastAsia="pl-PL"/>
              </w:rPr>
              <w:t xml:space="preserve">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24415E" w:rsidRDefault="00E841A9" w:rsidP="00761383">
            <w:pPr>
              <w:pStyle w:val="Akapitzlist"/>
              <w:numPr>
                <w:ilvl w:val="0"/>
                <w:numId w:val="12"/>
              </w:numPr>
              <w:spacing w:before="120" w:after="120" w:line="240" w:lineRule="auto"/>
              <w:jc w:val="both"/>
              <w:rPr>
                <w:rFonts w:asciiTheme="minorHAnsi" w:hAnsiTheme="minorHAnsi"/>
                <w:bCs/>
                <w:color w:val="000000"/>
              </w:rPr>
            </w:pPr>
            <w:r w:rsidRPr="00E841A9">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w:t>
            </w:r>
            <w:r w:rsidRPr="00E43D56">
              <w:rPr>
                <w:rFonts w:asciiTheme="minorHAnsi" w:eastAsiaTheme="minorHAnsi" w:hAnsiTheme="minorHAnsi" w:cs="Calibri"/>
                <w:color w:val="000000"/>
                <w:szCs w:val="22"/>
                <w:lang w:eastAsia="en-US"/>
              </w:rPr>
              <w:t xml:space="preserve">z dnia </w:t>
            </w:r>
            <w:r w:rsidR="009152E6" w:rsidRPr="00E43D56">
              <w:rPr>
                <w:rFonts w:asciiTheme="minorHAnsi" w:eastAsiaTheme="minorHAnsi" w:hAnsiTheme="minorHAnsi" w:cs="Calibri"/>
                <w:color w:val="000000"/>
                <w:szCs w:val="22"/>
                <w:lang w:eastAsia="en-US"/>
              </w:rPr>
              <w:t xml:space="preserve"> 22</w:t>
            </w:r>
            <w:r w:rsidR="0024415E" w:rsidRPr="00E43D56">
              <w:rPr>
                <w:rFonts w:asciiTheme="minorHAnsi" w:eastAsiaTheme="minorHAnsi" w:hAnsiTheme="minorHAnsi" w:cs="Calibri"/>
                <w:color w:val="000000"/>
                <w:szCs w:val="22"/>
                <w:lang w:eastAsia="en-US"/>
              </w:rPr>
              <w:t xml:space="preserve">lutego  </w:t>
            </w:r>
            <w:r w:rsidR="008D23CC" w:rsidRPr="00E43D56">
              <w:rPr>
                <w:rFonts w:asciiTheme="minorHAnsi" w:eastAsiaTheme="minorHAnsi" w:hAnsiTheme="minorHAnsi" w:cs="Calibri"/>
                <w:color w:val="000000"/>
                <w:szCs w:val="22"/>
                <w:lang w:eastAsia="en-US"/>
              </w:rPr>
              <w:t xml:space="preserve">2016 </w:t>
            </w:r>
            <w:r w:rsidRPr="00E43D56">
              <w:rPr>
                <w:rFonts w:asciiTheme="minorHAnsi" w:eastAsiaTheme="minorHAnsi" w:hAnsiTheme="minorHAnsi" w:cs="Calibri"/>
                <w:color w:val="000000"/>
                <w:szCs w:val="22"/>
                <w:lang w:eastAsia="en-US"/>
              </w:rPr>
              <w:t>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0074D" w:rsidRDefault="00FD6EC7" w:rsidP="0040074D">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lastRenderedPageBreak/>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F4653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F4653F">
              <w:rPr>
                <w:rFonts w:cs="Calibri"/>
                <w:color w:val="000000"/>
              </w:rPr>
              <w:t xml:space="preserve"> </w:t>
            </w:r>
            <w:r w:rsidR="00F4653F"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1"/>
            </w:r>
            <w:r w:rsidRPr="00FA03C1">
              <w:t xml:space="preserve"> lub adaptację (w tym także zakup wyposażenia) placówek i szkół ponadgimnazjalnych, w tym specjalnych.</w:t>
            </w:r>
          </w:p>
          <w:p w:rsidR="00B6143F" w:rsidRDefault="00B6143F" w:rsidP="0010204C">
            <w:pPr>
              <w:spacing w:after="0" w:line="240" w:lineRule="auto"/>
              <w:jc w:val="both"/>
            </w:pPr>
          </w:p>
          <w:p w:rsidR="00B6143F" w:rsidRDefault="00D76058" w:rsidP="00B6143F">
            <w:pPr>
              <w:spacing w:after="0" w:line="240" w:lineRule="auto"/>
              <w:jc w:val="both"/>
            </w:pPr>
            <w:r>
              <w:rPr>
                <w:rFonts w:cs="Arial"/>
              </w:rPr>
              <w:t>W przypadku tego konkursu</w:t>
            </w:r>
            <w:r w:rsidR="00B6143F">
              <w:rPr>
                <w:rFonts w:cs="Arial"/>
              </w:rPr>
              <w:t xml:space="preserve"> nie ma możliwości budowy </w:t>
            </w:r>
            <w:r w:rsidR="00B6143F" w:rsidRPr="00FA03C1">
              <w:t>placówek i szkół ponadgimnazjalnych</w:t>
            </w:r>
            <w:r w:rsidR="00B6143F">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F4653F">
            <w:pPr>
              <w:spacing w:before="30" w:after="30" w:line="240" w:lineRule="auto"/>
              <w:contextualSpacing/>
              <w:rPr>
                <w:rFonts w:eastAsia="Times New Roman" w:cs="Arial"/>
                <w:b/>
                <w:sz w:val="24"/>
                <w:szCs w:val="24"/>
                <w:lang w:eastAsia="pl-PL"/>
              </w:rPr>
            </w:pPr>
          </w:p>
          <w:p w:rsidR="00364DBB" w:rsidRPr="0042119F" w:rsidRDefault="00364DBB" w:rsidP="00364DBB">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364DBB" w:rsidRDefault="00364DBB" w:rsidP="00F4653F">
            <w:pPr>
              <w:spacing w:before="30" w:after="30" w:line="240" w:lineRule="auto"/>
              <w:contextualSpacing/>
              <w:rPr>
                <w:rFonts w:eastAsia="Times New Roman" w:cs="Arial"/>
                <w:b/>
                <w:sz w:val="24"/>
                <w:szCs w:val="24"/>
                <w:lang w:eastAsia="pl-PL"/>
              </w:rPr>
            </w:pPr>
          </w:p>
          <w:p w:rsidR="0040074D" w:rsidRPr="007D3AFA" w:rsidRDefault="0040074D" w:rsidP="0040074D">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40074D" w:rsidRPr="00FA03C1" w:rsidRDefault="0040074D" w:rsidP="00F4653F">
            <w:pPr>
              <w:spacing w:before="30" w:after="30" w:line="240" w:lineRule="auto"/>
              <w:contextualSpacing/>
              <w:rPr>
                <w:rFonts w:eastAsia="Times New Roman" w:cs="Arial"/>
                <w:b/>
                <w:sz w:val="24"/>
                <w:szCs w:val="24"/>
                <w:lang w:eastAsia="pl-PL"/>
              </w:rPr>
            </w:pPr>
          </w:p>
          <w:p w:rsidR="0024415E" w:rsidRDefault="00FA03C1" w:rsidP="00FA03C1">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sidR="0024415E">
              <w:rPr>
                <w:rFonts w:eastAsia="Times New Roman" w:cs="Arial"/>
                <w:lang w:eastAsia="pl-PL"/>
              </w:rPr>
              <w:t>:</w:t>
            </w:r>
          </w:p>
          <w:p w:rsidR="0024415E" w:rsidRDefault="0024415E" w:rsidP="00FA03C1">
            <w:pPr>
              <w:spacing w:before="30" w:after="30" w:line="240" w:lineRule="auto"/>
              <w:ind w:left="35"/>
              <w:contextualSpacing/>
              <w:jc w:val="both"/>
              <w:rPr>
                <w:rFonts w:eastAsia="Times New Roman" w:cs="Arial"/>
                <w:lang w:eastAsia="pl-PL"/>
              </w:rPr>
            </w:pPr>
            <w:r>
              <w:rPr>
                <w:rFonts w:eastAsia="Times New Roman" w:cs="Arial"/>
                <w:lang w:eastAsia="pl-PL"/>
              </w:rPr>
              <w:t>-</w:t>
            </w:r>
            <w:r w:rsidR="00FA03C1"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r w:rsidR="00CA7378">
              <w:rPr>
                <w:rFonts w:eastAsia="Times New Roman" w:cs="Arial"/>
                <w:lang w:eastAsia="pl-PL"/>
              </w:rPr>
              <w:t>;</w:t>
            </w:r>
          </w:p>
          <w:p w:rsidR="0024415E" w:rsidRPr="00717F68" w:rsidRDefault="0024415E" w:rsidP="0024415E">
            <w:pPr>
              <w:pStyle w:val="Default"/>
              <w:jc w:val="both"/>
              <w:rPr>
                <w:sz w:val="22"/>
                <w:szCs w:val="22"/>
              </w:rPr>
            </w:pPr>
            <w:r>
              <w:rPr>
                <w:rFonts w:eastAsia="Times New Roman" w:cs="Arial"/>
                <w:lang w:eastAsia="pl-PL"/>
              </w:rPr>
              <w:t>-</w:t>
            </w:r>
            <w:r>
              <w:t xml:space="preserve"> </w:t>
            </w:r>
            <w:r w:rsidRPr="00717F68">
              <w:rPr>
                <w:sz w:val="22"/>
                <w:szCs w:val="22"/>
              </w:rPr>
              <w:t>że projekt przyczynia się do osiągnięcia celów RPO WD finansowanych ze środków EFS;</w:t>
            </w:r>
          </w:p>
          <w:p w:rsidR="0024415E" w:rsidRPr="00CA7378" w:rsidRDefault="0024415E" w:rsidP="0024415E">
            <w:pPr>
              <w:pStyle w:val="Default"/>
              <w:jc w:val="both"/>
              <w:rPr>
                <w:rFonts w:asciiTheme="minorHAnsi" w:hAnsiTheme="minorHAnsi"/>
                <w:sz w:val="22"/>
                <w:szCs w:val="22"/>
              </w:rPr>
            </w:pPr>
            <w:r w:rsidRPr="00717F68">
              <w:rPr>
                <w:sz w:val="22"/>
                <w:szCs w:val="22"/>
              </w:rPr>
              <w:t>- że konieczność wydatkowania środków została potwierdzona analizą potrzeb szkoły objętej projektem.</w:t>
            </w:r>
          </w:p>
          <w:p w:rsidR="00FA03C1" w:rsidRPr="00FA03C1" w:rsidRDefault="00FA03C1" w:rsidP="00C461B2">
            <w:pPr>
              <w:spacing w:before="30" w:after="30" w:line="240" w:lineRule="auto"/>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 xml:space="preserve">Wszystkie przedsięwzięcia związane z poprawą warunków kształcenia będą uwzględniać konieczność dostosowaniem infrastruktury i wyposażenia do </w:t>
            </w:r>
            <w:r w:rsidRPr="001035AE">
              <w:rPr>
                <w:rFonts w:eastAsia="Times New Roman" w:cs="Arial"/>
                <w:b/>
                <w:lang w:eastAsia="pl-PL"/>
              </w:rPr>
              <w:lastRenderedPageBreak/>
              <w:t>potrzeb osób z niepełnosprawnościami (jako obowiązkowy element projektu).</w:t>
            </w:r>
          </w:p>
          <w:p w:rsidR="00FA03C1" w:rsidRDefault="00FA03C1" w:rsidP="00480411">
            <w:pPr>
              <w:spacing w:after="0" w:line="240" w:lineRule="auto"/>
              <w:jc w:val="both"/>
              <w:rPr>
                <w:rFonts w:cs="Arial"/>
              </w:rPr>
            </w:pPr>
          </w:p>
          <w:p w:rsidR="00FA03C1" w:rsidRPr="007D0018" w:rsidRDefault="00FF1B2C" w:rsidP="001035AE">
            <w:pPr>
              <w:spacing w:before="30" w:after="30" w:line="240" w:lineRule="auto"/>
              <w:contextualSpacing/>
              <w:jc w:val="both"/>
              <w:rPr>
                <w:rFonts w:eastAsia="Times New Roman" w:cs="Arial"/>
                <w:lang w:eastAsia="pl-PL"/>
              </w:rPr>
            </w:pPr>
            <w:r w:rsidRPr="007D0018">
              <w:rPr>
                <w:rFonts w:eastAsia="Times New Roman" w:cs="Arial"/>
                <w:lang w:eastAsia="pl-PL"/>
              </w:rPr>
              <w:t xml:space="preserve">Możliwe są działania poprawiające efektywność energetyczną, analogiczne do działania 3.3 </w:t>
            </w:r>
            <w:r w:rsidR="007D0018" w:rsidRPr="007D0018">
              <w:rPr>
                <w:rFonts w:eastAsia="Times New Roman" w:cs="Arial"/>
                <w:lang w:eastAsia="pl-PL"/>
              </w:rPr>
              <w:t xml:space="preserve">RPO WD </w:t>
            </w:r>
            <w:r w:rsidRPr="007D0018">
              <w:rPr>
                <w:rFonts w:eastAsia="Times New Roman" w:cs="Arial"/>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F1B2C" w:rsidRPr="00FA03C1" w:rsidRDefault="00FF1B2C" w:rsidP="001035AE">
            <w:pPr>
              <w:spacing w:before="30" w:after="30" w:line="240" w:lineRule="auto"/>
              <w:contextualSpacing/>
              <w:jc w:val="both"/>
              <w:rPr>
                <w:rFonts w:eastAsia="Times New Roman" w:cs="Arial"/>
                <w:sz w:val="24"/>
                <w:szCs w:val="24"/>
                <w:lang w:eastAsia="pl-PL"/>
              </w:rPr>
            </w:pPr>
          </w:p>
          <w:p w:rsidR="00FA03C1" w:rsidRPr="00FA03C1" w:rsidRDefault="00FA03C1" w:rsidP="00FA03C1">
            <w:pPr>
              <w:spacing w:after="120" w:line="240" w:lineRule="auto"/>
              <w:jc w:val="both"/>
              <w:rPr>
                <w:rFonts w:eastAsia="Times New Roman" w:cs="Arial"/>
                <w:sz w:val="24"/>
                <w:szCs w:val="24"/>
                <w:lang w:eastAsia="pl-PL"/>
              </w:rPr>
            </w:pPr>
            <w:r w:rsidRPr="00FA03C1">
              <w:rPr>
                <w:rFonts w:eastAsia="Times New Roman" w:cs="Arial"/>
                <w:lang w:eastAsia="pl-PL"/>
              </w:rPr>
              <w:t>Preferowane będą projekty:</w:t>
            </w:r>
          </w:p>
          <w:p w:rsidR="00FA03C1" w:rsidRPr="00FA03C1" w:rsidRDefault="00FA03C1" w:rsidP="00FA03C1">
            <w:pPr>
              <w:spacing w:after="120"/>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FA03C1">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FA03C1">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984533" w:rsidRDefault="00984533" w:rsidP="00B40499">
            <w:pPr>
              <w:autoSpaceDE w:val="0"/>
              <w:autoSpaceDN w:val="0"/>
              <w:adjustRightInd w:val="0"/>
              <w:spacing w:line="240" w:lineRule="auto"/>
              <w:jc w:val="both"/>
              <w:rPr>
                <w:rFonts w:cs="Arial"/>
                <w:b/>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C461B2" w:rsidRDefault="00656F36" w:rsidP="00C461B2">
            <w:pPr>
              <w:pStyle w:val="Default"/>
              <w:spacing w:after="80"/>
              <w:jc w:val="both"/>
              <w:rPr>
                <w:rFonts w:asciiTheme="minorHAnsi" w:hAnsiTheme="minorHAnsi"/>
                <w:sz w:val="22"/>
                <w:szCs w:val="22"/>
              </w:rPr>
            </w:pPr>
            <w:r w:rsidRPr="00656F36">
              <w:rPr>
                <w:rFonts w:cs="Arial"/>
              </w:rPr>
              <w:t>-</w:t>
            </w:r>
            <w:r w:rsidRPr="00656F36">
              <w:t xml:space="preserve"> </w:t>
            </w:r>
            <w:r w:rsidR="00C461B2"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656F36" w:rsidRDefault="00656F36" w:rsidP="001035AE">
            <w:pPr>
              <w:spacing w:line="240" w:lineRule="auto"/>
              <w:contextualSpacing/>
              <w:jc w:val="both"/>
            </w:pPr>
            <w:r w:rsidRPr="00C266EF">
              <w:t>-  Wydatki ponoszone na budowę nowych obiektów nie służących praktycznej nauce zawodu oraz rozbudowę obiektów nie służących praktycznej nauce zawodu o budynki trwale nie połączone z istniejącym</w:t>
            </w:r>
            <w:r w:rsidRPr="001035AE">
              <w:t xml:space="preserve"> już obiektem.</w:t>
            </w:r>
          </w:p>
          <w:p w:rsidR="00656F36" w:rsidRDefault="00656F36" w:rsidP="001035AE">
            <w:pPr>
              <w:spacing w:line="240" w:lineRule="auto"/>
              <w:contextualSpacing/>
              <w:jc w:val="both"/>
            </w:pPr>
            <w:r w:rsidRPr="00656F36">
              <w:t xml:space="preserve">- </w:t>
            </w:r>
            <w:r>
              <w:t xml:space="preserve"> </w:t>
            </w:r>
            <w:r w:rsidRPr="00656F36">
              <w:t>Koszty zagospodarowania terenu wokół szkół i placówek oraz budowa dróg dojazdowych, wewnętrznych i parkingów.</w:t>
            </w:r>
          </w:p>
          <w:p w:rsidR="00CA7378" w:rsidRPr="00656F36" w:rsidRDefault="00CA7378" w:rsidP="001035AE">
            <w:pPr>
              <w:spacing w:line="240" w:lineRule="auto"/>
              <w:contextualSpacing/>
              <w:jc w:val="both"/>
            </w:pPr>
            <w:r>
              <w:t>- Wydatki na infrastrukturę szkół ponadgimnazjalnych zawodowych</w:t>
            </w:r>
            <w:r>
              <w:rPr>
                <w:rStyle w:val="Odwoanieprzypisudolnego"/>
              </w:rPr>
              <w:footnoteReference w:id="2"/>
            </w:r>
            <w:r>
              <w:t>.</w:t>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E43D56">
            <w:pPr>
              <w:spacing w:line="240" w:lineRule="auto"/>
              <w:jc w:val="both"/>
              <w:rPr>
                <w:rFonts w:eastAsia="Times New Roman" w:cs="Arial"/>
                <w:lang w:eastAsia="pl-PL"/>
              </w:rPr>
            </w:pPr>
            <w:r w:rsidRPr="001035AE">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kategoria </w:t>
            </w:r>
            <w:r w:rsidR="00656F36" w:rsidRPr="00E43D56">
              <w:rPr>
                <w:rFonts w:cs="EUAlbertina"/>
                <w:b/>
                <w:color w:val="000000"/>
              </w:rPr>
              <w:t>051</w:t>
            </w:r>
            <w:r w:rsidR="00EC6F8D" w:rsidRPr="00E43D56">
              <w:rPr>
                <w:rFonts w:cs="EUAlbertina"/>
                <w:b/>
                <w:color w:val="000000"/>
              </w:rPr>
              <w:t xml:space="preserve"> I</w:t>
            </w:r>
            <w:r w:rsidR="009B5AE6" w:rsidRPr="00E43D56">
              <w:rPr>
                <w:rFonts w:eastAsia="Times New Roman" w:cs="Arial"/>
                <w:b/>
                <w:lang w:eastAsia="pl-PL"/>
              </w:rPr>
              <w:t>nfrastruktura edukacyjna na potrzeby edukacji szkolnej</w:t>
            </w:r>
            <w:r w:rsidR="009B5AE6" w:rsidRPr="001035AE">
              <w:rPr>
                <w:rFonts w:eastAsia="Times New Roman" w:cs="Arial"/>
                <w:lang w:eastAsia="pl-PL"/>
              </w:rPr>
              <w:t xml:space="preserve"> (</w:t>
            </w:r>
            <w:r w:rsidR="009B5AE6" w:rsidRPr="00E43D56">
              <w:rPr>
                <w:rFonts w:eastAsia="Times New Roman" w:cs="Arial"/>
                <w:b/>
                <w:lang w:eastAsia="pl-PL"/>
              </w:rPr>
              <w:t>na poziomie</w:t>
            </w:r>
            <w:r w:rsidR="009B5AE6" w:rsidRPr="001035AE">
              <w:rPr>
                <w:rFonts w:eastAsia="Times New Roman" w:cs="Arial"/>
                <w:lang w:eastAsia="pl-PL"/>
              </w:rPr>
              <w:t xml:space="preserve"> podstawowym i </w:t>
            </w:r>
            <w:r w:rsidR="009B5AE6" w:rsidRPr="00E43D56">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r w:rsidRPr="00CA6EA5">
              <w:rPr>
                <w:rFonts w:ascii="Calibri" w:eastAsia="Droid Sans Fallback" w:hAnsi="Calibri" w:cs="Calibri"/>
                <w:color w:val="00000A"/>
              </w:rPr>
              <w:t>Konkurs będzie miał charakter horyzontalny:</w:t>
            </w:r>
          </w:p>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Default="00CA6EA5" w:rsidP="00CA6EA5">
            <w:pPr>
              <w:autoSpaceDE w:val="0"/>
              <w:autoSpaceDN w:val="0"/>
              <w:adjustRightInd w:val="0"/>
              <w:spacing w:after="0" w:line="240" w:lineRule="auto"/>
              <w:jc w:val="both"/>
              <w:rPr>
                <w:rFonts w:cs="Calibri"/>
                <w:color w:val="000000"/>
              </w:rPr>
            </w:pPr>
            <w:r w:rsidRPr="00CA6EA5">
              <w:rPr>
                <w:rFonts w:ascii="Calibri" w:eastAsia="Droid Sans Fallback" w:hAnsi="Calibri" w:cs="Calibri"/>
                <w:color w:val="00000A"/>
              </w:rPr>
              <w:t>ogółem alokacja przeznaczona na konkurs wynosi</w:t>
            </w:r>
            <w:r>
              <w:rPr>
                <w:rFonts w:ascii="Calibri" w:eastAsia="Droid Sans Fallback" w:hAnsi="Calibri" w:cs="Calibri"/>
                <w:color w:val="00000A"/>
              </w:rPr>
              <w:t xml:space="preserve"> </w:t>
            </w:r>
            <w:r w:rsidRPr="00CA6EA5">
              <w:rPr>
                <w:rFonts w:ascii="Calibri" w:eastAsia="Droid Sans Fallback" w:hAnsi="Calibri" w:cs="Calibri"/>
                <w:b/>
                <w:color w:val="00000A"/>
              </w:rPr>
              <w:t>886 286 EUR, tj. 3 946 986 PLN</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152E6">
              <w:rPr>
                <w:rFonts w:cs="MS Sans Serif"/>
              </w:rPr>
              <w:t xml:space="preserve">Alokacja przeliczona po kursie Europejskiego Banku Centralnego (EBC) obowiązującym w </w:t>
            </w:r>
            <w:r w:rsidR="007A3277" w:rsidRPr="009152E6">
              <w:rPr>
                <w:rFonts w:cs="MS Sans Serif"/>
              </w:rPr>
              <w:t xml:space="preserve">lutym 2016 </w:t>
            </w:r>
            <w:r w:rsidRPr="009152E6">
              <w:rPr>
                <w:rFonts w:cs="MS Sans Serif"/>
              </w:rPr>
              <w:t xml:space="preserve"> r., 1 euro = </w:t>
            </w:r>
            <w:r w:rsidR="007A3277" w:rsidRPr="009152E6">
              <w:rPr>
                <w:rFonts w:cs="MS Sans Serif"/>
              </w:rPr>
              <w:t>4,4534</w:t>
            </w:r>
            <w:r w:rsidR="00EE291C" w:rsidRPr="009152E6">
              <w:rPr>
                <w:rFonts w:cs="MS Sans Serif"/>
              </w:rPr>
              <w:t xml:space="preserve"> </w:t>
            </w:r>
            <w:r w:rsidRPr="009152E6">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D35F5D">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D35F5D" w:rsidRPr="00D35F5D">
              <w:rPr>
                <w:rFonts w:cs="Arial"/>
              </w:rPr>
              <w:t>dotyczy jednej szkoły/placówki.</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17F68" w:rsidRPr="000F1AC2" w:rsidRDefault="00717F68" w:rsidP="00717F68">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3"/>
            </w:r>
            <w:r w:rsidRPr="000F1AC2">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446A">
              <w:rPr>
                <w:rFonts w:cs="Arial"/>
              </w:rPr>
              <w:t>Co do zasady w</w:t>
            </w:r>
            <w:r w:rsidR="00CB17E9" w:rsidRPr="00BB446A">
              <w:rPr>
                <w:rFonts w:cs="Arial"/>
              </w:rPr>
              <w:t xml:space="preserve"> przypadku działania 7.2</w:t>
            </w:r>
            <w:r w:rsidR="003A0F50" w:rsidRPr="00BB446A">
              <w:rPr>
                <w:rFonts w:cs="Arial"/>
              </w:rPr>
              <w:t xml:space="preserve"> </w:t>
            </w:r>
            <w:r w:rsidR="004D3634" w:rsidRPr="00BB446A">
              <w:rPr>
                <w:rFonts w:cs="Arial"/>
              </w:rPr>
              <w:t>nie</w:t>
            </w:r>
            <w:r w:rsidRPr="00BB446A">
              <w:rPr>
                <w:rFonts w:cs="Arial"/>
              </w:rPr>
              <w:t xml:space="preserve"> ma przesłanek do wystąpienia pomocy publicznej. </w:t>
            </w:r>
            <w:r w:rsidR="00723CFF" w:rsidRPr="00BB446A">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446A">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863E44" w:rsidRPr="00863E44" w:rsidRDefault="00863E44" w:rsidP="00863E44">
            <w:pPr>
              <w:tabs>
                <w:tab w:val="left" w:pos="459"/>
              </w:tabs>
              <w:spacing w:before="40" w:after="40" w:line="240" w:lineRule="auto"/>
              <w:jc w:val="both"/>
              <w:rPr>
                <w:rFonts w:cs="Arial"/>
              </w:rPr>
            </w:pPr>
            <w:r w:rsidRPr="00863E44">
              <w:rPr>
                <w:rFonts w:cs="Arial"/>
              </w:rPr>
              <w:lastRenderedPageBreak/>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63E44" w:rsidRPr="00863E44" w:rsidRDefault="00863E44" w:rsidP="00863E44">
            <w:pPr>
              <w:tabs>
                <w:tab w:val="left" w:pos="459"/>
              </w:tabs>
              <w:spacing w:before="40" w:after="40" w:line="240" w:lineRule="auto"/>
              <w:jc w:val="both"/>
              <w:rPr>
                <w:rFonts w:cs="Arial"/>
              </w:rPr>
            </w:pPr>
          </w:p>
          <w:p w:rsidR="00863E44" w:rsidRPr="00863E44" w:rsidRDefault="00863E44" w:rsidP="00863E44">
            <w:pPr>
              <w:tabs>
                <w:tab w:val="left" w:pos="459"/>
              </w:tabs>
              <w:spacing w:before="40" w:after="40" w:line="240" w:lineRule="auto"/>
              <w:jc w:val="both"/>
              <w:rPr>
                <w:rFonts w:cs="Arial"/>
              </w:rPr>
            </w:pPr>
            <w:r w:rsidRPr="00863E44">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863E44" w:rsidRPr="00863E44" w:rsidRDefault="00863E44" w:rsidP="00863E44">
            <w:pPr>
              <w:tabs>
                <w:tab w:val="left" w:pos="459"/>
              </w:tabs>
              <w:spacing w:before="40" w:after="40" w:line="240" w:lineRule="auto"/>
              <w:jc w:val="both"/>
              <w:rPr>
                <w:rFonts w:cs="Arial"/>
              </w:rPr>
            </w:pPr>
            <w:r w:rsidRPr="00863E44">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w:t>
            </w:r>
            <w:r w:rsidRPr="00863E44">
              <w:t xml:space="preserve">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863E44" w:rsidRPr="00863E44" w:rsidRDefault="00863E44" w:rsidP="00863E44">
            <w:pPr>
              <w:spacing w:before="120" w:after="120" w:line="240" w:lineRule="auto"/>
              <w:jc w:val="both"/>
            </w:pPr>
            <w:r w:rsidRPr="00863E44">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863E44" w:rsidRPr="00863E44" w:rsidRDefault="00863E44" w:rsidP="00863E44">
            <w:pPr>
              <w:spacing w:before="120" w:after="120" w:line="240" w:lineRule="auto"/>
              <w:jc w:val="both"/>
            </w:pPr>
            <w:r w:rsidRPr="00863E44">
              <w:t xml:space="preserve">W powyższym przypadku należy pamiętać o konieczności prowadzenia rozdzielnej rachunkowości dla działalności gospodarczej i niegospodarczej – przez cały okres realizacji projektu i okres trwałości. </w:t>
            </w:r>
          </w:p>
          <w:p w:rsidR="00863E44" w:rsidRPr="00863E44" w:rsidRDefault="00863E44" w:rsidP="00863E44">
            <w:pPr>
              <w:tabs>
                <w:tab w:val="left" w:pos="459"/>
              </w:tabs>
              <w:spacing w:before="40" w:after="40" w:line="240" w:lineRule="auto"/>
              <w:jc w:val="both"/>
              <w:rPr>
                <w:rFonts w:cs="Arial"/>
              </w:rPr>
            </w:pPr>
            <w:r w:rsidRPr="00863E44">
              <w:rPr>
                <w:rFonts w:cs="Arial"/>
              </w:rPr>
              <w:t xml:space="preserve"> Konsekwencją niedochowania powyższych warunków w okresie trwałości projektu może być częściowy lub całkowity zwrot dofinansowania.</w:t>
            </w:r>
          </w:p>
          <w:p w:rsidR="00440ED7" w:rsidRDefault="00440ED7" w:rsidP="00440ED7">
            <w:pPr>
              <w:tabs>
                <w:tab w:val="left" w:pos="459"/>
              </w:tabs>
              <w:spacing w:before="40" w:after="40" w:line="240" w:lineRule="auto"/>
              <w:jc w:val="both"/>
              <w:rPr>
                <w:rFonts w:cs="Arial"/>
              </w:rPr>
            </w:pPr>
          </w:p>
          <w:p w:rsidR="00440ED7" w:rsidRDefault="00440ED7" w:rsidP="00440ED7">
            <w:pPr>
              <w:tabs>
                <w:tab w:val="left" w:pos="459"/>
              </w:tabs>
              <w:spacing w:before="40" w:after="40" w:line="240" w:lineRule="auto"/>
              <w:jc w:val="both"/>
              <w:rPr>
                <w:rFonts w:cs="Arial"/>
              </w:rPr>
            </w:pPr>
            <w:r>
              <w:rPr>
                <w:rFonts w:cs="Arial"/>
              </w:rPr>
              <w:t xml:space="preserve">Co do zasady </w:t>
            </w:r>
            <w:r>
              <w:rPr>
                <w:bCs/>
                <w:lang w:eastAsia="pl-PL"/>
              </w:rPr>
              <w:t>pomoc publiczna nie wystąpi jeśli wynajem będzie kwestią incydentalną (bardzo rzadką i niesystematyczną).</w:t>
            </w:r>
          </w:p>
          <w:p w:rsidR="00440ED7" w:rsidRPr="00DC364F" w:rsidRDefault="00440ED7" w:rsidP="00DC364F">
            <w:pPr>
              <w:tabs>
                <w:tab w:val="left" w:pos="459"/>
              </w:tabs>
              <w:spacing w:before="40" w:after="40" w:line="240" w:lineRule="auto"/>
              <w:jc w:val="both"/>
              <w:rPr>
                <w:rFonts w:cs="Arial"/>
              </w:rPr>
            </w:pPr>
          </w:p>
          <w:p w:rsidR="00984533" w:rsidRDefault="00B51B27" w:rsidP="00C266EF">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D50711" w:rsidRDefault="00D50711" w:rsidP="00C266EF">
            <w:pPr>
              <w:tabs>
                <w:tab w:val="left" w:pos="459"/>
              </w:tabs>
              <w:spacing w:before="40" w:after="40" w:line="240" w:lineRule="auto"/>
              <w:jc w:val="both"/>
              <w:rPr>
                <w:rFonts w:cs="Arial"/>
                <w:b/>
              </w:rPr>
            </w:pPr>
          </w:p>
          <w:p w:rsidR="00D50711" w:rsidRPr="00D65CF5" w:rsidRDefault="00D50711" w:rsidP="00D50711">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D50711" w:rsidRPr="00C266EF" w:rsidRDefault="00D50711" w:rsidP="00D50711">
            <w:pPr>
              <w:tabs>
                <w:tab w:val="left" w:pos="459"/>
              </w:tabs>
              <w:spacing w:before="40" w:after="40" w:line="240" w:lineRule="auto"/>
              <w:jc w:val="both"/>
              <w:rPr>
                <w:rFonts w:cs="Arial"/>
                <w:b/>
              </w:rPr>
            </w:pPr>
            <w:r w:rsidRPr="00D65CF5">
              <w:t xml:space="preserve">Wszystkie ww. regulacje dotyczące pomocy publicznej dostępne są na stronie </w:t>
            </w:r>
            <w:hyperlink r:id="rId12"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863E44" w:rsidP="00502178">
            <w:pPr>
              <w:autoSpaceDE w:val="0"/>
              <w:autoSpaceDN w:val="0"/>
              <w:adjustRightInd w:val="0"/>
              <w:spacing w:after="0" w:line="240" w:lineRule="auto"/>
            </w:pPr>
            <w:r w:rsidRPr="00863E44">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9152E6" w:rsidRDefault="00A41980" w:rsidP="00E75A4F">
            <w:pPr>
              <w:spacing w:before="120" w:line="240" w:lineRule="auto"/>
              <w:ind w:left="33" w:hanging="33"/>
              <w:jc w:val="both"/>
              <w:rPr>
                <w:rFonts w:cs="Calibri"/>
              </w:rPr>
            </w:pPr>
            <w:r w:rsidRPr="009152E6">
              <w:rPr>
                <w:rFonts w:cs="Calibri"/>
              </w:rPr>
              <w:t>Konkurs jest po</w:t>
            </w:r>
            <w:r w:rsidR="004151FA" w:rsidRPr="009152E6">
              <w:rPr>
                <w:rFonts w:cs="Calibri"/>
              </w:rPr>
              <w:t>stę</w:t>
            </w:r>
            <w:r w:rsidRPr="009152E6">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9152E6"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 xml:space="preserve">Naboru wniosków o dofinansowanie czyli składania wniosków </w:t>
            </w:r>
            <w:r w:rsidRPr="009152E6">
              <w:rPr>
                <w:rFonts w:ascii="Calibri" w:hAnsi="Calibri" w:cs="Calibri"/>
                <w:color w:val="000000"/>
              </w:rPr>
              <w:br/>
              <w:t>o dofinasowanie – termin składania wniosków nie może być krótszy niż 7 dni licząc od dnia rozpoczęcia naboru wniosków o dofinansowanie projektów;</w:t>
            </w:r>
          </w:p>
          <w:p w:rsidR="00A41980" w:rsidRPr="009152E6"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Etapu weryfikacji technicznej, w trakcie której sprawdzeniu podlega:</w:t>
            </w:r>
          </w:p>
          <w:p w:rsidR="00A41980" w:rsidRPr="009152E6" w:rsidRDefault="00A41980" w:rsidP="00E75A4F">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xml:space="preserve"> - kompletność wypełnienia formularza wniosku (czy wymagane </w:t>
            </w:r>
            <w:r w:rsidRPr="009152E6">
              <w:rPr>
                <w:rFonts w:ascii="Calibri" w:hAnsi="Calibri" w:cs="Calibri"/>
                <w:color w:val="000000"/>
              </w:rPr>
              <w:lastRenderedPageBreak/>
              <w:t>pola zostały wypełnione),</w:t>
            </w:r>
          </w:p>
          <w:p w:rsidR="00084B1D" w:rsidRDefault="00A41980" w:rsidP="00084B1D">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kompletność załączników (czy wszystkie załączniki zostały załączone),</w:t>
            </w:r>
          </w:p>
          <w:p w:rsidR="00084B1D" w:rsidRPr="00084B1D" w:rsidRDefault="00084B1D" w:rsidP="00084B1D">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84B1D">
              <w:t>czytelność załączonych skanów,</w:t>
            </w:r>
          </w:p>
          <w:p w:rsidR="00A41980" w:rsidRPr="009152E6" w:rsidRDefault="00A41980" w:rsidP="00E75A4F">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kompletność podpisów i pieczęci.</w:t>
            </w:r>
          </w:p>
          <w:p w:rsidR="002965D5" w:rsidRPr="009152E6" w:rsidRDefault="00BB6BFC" w:rsidP="002965D5">
            <w:p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w:t>
            </w:r>
            <w:r w:rsidR="002965D5" w:rsidRPr="009152E6">
              <w:rPr>
                <w:rFonts w:ascii="Calibri" w:hAnsi="Calibri" w:cs="Calibri"/>
                <w:color w:val="000000"/>
              </w:rPr>
              <w:t>W</w:t>
            </w:r>
            <w:r w:rsidR="00A41980" w:rsidRPr="009152E6">
              <w:rPr>
                <w:rFonts w:ascii="Calibri" w:hAnsi="Calibri" w:cs="Calibri"/>
                <w:color w:val="000000"/>
              </w:rPr>
              <w:t>eryfikacja techniczna ni</w:t>
            </w:r>
            <w:r w:rsidR="002965D5" w:rsidRPr="009152E6">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9152E6">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9152E6" w:rsidRDefault="009A7256" w:rsidP="002965D5">
            <w:p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 xml:space="preserve">Weryfikacja techniczna </w:t>
            </w:r>
            <w:r w:rsidR="00A41980" w:rsidRPr="009152E6">
              <w:rPr>
                <w:rFonts w:ascii="Calibri" w:hAnsi="Calibri" w:cs="Calibri"/>
                <w:color w:val="000000"/>
              </w:rPr>
              <w:t>trwa 7</w:t>
            </w:r>
            <w:r w:rsidR="002965D5" w:rsidRPr="009152E6">
              <w:rPr>
                <w:rFonts w:ascii="Calibri" w:hAnsi="Calibri" w:cs="Calibri"/>
                <w:color w:val="000000"/>
              </w:rPr>
              <w:t xml:space="preserve"> dni od dnia zakończenia naboru.</w:t>
            </w:r>
            <w:r w:rsidR="00BB6BFC" w:rsidRPr="009152E6">
              <w:rPr>
                <w:rFonts w:ascii="Calibri" w:hAnsi="Calibri" w:cs="Calibri"/>
                <w:color w:val="000000"/>
              </w:rPr>
              <w:t>);</w:t>
            </w:r>
          </w:p>
          <w:p w:rsidR="00A41980" w:rsidRPr="009152E6"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9152E6">
              <w:rPr>
                <w:rFonts w:ascii="Calibri" w:hAnsi="Calibri" w:cs="Calibri"/>
                <w:color w:val="000000"/>
              </w:rPr>
              <w:t xml:space="preserve">I-go Etapu oceny – ocena formalna (obligatoryjna) - dokonywana przez 2 pracowników IOK; </w:t>
            </w:r>
          </w:p>
          <w:p w:rsidR="00A41980" w:rsidRPr="009152E6"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I etap oceny formalnej (ocena kryteriów formalnych </w:t>
            </w:r>
            <w:r w:rsidR="009A7256" w:rsidRPr="009152E6">
              <w:rPr>
                <w:rFonts w:ascii="Calibri" w:hAnsi="Calibri" w:cs="Calibri"/>
                <w:color w:val="000000"/>
              </w:rPr>
              <w:t xml:space="preserve">ogólnych i specyficznych </w:t>
            </w:r>
            <w:r w:rsidR="00B5754A" w:rsidRPr="009152E6">
              <w:rPr>
                <w:rFonts w:ascii="Calibri" w:hAnsi="Calibri" w:cs="Calibri"/>
                <w:color w:val="000000"/>
              </w:rPr>
              <w:t>przy których zaznaczono brak możliwości korekty</w:t>
            </w:r>
            <w:r w:rsidR="00B5754A" w:rsidRPr="009152E6" w:rsidDel="00B5754A">
              <w:rPr>
                <w:rFonts w:ascii="Calibri" w:hAnsi="Calibri" w:cs="Calibri"/>
                <w:color w:val="000000"/>
              </w:rPr>
              <w:t xml:space="preserve"> </w:t>
            </w:r>
            <w:r w:rsidRPr="009152E6">
              <w:rPr>
                <w:rFonts w:ascii="Calibri" w:hAnsi="Calibri" w:cs="Calibri"/>
                <w:color w:val="000000"/>
              </w:rPr>
              <w:t>– jeśli dotyczą naboru) – do 10 dni;</w:t>
            </w:r>
          </w:p>
          <w:p w:rsidR="00A41980" w:rsidRPr="009152E6"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II etap oceny formalnej (ocena kryteriów formalnych ogólnych i specyficznych </w:t>
            </w:r>
            <w:r w:rsidR="00B5754A" w:rsidRPr="009152E6">
              <w:rPr>
                <w:rFonts w:ascii="Calibri" w:hAnsi="Calibri" w:cs="Calibri"/>
                <w:color w:val="000000"/>
              </w:rPr>
              <w:t xml:space="preserve">przy których zaznaczono możliwość korekty </w:t>
            </w:r>
            <w:r w:rsidRPr="009152E6">
              <w:rPr>
                <w:rFonts w:ascii="Calibri" w:hAnsi="Calibri" w:cs="Calibri"/>
                <w:color w:val="000000"/>
              </w:rPr>
              <w:t>– jeśli dotyczą naboru) - do 10 dni;</w:t>
            </w:r>
          </w:p>
          <w:p w:rsidR="00A41980" w:rsidRPr="009152E6"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 II-go Etapu oceny – ocena merytoryczna (obligatoryjna</w:t>
            </w:r>
            <w:r w:rsidR="00B5754A" w:rsidRPr="009152E6">
              <w:rPr>
                <w:rFonts w:ascii="Calibri" w:hAnsi="Calibri" w:cs="Calibri"/>
                <w:color w:val="000000"/>
              </w:rPr>
              <w:t xml:space="preserve"> i fakultatywna</w:t>
            </w:r>
            <w:r w:rsidRPr="009152E6">
              <w:rPr>
                <w:rFonts w:ascii="Calibri" w:hAnsi="Calibri" w:cs="Calibri"/>
                <w:color w:val="000000"/>
              </w:rPr>
              <w:t xml:space="preserve">): </w:t>
            </w:r>
          </w:p>
          <w:p w:rsidR="00A41980" w:rsidRPr="009152E6"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9152E6">
              <w:rPr>
                <w:rFonts w:ascii="Calibri" w:hAnsi="Calibri" w:cs="Calibri"/>
                <w:color w:val="000000"/>
              </w:rPr>
              <w:t>•</w:t>
            </w:r>
            <w:r w:rsidRPr="009152E6">
              <w:rPr>
                <w:rFonts w:ascii="Calibri" w:hAnsi="Calibri" w:cs="Calibri"/>
                <w:color w:val="000000"/>
              </w:rPr>
              <w:tab/>
              <w:t xml:space="preserve">I sekcja: ocena </w:t>
            </w:r>
            <w:proofErr w:type="spellStart"/>
            <w:r w:rsidRPr="009152E6">
              <w:rPr>
                <w:rFonts w:ascii="Calibri" w:hAnsi="Calibri" w:cs="Calibri"/>
                <w:color w:val="000000"/>
              </w:rPr>
              <w:t>ekonomiczno</w:t>
            </w:r>
            <w:proofErr w:type="spellEnd"/>
            <w:r w:rsidRPr="009152E6">
              <w:rPr>
                <w:rFonts w:ascii="Calibri" w:hAnsi="Calibri" w:cs="Calibri"/>
                <w:color w:val="000000"/>
              </w:rPr>
              <w:t xml:space="preserve"> – finansowa</w:t>
            </w:r>
            <w:r w:rsidR="003B4611" w:rsidRPr="009152E6">
              <w:rPr>
                <w:rFonts w:ascii="Calibri" w:hAnsi="Calibri" w:cs="Calibri"/>
                <w:color w:val="000000"/>
              </w:rPr>
              <w:t>, ogólna</w:t>
            </w:r>
            <w:r w:rsidRPr="009152E6">
              <w:rPr>
                <w:rFonts w:ascii="Calibri" w:hAnsi="Calibri" w:cs="Calibri"/>
                <w:color w:val="000000"/>
              </w:rPr>
              <w:t xml:space="preserve"> oraz dziedzinowa (w tym OOŚ) dokonywana przez 2 ekspertów z dziedziny „Analiza finansowo-ekonomiczna” oraz 2 ekspertów z dziedziny „</w:t>
            </w:r>
            <w:r w:rsidR="004F1892" w:rsidRPr="009152E6">
              <w:rPr>
                <w:rFonts w:ascii="Calibri" w:hAnsi="Calibri" w:cs="Calibri"/>
                <w:color w:val="000000"/>
              </w:rPr>
              <w:t>Infrastruktura edukacyjna</w:t>
            </w:r>
            <w:r w:rsidRPr="009152E6">
              <w:rPr>
                <w:rFonts w:ascii="Calibri" w:hAnsi="Calibri" w:cs="Calibri"/>
                <w:color w:val="000000"/>
              </w:rPr>
              <w:t xml:space="preserve">” do 40 dni od momentu zakończenia oceny formalnej; </w:t>
            </w:r>
          </w:p>
          <w:p w:rsidR="00A41980" w:rsidRPr="009152E6"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9152E6">
              <w:rPr>
                <w:rFonts w:ascii="Calibri" w:hAnsi="Calibri" w:cs="Calibri"/>
                <w:color w:val="000000"/>
              </w:rPr>
              <w:t>•</w:t>
            </w:r>
            <w:r w:rsidRPr="009152E6">
              <w:rPr>
                <w:rFonts w:ascii="Calibri" w:hAnsi="Calibri" w:cs="Calibri"/>
                <w:color w:val="000000"/>
              </w:rPr>
              <w:tab/>
              <w:t xml:space="preserve">II sekcja: ocena </w:t>
            </w:r>
            <w:r w:rsidR="00032C8C" w:rsidRPr="009152E6">
              <w:t xml:space="preserve"> </w:t>
            </w:r>
            <w:r w:rsidR="00032C8C" w:rsidRPr="009152E6">
              <w:rPr>
                <w:rFonts w:ascii="Calibri" w:hAnsi="Calibri" w:cs="Calibri"/>
                <w:color w:val="000000"/>
              </w:rPr>
              <w:t xml:space="preserve">wpływu projektów na realizację Strategii Rozwoju Województwa Dolnośląskiego 2020 </w:t>
            </w:r>
            <w:r w:rsidRPr="009152E6">
              <w:rPr>
                <w:rFonts w:ascii="Calibri" w:hAnsi="Calibri" w:cs="Calibri"/>
                <w:color w:val="000000"/>
              </w:rPr>
              <w:t xml:space="preserve">”– panel, porównanie projektów - do 20 dni od momentu zakończenia sekcji I; </w:t>
            </w:r>
          </w:p>
          <w:p w:rsidR="00A41980" w:rsidRPr="009152E6"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9152E6">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w:t>
            </w:r>
            <w:r w:rsidRPr="009152E6">
              <w:rPr>
                <w:rFonts w:ascii="Calibri" w:hAnsi="Calibri" w:cs="Calibri"/>
                <w:color w:val="000000"/>
              </w:rPr>
              <w:lastRenderedPageBreak/>
              <w:t xml:space="preserve">lista projektów, które uzyskały wymaganą liczbę punktów, </w:t>
            </w:r>
            <w:r w:rsidRPr="009152E6">
              <w:rPr>
                <w:rFonts w:ascii="Calibri" w:hAnsi="Calibri" w:cs="Calibri"/>
                <w:color w:val="000000"/>
              </w:rPr>
              <w:br/>
              <w:t xml:space="preserve">z wyróżnieniem projektów wybranych do dofinansowania zamieszczana jest na stronie internetowej </w:t>
            </w:r>
            <w:hyperlink r:id="rId15" w:history="1">
              <w:r w:rsidRPr="009152E6">
                <w:rPr>
                  <w:rStyle w:val="Hipercze"/>
                  <w:rFonts w:ascii="Calibri" w:hAnsi="Calibri" w:cs="Calibri"/>
                </w:rPr>
                <w:t>www.rpo.dolnyslask.pl</w:t>
              </w:r>
            </w:hyperlink>
            <w:r w:rsidRPr="009152E6">
              <w:rPr>
                <w:rFonts w:ascii="Calibri" w:hAnsi="Calibri" w:cs="Calibri"/>
                <w:color w:val="000000"/>
              </w:rPr>
              <w:t xml:space="preserve"> oraz </w:t>
            </w:r>
            <w:hyperlink r:id="rId16" w:history="1">
              <w:r w:rsidRPr="009152E6">
                <w:rPr>
                  <w:rStyle w:val="Hipercze"/>
                  <w:rFonts w:ascii="Calibri" w:hAnsi="Calibri" w:cs="Calibri"/>
                </w:rPr>
                <w:t>www.funduszeeuropejskie.gov.pl</w:t>
              </w:r>
            </w:hyperlink>
            <w:r w:rsidRPr="009152E6">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5467FB">
              <w:rPr>
                <w:rFonts w:asciiTheme="minorHAnsi" w:hAnsiTheme="minorHAnsi" w:cs="Arial"/>
                <w:b/>
                <w:sz w:val="22"/>
                <w:szCs w:val="22"/>
              </w:rPr>
              <w:t>od godz. 8.00 dnia 9 maja 2016 r. do godz. 15.00 dnia 31 maja  2016 r.</w:t>
            </w:r>
            <w:r w:rsidRPr="00993C49">
              <w:rPr>
                <w:rFonts w:asciiTheme="minorHAnsi" w:hAnsiTheme="minorHAnsi" w:cs="Arial"/>
                <w:sz w:val="22"/>
                <w:szCs w:val="22"/>
              </w:rPr>
              <w:t xml:space="preserve">  </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5467FB">
              <w:rPr>
                <w:rFonts w:asciiTheme="minorHAnsi" w:hAnsiTheme="minorHAnsi" w:cs="Arial"/>
                <w:b/>
                <w:sz w:val="22"/>
                <w:szCs w:val="22"/>
              </w:rPr>
              <w:t>do godz. 15.00 dnia 31 maja 2016 r.</w:t>
            </w:r>
            <w:r w:rsidRPr="00993C49">
              <w:rPr>
                <w:rFonts w:asciiTheme="minorHAnsi" w:hAnsiTheme="minorHAnsi" w:cs="Arial"/>
                <w:sz w:val="22"/>
                <w:szCs w:val="22"/>
              </w:rPr>
              <w:t xml:space="preserve">  </w:t>
            </w:r>
            <w:r w:rsidR="00F54F7D" w:rsidRPr="00080F60">
              <w:rPr>
                <w:rFonts w:asciiTheme="minorHAnsi" w:hAnsiTheme="minorHAnsi" w:cs="Arial"/>
                <w:sz w:val="22"/>
                <w:szCs w:val="22"/>
              </w:rPr>
              <w:t xml:space="preserve">Jednocześnie, wymaganą analizę finansową (w postaci arkuszy kalkulacyjnych w formacie Excel z aktywnymi formułami) </w:t>
            </w:r>
            <w:r w:rsidR="008733E3">
              <w:rPr>
                <w:rFonts w:asciiTheme="minorHAnsi" w:hAnsiTheme="minorHAnsi" w:cs="Arial"/>
                <w:sz w:val="22"/>
                <w:szCs w:val="22"/>
              </w:rPr>
              <w:t xml:space="preserve"> </w:t>
            </w:r>
            <w:r w:rsidR="00F54F7D" w:rsidRPr="00080F60">
              <w:rPr>
                <w:rFonts w:asciiTheme="minorHAnsi" w:hAnsiTheme="minorHAnsi" w:cs="Arial"/>
                <w:sz w:val="22"/>
                <w:szCs w:val="22"/>
              </w:rPr>
              <w:t>przedłożyć należy na nośniku CD.</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D70B78" w:rsidRDefault="00D70B78" w:rsidP="00D70B78">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 tytuł projektu</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1F29F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D406C5" w:rsidRPr="00D406C5" w:rsidRDefault="00D406C5" w:rsidP="001F29F9">
            <w:pPr>
              <w:pStyle w:val="xl33"/>
              <w:spacing w:after="0"/>
              <w:jc w:val="both"/>
              <w:rPr>
                <w:rFonts w:asciiTheme="minorHAnsi" w:hAnsiTheme="minorHAnsi" w:cs="Arial"/>
                <w:sz w:val="22"/>
                <w:szCs w:val="22"/>
              </w:rPr>
            </w:pPr>
            <w:r w:rsidRPr="005467FB">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F29F9" w:rsidRPr="00993C49" w:rsidRDefault="001F29F9" w:rsidP="001F29F9">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sidR="00986F08">
              <w:rPr>
                <w:rFonts w:asciiTheme="minorHAnsi" w:hAnsiTheme="minorHAnsi" w:cs="Arial"/>
                <w:sz w:val="22"/>
                <w:szCs w:val="22"/>
              </w:rPr>
              <w:t xml:space="preserve">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E167C5" w:rsidRPr="001401B2" w:rsidRDefault="00E167C5" w:rsidP="00E167C5">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E167C5" w:rsidRPr="00B42EB9" w:rsidRDefault="00E167C5" w:rsidP="00E167C5">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E167C5" w:rsidRDefault="00E167C5" w:rsidP="00E167C5">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Pr>
                <w:rFonts w:cs="Times New Roman"/>
                <w:color w:val="000000"/>
              </w:rPr>
              <w:t xml:space="preserve">- </w:t>
            </w:r>
            <w:r w:rsidRPr="00E167C5">
              <w:rPr>
                <w:rStyle w:val="normal0020tablechar"/>
                <w:rFonts w:ascii="Calibri" w:hAnsi="Calibri"/>
                <w:color w:val="000000" w:themeColor="text1"/>
              </w:rPr>
              <w:t>uzupełnienie formularza wniosku jeśli nie wszystkie wymagane pola zostały wypełnione,</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sidRPr="00E167C5">
              <w:rPr>
                <w:rStyle w:val="normal0020tablechar"/>
                <w:rFonts w:ascii="Calibri" w:hAnsi="Calibri"/>
                <w:color w:val="000000" w:themeColor="text1"/>
              </w:rPr>
              <w:t xml:space="preserve">- </w:t>
            </w:r>
            <w:r w:rsidRPr="00E167C5">
              <w:rPr>
                <w:rStyle w:val="normal0020tablechar"/>
                <w:color w:val="000000" w:themeColor="text1"/>
              </w:rPr>
              <w:t> </w:t>
            </w:r>
            <w:r w:rsidRPr="00E167C5">
              <w:rPr>
                <w:rStyle w:val="normal0020tablechar"/>
                <w:rFonts w:ascii="Calibri" w:hAnsi="Calibri"/>
                <w:color w:val="000000" w:themeColor="text1"/>
              </w:rPr>
              <w:t>uzupełnienie załączników jeśli nie wszystkie wymagane załączniki zostały załączone,</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sidRPr="00E167C5">
              <w:rPr>
                <w:rStyle w:val="normal0020tablechar"/>
                <w:rFonts w:ascii="Calibri" w:hAnsi="Calibri"/>
                <w:color w:val="000000" w:themeColor="text1"/>
              </w:rPr>
              <w:t>- poprawa jakości załączonych skanów, w sytuacji gdy nie są czytelne,</w:t>
            </w:r>
          </w:p>
          <w:p w:rsidR="00E167C5" w:rsidRPr="00E167C5" w:rsidRDefault="00E167C5" w:rsidP="00E167C5">
            <w:pPr>
              <w:autoSpaceDE w:val="0"/>
              <w:autoSpaceDN w:val="0"/>
              <w:adjustRightInd w:val="0"/>
              <w:spacing w:after="0" w:line="240" w:lineRule="auto"/>
              <w:jc w:val="both"/>
              <w:rPr>
                <w:rFonts w:ascii="Calibri" w:hAnsi="Calibri"/>
                <w:color w:val="000000" w:themeColor="text1"/>
              </w:rPr>
            </w:pPr>
            <w:r w:rsidRPr="00E167C5">
              <w:rPr>
                <w:rStyle w:val="normal0020tablechar"/>
                <w:rFonts w:ascii="Calibri" w:hAnsi="Calibri"/>
                <w:color w:val="000000" w:themeColor="text1"/>
              </w:rPr>
              <w:t>-</w:t>
            </w:r>
            <w:r w:rsidRPr="00E167C5">
              <w:rPr>
                <w:rStyle w:val="normal0020tablechar"/>
                <w:color w:val="000000" w:themeColor="text1"/>
              </w:rPr>
              <w:t> </w:t>
            </w:r>
            <w:r w:rsidRPr="00E167C5">
              <w:rPr>
                <w:rStyle w:val="normal0020tablechar"/>
                <w:rFonts w:ascii="Calibri" w:hAnsi="Calibri"/>
                <w:color w:val="000000" w:themeColor="text1"/>
              </w:rPr>
              <w:t>uzupełnienie brakujących podpisów i pieczęci.</w:t>
            </w:r>
          </w:p>
          <w:p w:rsidR="00E167C5" w:rsidRPr="007B042A" w:rsidRDefault="00E167C5" w:rsidP="00E167C5">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E167C5"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lastRenderedPageBreak/>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E167C5" w:rsidRDefault="00E167C5" w:rsidP="00E167C5">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E167C5" w:rsidRDefault="00E167C5" w:rsidP="00E167C5">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E167C5" w:rsidRDefault="00E167C5" w:rsidP="00E167C5">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E167C5" w:rsidRPr="00F76B28" w:rsidRDefault="00E167C5" w:rsidP="00E167C5">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E167C5" w:rsidRPr="00F76B28" w:rsidRDefault="00E167C5" w:rsidP="00E167C5">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E167C5" w:rsidP="00E167C5">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17326A" w:rsidRDefault="0017326A" w:rsidP="0017326A">
            <w:pPr>
              <w:spacing w:before="120" w:after="0" w:line="240" w:lineRule="auto"/>
              <w:jc w:val="both"/>
              <w:rPr>
                <w:color w:val="000000"/>
              </w:rPr>
            </w:pPr>
            <w:r>
              <w:t xml:space="preserve">Wykaz informacji, których należy udzielić ubiegając się o dofinansowanie projektu zawiera załącznik nr 5 do uchwały przyjmującej niniejszy Regulamin i jest zamieszczony na stronie </w:t>
            </w:r>
            <w:hyperlink r:id="rId17" w:history="1">
              <w:r>
                <w:rPr>
                  <w:rStyle w:val="Hipercze"/>
                </w:rPr>
                <w:t>www.rpo.dolnyslask.pl</w:t>
              </w:r>
            </w:hyperlink>
            <w:r>
              <w:t>,</w:t>
            </w:r>
            <w:r>
              <w:rPr>
                <w:color w:val="000000"/>
              </w:rPr>
              <w:t xml:space="preserve"> a w przypadku naborów przeznaczonych dla ZIT, także na stronach internetowych poszczególnych ZIT.</w:t>
            </w:r>
          </w:p>
          <w:p w:rsidR="0017326A" w:rsidRDefault="0017326A" w:rsidP="005467FB">
            <w:pPr>
              <w:autoSpaceDE w:val="0"/>
              <w:autoSpaceDN w:val="0"/>
              <w:spacing w:before="240" w:after="0" w:line="240" w:lineRule="auto"/>
              <w:jc w:val="both"/>
            </w:pPr>
            <w:r>
              <w:t>Na powyższej stronie zamieszczone są również wzory załączników do wniosku o dofinansowanie.</w:t>
            </w:r>
          </w:p>
          <w:p w:rsidR="0017326A" w:rsidRDefault="0017326A" w:rsidP="005467FB">
            <w:pPr>
              <w:spacing w:before="240" w:after="120" w:line="240" w:lineRule="auto"/>
              <w:jc w:val="both"/>
              <w:rPr>
                <w:color w:val="000000"/>
              </w:rPr>
            </w:pPr>
            <w:r>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8D23CC">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8D23CC" w:rsidRDefault="008D23CC" w:rsidP="008D23CC">
            <w:pPr>
              <w:pStyle w:val="Default"/>
              <w:jc w:val="both"/>
              <w:rPr>
                <w:rFonts w:asciiTheme="minorHAnsi" w:hAnsiTheme="minorHAnsi"/>
                <w:sz w:val="22"/>
                <w:szCs w:val="22"/>
              </w:rPr>
            </w:pPr>
            <w:r w:rsidRPr="00151119">
              <w:rPr>
                <w:rFonts w:asciiTheme="minorHAnsi" w:hAnsiTheme="minorHAnsi"/>
                <w:sz w:val="22"/>
                <w:szCs w:val="22"/>
              </w:rPr>
              <w:t>Wzór umowy</w:t>
            </w:r>
            <w:r>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6/7</w:t>
            </w:r>
            <w:r w:rsidRPr="00151119">
              <w:rPr>
                <w:rFonts w:asciiTheme="minorHAnsi" w:hAnsiTheme="minorHAnsi"/>
                <w:sz w:val="22"/>
                <w:szCs w:val="22"/>
              </w:rPr>
              <w:t xml:space="preserve"> do </w:t>
            </w:r>
            <w:r>
              <w:rPr>
                <w:rFonts w:asciiTheme="minorHAnsi" w:hAnsiTheme="minorHAnsi"/>
                <w:sz w:val="22"/>
                <w:szCs w:val="22"/>
              </w:rPr>
              <w:t xml:space="preserve">uchwały przyjmującej </w:t>
            </w:r>
            <w:r w:rsidRPr="00151119">
              <w:rPr>
                <w:rFonts w:asciiTheme="minorHAnsi" w:hAnsiTheme="minorHAnsi"/>
                <w:sz w:val="22"/>
                <w:szCs w:val="22"/>
              </w:rPr>
              <w:t>niniejsz</w:t>
            </w:r>
            <w:r>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8"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8D23CC" w:rsidRDefault="008D23CC" w:rsidP="008D23CC">
            <w:pPr>
              <w:pStyle w:val="Default"/>
              <w:jc w:val="both"/>
              <w:rPr>
                <w:rFonts w:asciiTheme="minorHAnsi" w:hAnsiTheme="minorHAnsi"/>
                <w:sz w:val="22"/>
                <w:szCs w:val="22"/>
              </w:rPr>
            </w:pPr>
          </w:p>
          <w:p w:rsidR="008D23CC" w:rsidRPr="00DC34AB" w:rsidRDefault="008D23CC" w:rsidP="008D23CC">
            <w:pPr>
              <w:pStyle w:val="Default"/>
              <w:jc w:val="both"/>
              <w:rPr>
                <w:rFonts w:asciiTheme="minorHAnsi" w:hAnsiTheme="minorHAnsi"/>
                <w:sz w:val="22"/>
                <w:szCs w:val="22"/>
              </w:rPr>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8D23CC" w:rsidP="008D23CC">
            <w:pPr>
              <w:pStyle w:val="Default"/>
              <w:jc w:val="both"/>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w:t>
            </w:r>
            <w:r w:rsidR="004A4CCC">
              <w:rPr>
                <w:rFonts w:asciiTheme="minorHAnsi" w:hAnsiTheme="minorHAnsi"/>
                <w:sz w:val="22"/>
                <w:szCs w:val="22"/>
              </w:rPr>
              <w:t>m naborze stanowi załącznik nr 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1B6C8F">
              <w:rPr>
                <w:iCs/>
                <w:sz w:val="22"/>
                <w:szCs w:val="22"/>
              </w:rPr>
              <w:t xml:space="preserve"> </w:t>
            </w:r>
            <w:r w:rsidR="001B6C8F" w:rsidRPr="00440ED7">
              <w:rPr>
                <w:iCs/>
                <w:sz w:val="22"/>
                <w:szCs w:val="22"/>
              </w:rPr>
              <w:t>25</w:t>
            </w:r>
            <w:r w:rsidR="005779A2" w:rsidRPr="00440ED7">
              <w:rPr>
                <w:iCs/>
                <w:sz w:val="22"/>
                <w:szCs w:val="22"/>
              </w:rPr>
              <w:t>/16</w:t>
            </w:r>
            <w:r w:rsidRPr="00440ED7">
              <w:rPr>
                <w:iCs/>
                <w:sz w:val="22"/>
                <w:szCs w:val="22"/>
              </w:rPr>
              <w:t xml:space="preserve"> z dnia </w:t>
            </w:r>
            <w:r w:rsidR="005779A2" w:rsidRPr="00440ED7">
              <w:rPr>
                <w:iCs/>
                <w:sz w:val="22"/>
                <w:szCs w:val="22"/>
              </w:rPr>
              <w:t>12</w:t>
            </w:r>
            <w:r w:rsidR="00D5162B" w:rsidRPr="00440ED7">
              <w:rPr>
                <w:iCs/>
                <w:sz w:val="22"/>
                <w:szCs w:val="22"/>
              </w:rPr>
              <w:t xml:space="preserve"> </w:t>
            </w:r>
            <w:r w:rsidR="005779A2" w:rsidRPr="00440ED7">
              <w:rPr>
                <w:iCs/>
                <w:sz w:val="22"/>
                <w:szCs w:val="22"/>
              </w:rPr>
              <w:t>lutego</w:t>
            </w:r>
            <w:r w:rsidR="00D5162B" w:rsidRPr="00440ED7">
              <w:rPr>
                <w:iCs/>
                <w:sz w:val="22"/>
                <w:szCs w:val="22"/>
              </w:rPr>
              <w:t xml:space="preserve"> </w:t>
            </w:r>
            <w:r w:rsidR="005779A2" w:rsidRPr="00440ED7">
              <w:rPr>
                <w:iCs/>
                <w:sz w:val="22"/>
                <w:szCs w:val="22"/>
              </w:rPr>
              <w:t>2016</w:t>
            </w:r>
            <w:r w:rsidR="009455A4" w:rsidRPr="00440ED7">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19"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0"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 xml:space="preserve">Wnioskodawca jest zobowiązany do wyboru i określenia wartości docelowej we </w:t>
            </w:r>
            <w:r>
              <w:rPr>
                <w:sz w:val="22"/>
                <w:szCs w:val="22"/>
              </w:rPr>
              <w:lastRenderedPageBreak/>
              <w:t>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DE3B49">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A61522" w:rsidRPr="00A61522">
              <w:rPr>
                <w:iCs/>
                <w:sz w:val="22"/>
                <w:szCs w:val="22"/>
              </w:rPr>
              <w:t xml:space="preserve">.1 Inwestycje w edukację </w:t>
            </w:r>
            <w:r w:rsidR="00283849" w:rsidRPr="00A61522">
              <w:rPr>
                <w:iCs/>
                <w:sz w:val="22"/>
                <w:szCs w:val="22"/>
              </w:rPr>
              <w:t>p</w:t>
            </w:r>
            <w:r w:rsidR="00283849">
              <w:rPr>
                <w:iCs/>
                <w:sz w:val="22"/>
                <w:szCs w:val="22"/>
              </w:rPr>
              <w:t xml:space="preserve">onadgimnazjalną, w tym zawodową,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863E44" w:rsidP="00D63A11">
            <w:pPr>
              <w:spacing w:after="0" w:line="240" w:lineRule="auto"/>
              <w:jc w:val="both"/>
              <w:rPr>
                <w:rFonts w:ascii="Calibri" w:hAnsi="Calibri"/>
              </w:rPr>
            </w:pPr>
            <w:r w:rsidRPr="00863E44">
              <w:rPr>
                <w:rFonts w:ascii="Calibri" w:hAnsi="Calibri"/>
              </w:rPr>
              <w:t xml:space="preserve">Zgodnie z art. 53 ust. 2 ustawy wdrożeniowej protest </w:t>
            </w:r>
            <w:r w:rsidR="00984533" w:rsidRPr="003C6677">
              <w:rPr>
                <w:rFonts w:ascii="Calibri" w:hAnsi="Calibri"/>
              </w:rPr>
              <w:t xml:space="preserve">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863E44">
              <w:rPr>
                <w:rFonts w:ascii="Calibri" w:hAnsi="Calibri"/>
              </w:rPr>
              <w:t xml:space="preserve"> 14 dni </w:t>
            </w:r>
            <w:r w:rsidRPr="003C6677">
              <w:rPr>
                <w:rFonts w:ascii="Calibri" w:hAnsi="Calibri"/>
              </w:rPr>
              <w:t xml:space="preserve">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t>
            </w:r>
            <w:r w:rsidRPr="003C6677">
              <w:rPr>
                <w:rFonts w:ascii="Calibri" w:hAnsi="Calibri" w:cs="Arial"/>
              </w:rPr>
              <w:lastRenderedPageBreak/>
              <w:t xml:space="preserve">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lastRenderedPageBreak/>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E43D56"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w:t>
            </w:r>
            <w:r w:rsidRPr="00E43D56">
              <w:rPr>
                <w:rFonts w:asciiTheme="minorHAnsi" w:hAnsiTheme="minorHAnsi"/>
                <w:sz w:val="22"/>
                <w:szCs w:val="22"/>
              </w:rPr>
              <w:t>merytoryczna) IZ RPO WD 2014-2020 zamieszcza na swojej stronie list</w:t>
            </w:r>
            <w:r w:rsidR="00E92452" w:rsidRPr="00E43D56">
              <w:rPr>
                <w:rFonts w:asciiTheme="minorHAnsi" w:hAnsiTheme="minorHAnsi"/>
                <w:sz w:val="22"/>
                <w:szCs w:val="22"/>
              </w:rPr>
              <w:t>y</w:t>
            </w:r>
            <w:r w:rsidRPr="00E43D56">
              <w:rPr>
                <w:rFonts w:asciiTheme="minorHAnsi" w:hAnsiTheme="minorHAnsi"/>
                <w:sz w:val="22"/>
                <w:szCs w:val="22"/>
              </w:rPr>
              <w:t xml:space="preserve"> projektów zakwalifikowanych do kolejnego etapu lub list</w:t>
            </w:r>
            <w:r w:rsidR="00E92452" w:rsidRPr="00E43D56">
              <w:rPr>
                <w:rFonts w:asciiTheme="minorHAnsi" w:hAnsiTheme="minorHAnsi"/>
                <w:sz w:val="22"/>
                <w:szCs w:val="22"/>
              </w:rPr>
              <w:t>y</w:t>
            </w:r>
            <w:r w:rsidRPr="00E43D56">
              <w:rPr>
                <w:rFonts w:asciiTheme="minorHAnsi" w:hAnsiTheme="minorHAnsi"/>
                <w:sz w:val="22"/>
                <w:szCs w:val="22"/>
              </w:rPr>
              <w:t>, o któr</w:t>
            </w:r>
            <w:r w:rsidR="00E92452" w:rsidRPr="00E43D56">
              <w:rPr>
                <w:rFonts w:asciiTheme="minorHAnsi" w:hAnsiTheme="minorHAnsi"/>
                <w:sz w:val="22"/>
                <w:szCs w:val="22"/>
              </w:rPr>
              <w:t>ych</w:t>
            </w:r>
            <w:r w:rsidR="00AA5C57" w:rsidRPr="00E43D56">
              <w:rPr>
                <w:rFonts w:asciiTheme="minorHAnsi" w:hAnsiTheme="minorHAnsi"/>
                <w:sz w:val="22"/>
                <w:szCs w:val="22"/>
              </w:rPr>
              <w:t xml:space="preserve"> mowa w art. 46</w:t>
            </w:r>
            <w:r w:rsidRPr="00E43D56">
              <w:rPr>
                <w:rFonts w:asciiTheme="minorHAnsi" w:hAnsiTheme="minorHAnsi"/>
                <w:sz w:val="22"/>
                <w:szCs w:val="22"/>
              </w:rPr>
              <w:t xml:space="preserve"> ust. 4 ustawy</w:t>
            </w:r>
            <w:r w:rsidR="00A41980" w:rsidRPr="00E43D56">
              <w:rPr>
                <w:rFonts w:asciiTheme="minorHAnsi" w:hAnsiTheme="minorHAnsi"/>
                <w:sz w:val="22"/>
                <w:szCs w:val="22"/>
              </w:rPr>
              <w:t xml:space="preserve"> wdrożeniowej</w:t>
            </w:r>
            <w:r w:rsidRPr="00E43D56">
              <w:rPr>
                <w:rFonts w:asciiTheme="minorHAnsi" w:hAnsiTheme="minorHAnsi"/>
                <w:sz w:val="22"/>
                <w:szCs w:val="22"/>
              </w:rPr>
              <w:t xml:space="preserve">. Ww. listy zawierają m.in. numer wniosku, tytuł projektu, nazwę wnioskodawcy, kwotę dofinansowania oraz wartość całkowitą projektu. </w:t>
            </w:r>
          </w:p>
          <w:p w:rsidR="00984533" w:rsidRPr="00E43D56" w:rsidRDefault="00984533" w:rsidP="00480411">
            <w:pPr>
              <w:autoSpaceDE w:val="0"/>
              <w:autoSpaceDN w:val="0"/>
              <w:adjustRightInd w:val="0"/>
              <w:spacing w:after="0" w:line="240" w:lineRule="auto"/>
              <w:jc w:val="both"/>
            </w:pPr>
            <w:r w:rsidRPr="00E43D56">
              <w:t xml:space="preserve">Zgodnie z art. 46 ust. 4 ustawy wdrożeniowej po rozstrzygnięciu konkursu IZ RPO WD 2014-2020 zamieszcza na swojej stronie internetowej: </w:t>
            </w:r>
            <w:hyperlink r:id="rId21" w:history="1">
              <w:r w:rsidRPr="00E43D56">
                <w:rPr>
                  <w:rStyle w:val="Hipercze"/>
                </w:rPr>
                <w:t>www.rpo.dolnyslask.pl</w:t>
              </w:r>
            </w:hyperlink>
            <w:r w:rsidRPr="00E43D56">
              <w:t xml:space="preserve">  oraz na portalu Funduszy Europejskich: </w:t>
            </w:r>
            <w:hyperlink r:id="rId22" w:history="1">
              <w:r w:rsidRPr="00E43D56">
                <w:rPr>
                  <w:rStyle w:val="Hipercze"/>
                </w:rPr>
                <w:t>www.funduszeeuropejskie.gov.pl</w:t>
              </w:r>
            </w:hyperlink>
            <w:r w:rsidRPr="00E43D56">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E43D56">
              <w:rPr>
                <w:rFonts w:asciiTheme="minorHAnsi" w:hAnsiTheme="minorHAnsi"/>
                <w:sz w:val="22"/>
                <w:szCs w:val="22"/>
              </w:rPr>
              <w:t>Dodatkowo</w:t>
            </w:r>
            <w:r w:rsidR="00EF4ECD" w:rsidRPr="00E43D56">
              <w:rPr>
                <w:rFonts w:asciiTheme="minorHAnsi" w:hAnsiTheme="minorHAnsi"/>
                <w:sz w:val="22"/>
                <w:szCs w:val="22"/>
              </w:rPr>
              <w:t>,</w:t>
            </w:r>
            <w:r w:rsidRPr="00E43D56">
              <w:rPr>
                <w:rFonts w:asciiTheme="minorHAnsi" w:hAnsiTheme="minorHAnsi"/>
                <w:sz w:val="22"/>
                <w:szCs w:val="22"/>
              </w:rPr>
              <w:t xml:space="preserve"> zgodnie z art. 44 ust. 5 </w:t>
            </w:r>
            <w:r w:rsidR="00984533" w:rsidRPr="00E43D56">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lastRenderedPageBreak/>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8D23CC" w:rsidRDefault="00984533" w:rsidP="00480411">
            <w:pPr>
              <w:pStyle w:val="bodytext"/>
              <w:jc w:val="center"/>
              <w:rPr>
                <w:rFonts w:asciiTheme="minorHAnsi" w:hAnsiTheme="minorHAnsi"/>
                <w:b/>
                <w:sz w:val="22"/>
                <w:szCs w:val="22"/>
              </w:rPr>
            </w:pPr>
            <w:r w:rsidRPr="008D23CC">
              <w:rPr>
                <w:rFonts w:asciiTheme="minorHAnsi" w:hAnsiTheme="minorHAnsi"/>
                <w:b/>
                <w:bCs/>
                <w:sz w:val="22"/>
                <w:szCs w:val="22"/>
              </w:rPr>
              <w:t>Infolinia: 801 700 008</w:t>
            </w:r>
            <w:r w:rsidRPr="008D23CC">
              <w:rPr>
                <w:rFonts w:asciiTheme="minorHAnsi" w:hAnsiTheme="minorHAnsi"/>
                <w:b/>
                <w:bCs/>
                <w:sz w:val="22"/>
                <w:szCs w:val="22"/>
              </w:rPr>
              <w:br/>
            </w:r>
          </w:p>
          <w:p w:rsidR="00984533" w:rsidRPr="008D23CC" w:rsidRDefault="005467FB" w:rsidP="00480411">
            <w:pPr>
              <w:pStyle w:val="bodytext"/>
              <w:jc w:val="center"/>
              <w:rPr>
                <w:rFonts w:asciiTheme="minorHAnsi" w:hAnsiTheme="minorHAnsi"/>
                <w:b/>
                <w:sz w:val="22"/>
                <w:szCs w:val="22"/>
              </w:rPr>
            </w:pPr>
            <w:hyperlink r:id="rId23" w:history="1">
              <w:r w:rsidR="00984533" w:rsidRPr="008D23CC">
                <w:rPr>
                  <w:rStyle w:val="Hipercze"/>
                  <w:rFonts w:asciiTheme="minorHAnsi" w:hAnsiTheme="minorHAnsi"/>
                  <w:b/>
                  <w:sz w:val="22"/>
                  <w:szCs w:val="22"/>
                </w:rPr>
                <w:t>pife@dolnyslask.pl</w:t>
              </w:r>
            </w:hyperlink>
          </w:p>
          <w:p w:rsidR="00984533" w:rsidRPr="008D23CC" w:rsidRDefault="005467FB" w:rsidP="00480411">
            <w:pPr>
              <w:spacing w:before="120" w:after="120" w:line="240" w:lineRule="auto"/>
              <w:jc w:val="center"/>
            </w:pPr>
            <w:hyperlink r:id="rId24" w:history="1">
              <w:r w:rsidR="00984533" w:rsidRPr="008D23CC">
                <w:rPr>
                  <w:rStyle w:val="Hipercze"/>
                </w:rPr>
                <w:t>pife.jeleniagora@dolnyslask.pl</w:t>
              </w:r>
            </w:hyperlink>
          </w:p>
          <w:p w:rsidR="00984533" w:rsidRPr="008D23CC" w:rsidRDefault="005467FB" w:rsidP="00480411">
            <w:pPr>
              <w:spacing w:before="120" w:after="120" w:line="240" w:lineRule="auto"/>
              <w:jc w:val="center"/>
            </w:pPr>
            <w:hyperlink r:id="rId25" w:history="1">
              <w:r w:rsidR="00984533" w:rsidRPr="008D23CC">
                <w:rPr>
                  <w:rStyle w:val="Hipercze"/>
                </w:rPr>
                <w:t>pife.legnica@dolnyslask.pl</w:t>
              </w:r>
            </w:hyperlink>
          </w:p>
          <w:p w:rsidR="00984533" w:rsidRPr="00FB53DA" w:rsidRDefault="005467FB" w:rsidP="00480411">
            <w:pPr>
              <w:spacing w:before="120" w:after="120" w:line="240" w:lineRule="auto"/>
              <w:jc w:val="center"/>
            </w:pPr>
            <w:hyperlink r:id="rId26"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7"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C10F2F">
            <w:pPr>
              <w:pStyle w:val="Default"/>
            </w:pPr>
            <w:r w:rsidRPr="00151119">
              <w:rPr>
                <w:rFonts w:asciiTheme="minorHAnsi" w:hAnsiTheme="minorHAnsi"/>
                <w:sz w:val="22"/>
                <w:szCs w:val="22"/>
              </w:rPr>
              <w:t xml:space="preserve">Orientacyjny termin rozstrzygnięcia konkursu to </w:t>
            </w:r>
            <w:r w:rsidR="00C10F2F">
              <w:rPr>
                <w:rFonts w:asciiTheme="minorHAnsi" w:hAnsiTheme="minorHAnsi"/>
                <w:sz w:val="22"/>
                <w:szCs w:val="22"/>
              </w:rPr>
              <w:t>październik</w:t>
            </w:r>
            <w:r w:rsidR="00BD2093" w:rsidRPr="001B6C8F">
              <w:rPr>
                <w:rFonts w:asciiTheme="minorHAnsi" w:hAnsiTheme="minorHAnsi"/>
                <w:sz w:val="22"/>
                <w:szCs w:val="22"/>
              </w:rPr>
              <w:t xml:space="preserve"> </w:t>
            </w:r>
            <w:r w:rsidR="00020C5D" w:rsidRPr="001B6C8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9"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w:t>
            </w:r>
            <w:r w:rsidRPr="00151119">
              <w:rPr>
                <w:rFonts w:asciiTheme="minorHAnsi" w:hAnsiTheme="minorHAnsi"/>
                <w:b/>
                <w:bCs/>
                <w:sz w:val="22"/>
                <w:szCs w:val="22"/>
              </w:rPr>
              <w:lastRenderedPageBreak/>
              <w:t xml:space="preserve">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lastRenderedPageBreak/>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w:t>
            </w:r>
            <w:r>
              <w:lastRenderedPageBreak/>
              <w:t xml:space="preserve">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BB446A" w:rsidRDefault="00863E44"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B6C8F">
              <w:rPr>
                <w:color w:val="000000"/>
              </w:rPr>
              <w:t>wniosku o płatność:</w:t>
            </w:r>
            <w:r w:rsidR="005E659B" w:rsidRPr="001B6C8F">
              <w:rPr>
                <w:color w:val="000000"/>
              </w:rPr>
              <w:t xml:space="preserve"> </w:t>
            </w:r>
            <w:r w:rsidR="006959C3">
              <w:rPr>
                <w:color w:val="000000"/>
              </w:rPr>
              <w:t>03</w:t>
            </w:r>
            <w:r w:rsidR="00AE3B42" w:rsidRPr="001B6C8F">
              <w:rPr>
                <w:color w:val="000000"/>
              </w:rPr>
              <w:t>.</w:t>
            </w:r>
            <w:r w:rsidR="00081F91" w:rsidRPr="001B6C8F">
              <w:rPr>
                <w:color w:val="000000"/>
              </w:rPr>
              <w:t>12.2018</w:t>
            </w:r>
            <w:r w:rsidR="00FD6131" w:rsidRPr="001B6C8F">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w:t>
            </w:r>
            <w:r w:rsidRPr="001442E1">
              <w:rPr>
                <w:rFonts w:asciiTheme="minorHAnsi" w:hAnsiTheme="minorHAnsi"/>
                <w:sz w:val="22"/>
                <w:szCs w:val="22"/>
              </w:rPr>
              <w:lastRenderedPageBreak/>
              <w:t>2020</w:t>
            </w:r>
            <w:r>
              <w:rPr>
                <w:rFonts w:asciiTheme="minorHAnsi" w:hAnsiTheme="minorHAnsi"/>
                <w:sz w:val="22"/>
                <w:szCs w:val="22"/>
              </w:rPr>
              <w:t>.</w:t>
            </w:r>
          </w:p>
          <w:p w:rsidR="00C266EF" w:rsidRDefault="00C266EF" w:rsidP="001442E1">
            <w:pPr>
              <w:pStyle w:val="Default"/>
              <w:jc w:val="both"/>
              <w:rPr>
                <w:rFonts w:asciiTheme="minorHAnsi" w:hAnsiTheme="minorHAnsi"/>
                <w:b/>
                <w:sz w:val="22"/>
                <w:szCs w:val="22"/>
                <w:u w:val="single"/>
              </w:rPr>
            </w:pPr>
          </w:p>
          <w:p w:rsidR="00C266EF" w:rsidRDefault="00C266EF" w:rsidP="001442E1">
            <w:pPr>
              <w:pStyle w:val="Default"/>
              <w:jc w:val="both"/>
              <w:rPr>
                <w:rFonts w:asciiTheme="minorHAnsi" w:hAnsiTheme="minorHAnsi"/>
                <w:b/>
                <w:sz w:val="22"/>
                <w:szCs w:val="22"/>
                <w:u w:val="single"/>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8D23CC" w:rsidRPr="00735145" w:rsidRDefault="008D23CC" w:rsidP="008D23CC">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w:t>
            </w:r>
            <w:r w:rsidRPr="00735145">
              <w:rPr>
                <w:rFonts w:eastAsia="Times New Roman" w:cs="Times New Roman"/>
                <w:color w:val="00000A"/>
                <w:szCs w:val="20"/>
                <w:lang w:eastAsia="pl-PL"/>
              </w:rPr>
              <w:lastRenderedPageBreak/>
              <w:t xml:space="preserve">potrzeb dotyczących przystosowania się do zmiany klimatu i łagodzenia zmiany klimatu, a także odporności na klęski żywiołowe”. </w:t>
            </w:r>
          </w:p>
          <w:p w:rsidR="008D23CC" w:rsidRDefault="008D23CC" w:rsidP="008D23CC">
            <w:pPr>
              <w:suppressAutoHyphens/>
              <w:spacing w:after="120" w:line="240" w:lineRule="auto"/>
              <w:jc w:val="both"/>
              <w:rPr>
                <w:rFonts w:eastAsia="Times New Roman" w:cs="Times New Roman"/>
                <w:color w:val="00000A"/>
                <w:szCs w:val="20"/>
                <w:lang w:eastAsia="pl-PL"/>
              </w:rPr>
            </w:pPr>
          </w:p>
          <w:p w:rsidR="008D23CC" w:rsidRPr="00735145" w:rsidRDefault="008D23CC" w:rsidP="008D23CC">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8D23CC" w:rsidRPr="00735145" w:rsidRDefault="008D23CC" w:rsidP="008D23CC">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8D23CC" w:rsidRPr="00735145" w:rsidRDefault="005467FB" w:rsidP="008D23CC">
            <w:pPr>
              <w:suppressAutoHyphens/>
              <w:spacing w:after="120" w:line="240" w:lineRule="auto"/>
              <w:jc w:val="both"/>
              <w:rPr>
                <w:rFonts w:eastAsia="Droid Sans Fallback" w:cs="Calibri"/>
                <w:color w:val="00000A"/>
              </w:rPr>
            </w:pPr>
            <w:hyperlink r:id="rId30" w:history="1">
              <w:r w:rsidR="008D23CC" w:rsidRPr="00735145">
                <w:rPr>
                  <w:rFonts w:eastAsia="Droid Sans Fallback" w:cs="Calibri"/>
                  <w:color w:val="0000FF"/>
                  <w:u w:val="single"/>
                </w:rPr>
                <w:t>www.funduszeeuropejskie.gov.pl</w:t>
              </w:r>
            </w:hyperlink>
            <w:r w:rsidR="008D23CC" w:rsidRPr="00735145">
              <w:rPr>
                <w:rFonts w:eastAsia="Droid Sans Fallback" w:cs="Calibri"/>
                <w:color w:val="00000A"/>
              </w:rPr>
              <w:t>.</w:t>
            </w: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8D23CC" w:rsidRPr="00735145" w:rsidRDefault="008D23CC" w:rsidP="008D23CC">
            <w:pPr>
              <w:suppressAutoHyphens/>
              <w:spacing w:after="120" w:line="240" w:lineRule="auto"/>
              <w:jc w:val="both"/>
              <w:rPr>
                <w:rFonts w:eastAsia="Droid Sans Fallback" w:cs="Calibri"/>
                <w:color w:val="00000A"/>
              </w:rPr>
            </w:pP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8D23CC" w:rsidRDefault="008D23CC" w:rsidP="008D23CC">
            <w:pPr>
              <w:suppressAutoHyphens/>
              <w:spacing w:after="120" w:line="240" w:lineRule="auto"/>
              <w:jc w:val="both"/>
              <w:rPr>
                <w:rFonts w:eastAsia="Times New Roman" w:cs="Times New Roman"/>
                <w:color w:val="00000A"/>
                <w:szCs w:val="20"/>
                <w:lang w:eastAsia="pl-PL"/>
              </w:rPr>
            </w:pP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8D23CC" w:rsidRPr="00735145" w:rsidRDefault="008D23CC" w:rsidP="008D23CC">
            <w:pPr>
              <w:suppressAutoHyphens/>
              <w:spacing w:line="240" w:lineRule="auto"/>
              <w:ind w:left="360"/>
              <w:rPr>
                <w:rFonts w:eastAsia="Droid Sans Fallback" w:cs="Calibri"/>
                <w:color w:val="00000A"/>
                <w:sz w:val="2"/>
                <w:szCs w:val="2"/>
              </w:rPr>
            </w:pP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D2355B" w:rsidRDefault="008D23CC" w:rsidP="008D23CC">
            <w:pPr>
              <w:suppressAutoHyphens/>
              <w:spacing w:before="240" w:after="0" w:line="100" w:lineRule="atLeast"/>
              <w:jc w:val="both"/>
              <w:rPr>
                <w:rFonts w:ascii="Calibri" w:eastAsia="Droid Sans Fallback" w:hAnsi="Calibri" w:cs="Calibri"/>
                <w:color w:val="00000A"/>
                <w:u w:val="single"/>
              </w:rPr>
            </w:pPr>
            <w:r w:rsidRPr="00735145">
              <w:rPr>
                <w:rFonts w:eastAsia="Droid Sans Fallback" w:cs="Calibri"/>
                <w:color w:val="00000A"/>
              </w:rPr>
              <w:lastRenderedPageBreak/>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75D3A" w:rsidRDefault="00D75D3A" w:rsidP="00D75D3A">
      <w:pPr>
        <w:autoSpaceDE w:val="0"/>
        <w:autoSpaceDN w:val="0"/>
        <w:adjustRightInd w:val="0"/>
        <w:spacing w:line="240" w:lineRule="auto"/>
        <w:jc w:val="both"/>
        <w:rPr>
          <w:rFonts w:ascii="Calibri" w:hAnsi="Calibri" w:cs="Calibri"/>
          <w:bCs/>
          <w:color w:val="000000"/>
        </w:rPr>
      </w:pPr>
    </w:p>
    <w:p w:rsidR="00D75D3A" w:rsidRPr="00D75D3A" w:rsidRDefault="00D75D3A" w:rsidP="00D75D3A">
      <w:pPr>
        <w:autoSpaceDE w:val="0"/>
        <w:autoSpaceDN w:val="0"/>
        <w:adjustRightInd w:val="0"/>
        <w:spacing w:line="240" w:lineRule="auto"/>
        <w:jc w:val="both"/>
        <w:rPr>
          <w:rFonts w:ascii="Calibri" w:hAnsi="Calibri" w:cs="Calibri"/>
          <w:b/>
          <w:bCs/>
          <w:color w:val="000000"/>
          <w:sz w:val="20"/>
          <w:szCs w:val="20"/>
        </w:rPr>
      </w:pPr>
      <w:r w:rsidRPr="00D75D3A">
        <w:rPr>
          <w:rFonts w:ascii="Calibri" w:hAnsi="Calibri" w:cs="Calibri"/>
          <w:b/>
          <w:bCs/>
          <w:color w:val="000000"/>
          <w:sz w:val="20"/>
          <w:szCs w:val="20"/>
        </w:rPr>
        <w:t>Załączniki do regulaminu:</w:t>
      </w:r>
    </w:p>
    <w:p w:rsidR="00D75D3A" w:rsidRPr="004046F2" w:rsidRDefault="00D75D3A" w:rsidP="00685893">
      <w:pPr>
        <w:pStyle w:val="Akapitzlist"/>
        <w:numPr>
          <w:ilvl w:val="0"/>
          <w:numId w:val="40"/>
        </w:numPr>
        <w:autoSpaceDE w:val="0"/>
        <w:autoSpaceDN w:val="0"/>
        <w:adjustRightInd w:val="0"/>
        <w:spacing w:before="0" w:after="58" w:line="240" w:lineRule="auto"/>
        <w:jc w:val="both"/>
        <w:rPr>
          <w:rFonts w:asciiTheme="minorHAnsi" w:hAnsiTheme="minorHAnsi"/>
          <w:szCs w:val="22"/>
        </w:rPr>
      </w:pPr>
      <w:r w:rsidRPr="004046F2">
        <w:rPr>
          <w:rFonts w:asciiTheme="minorHAnsi" w:hAnsiTheme="minorHAnsi"/>
          <w:szCs w:val="22"/>
        </w:rPr>
        <w:t xml:space="preserve">Wyciąg z Kryteriów wyboru projektów zatwierdzonych przez KM RPO WD 2014-2020 w dniu 12.02.2016 r. (Uchwała  </w:t>
      </w:r>
      <w:r w:rsidR="001B6C8F" w:rsidRPr="004046F2">
        <w:rPr>
          <w:rFonts w:asciiTheme="minorHAnsi" w:hAnsiTheme="minorHAnsi"/>
          <w:szCs w:val="22"/>
        </w:rPr>
        <w:t>nr 25</w:t>
      </w:r>
      <w:r w:rsidRPr="004046F2">
        <w:rPr>
          <w:rFonts w:asciiTheme="minorHAnsi" w:hAnsiTheme="minorHAnsi"/>
          <w:szCs w:val="22"/>
        </w:rPr>
        <w:t>/16 KM RPO WD) obowiązujących w niniejszym naborze.</w:t>
      </w:r>
    </w:p>
    <w:p w:rsidR="00D75D3A" w:rsidRPr="004046F2" w:rsidRDefault="00D75D3A" w:rsidP="00685893">
      <w:pPr>
        <w:pStyle w:val="Akapitzlist"/>
        <w:numPr>
          <w:ilvl w:val="0"/>
          <w:numId w:val="40"/>
        </w:numPr>
        <w:autoSpaceDE w:val="0"/>
        <w:autoSpaceDN w:val="0"/>
        <w:adjustRightInd w:val="0"/>
        <w:spacing w:before="0" w:line="240" w:lineRule="auto"/>
        <w:jc w:val="both"/>
        <w:rPr>
          <w:rFonts w:asciiTheme="minorHAnsi" w:hAnsiTheme="minorHAnsi"/>
          <w:szCs w:val="22"/>
        </w:rPr>
      </w:pPr>
      <w:r w:rsidRPr="004046F2">
        <w:rPr>
          <w:rFonts w:asciiTheme="minorHAnsi" w:hAnsiTheme="minorHAnsi"/>
          <w:szCs w:val="22"/>
        </w:rPr>
        <w:t>Lista wskaźników na poziomie projektu dla poddziałania 7.2.1 Inwestycje w edukację ponadgimnazjalną, w tym zawodową</w:t>
      </w:r>
      <w:r w:rsidR="004046F2">
        <w:rPr>
          <w:rFonts w:asciiTheme="minorHAnsi" w:hAnsiTheme="minorHAnsi"/>
          <w:szCs w:val="22"/>
        </w:rPr>
        <w:t>.</w:t>
      </w:r>
    </w:p>
    <w:p w:rsidR="00685893" w:rsidRPr="004046F2" w:rsidRDefault="00685893" w:rsidP="00685893">
      <w:pPr>
        <w:pStyle w:val="Akapitzlist"/>
        <w:numPr>
          <w:ilvl w:val="0"/>
          <w:numId w:val="40"/>
        </w:numPr>
        <w:autoSpaceDE w:val="0"/>
        <w:autoSpaceDN w:val="0"/>
        <w:adjustRightInd w:val="0"/>
        <w:spacing w:before="0" w:line="240" w:lineRule="auto"/>
        <w:jc w:val="both"/>
        <w:rPr>
          <w:rFonts w:asciiTheme="minorHAnsi" w:hAnsiTheme="minorHAnsi"/>
          <w:szCs w:val="22"/>
        </w:rPr>
      </w:pPr>
      <w:r w:rsidRPr="004046F2">
        <w:rPr>
          <w:rFonts w:asciiTheme="minorHAnsi" w:hAnsiTheme="minorHAnsi"/>
          <w:szCs w:val="22"/>
        </w:rPr>
        <w:t>Standard wyposażenia szkolnych pracowni</w:t>
      </w:r>
      <w:r w:rsidR="004046F2">
        <w:rPr>
          <w:rFonts w:asciiTheme="minorHAnsi" w:hAnsiTheme="minorHAnsi"/>
          <w:szCs w:val="22"/>
        </w:rPr>
        <w:t>.</w:t>
      </w:r>
    </w:p>
    <w:p w:rsidR="00EF749B" w:rsidRPr="00FA6B9F" w:rsidRDefault="00EF749B" w:rsidP="00D75D3A">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08" w:rsidRDefault="00986F08" w:rsidP="00E873C4">
      <w:pPr>
        <w:spacing w:after="0" w:line="240" w:lineRule="auto"/>
      </w:pPr>
      <w:r>
        <w:separator/>
      </w:r>
    </w:p>
    <w:p w:rsidR="00986F08" w:rsidRDefault="00986F08"/>
  </w:endnote>
  <w:endnote w:type="continuationSeparator" w:id="0">
    <w:p w:rsidR="00986F08" w:rsidRDefault="00986F08" w:rsidP="00E873C4">
      <w:pPr>
        <w:spacing w:after="0" w:line="240" w:lineRule="auto"/>
      </w:pPr>
      <w:r>
        <w:continuationSeparator/>
      </w:r>
    </w:p>
    <w:p w:rsidR="00986F08" w:rsidRDefault="00986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07516"/>
      <w:docPartObj>
        <w:docPartGallery w:val="Page Numbers (Bottom of Page)"/>
        <w:docPartUnique/>
      </w:docPartObj>
    </w:sdtPr>
    <w:sdtEndPr/>
    <w:sdtContent>
      <w:p w:rsidR="00986F08" w:rsidRDefault="00986F08">
        <w:pPr>
          <w:pStyle w:val="Stopka"/>
          <w:jc w:val="right"/>
        </w:pPr>
        <w:r>
          <w:fldChar w:fldCharType="begin"/>
        </w:r>
        <w:r>
          <w:instrText>PAGE   \* MERGEFORMAT</w:instrText>
        </w:r>
        <w:r>
          <w:fldChar w:fldCharType="separate"/>
        </w:r>
        <w:r w:rsidR="005467FB">
          <w:rPr>
            <w:noProof/>
          </w:rPr>
          <w:t>1</w:t>
        </w:r>
        <w:r>
          <w:rPr>
            <w:noProof/>
          </w:rPr>
          <w:fldChar w:fldCharType="end"/>
        </w:r>
      </w:p>
    </w:sdtContent>
  </w:sdt>
  <w:p w:rsidR="00986F08" w:rsidRDefault="00986F08">
    <w:pPr>
      <w:pStyle w:val="Stopka"/>
    </w:pPr>
  </w:p>
  <w:p w:rsidR="00986F08" w:rsidRDefault="00986F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08" w:rsidRDefault="00986F08" w:rsidP="00E873C4">
      <w:pPr>
        <w:spacing w:after="0" w:line="240" w:lineRule="auto"/>
      </w:pPr>
      <w:r>
        <w:separator/>
      </w:r>
    </w:p>
    <w:p w:rsidR="00986F08" w:rsidRDefault="00986F08"/>
  </w:footnote>
  <w:footnote w:type="continuationSeparator" w:id="0">
    <w:p w:rsidR="00986F08" w:rsidRDefault="00986F08" w:rsidP="00E873C4">
      <w:pPr>
        <w:spacing w:after="0" w:line="240" w:lineRule="auto"/>
      </w:pPr>
      <w:r>
        <w:continuationSeparator/>
      </w:r>
    </w:p>
    <w:p w:rsidR="00986F08" w:rsidRDefault="00986F08"/>
  </w:footnote>
  <w:footnote w:id="1">
    <w:p w:rsidR="00986F08" w:rsidRPr="00FA03C1" w:rsidRDefault="00986F08" w:rsidP="00FA03C1">
      <w:pPr>
        <w:pStyle w:val="Tekstprzypisudolnego"/>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986F08" w:rsidRDefault="00986F08">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zawodowych. </w:t>
      </w:r>
      <w:r w:rsidRPr="009701C6">
        <w:rPr>
          <w:sz w:val="16"/>
          <w:szCs w:val="16"/>
        </w:rPr>
        <w:t>Jeśli wnioskodawca nie ma możliwości wykaza</w:t>
      </w:r>
      <w:r>
        <w:rPr>
          <w:sz w:val="16"/>
          <w:szCs w:val="16"/>
        </w:rPr>
        <w:t xml:space="preserve">nia kosztów w podziale na  szkołę ponadgimnazjalną zawodową/szkołę ponadgimnazjalną ogólną  </w:t>
      </w:r>
      <w:r w:rsidRPr="00516363">
        <w:rPr>
          <w:sz w:val="16"/>
          <w:szCs w:val="16"/>
        </w:rPr>
        <w:t>należy określić procentowy udział powierzchni użytkowej związanej z prowadz</w:t>
      </w:r>
      <w:r>
        <w:rPr>
          <w:sz w:val="16"/>
          <w:szCs w:val="16"/>
        </w:rPr>
        <w:t xml:space="preserve">eniem działalności szkoły ponadgimnazjalnej zawodowej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3">
    <w:p w:rsidR="00986F08" w:rsidRPr="009447AC" w:rsidRDefault="00986F08" w:rsidP="00717F68">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FFE20FD0"/>
    <w:lvl w:ilvl="0" w:tplc="03ECCC50">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3"/>
  </w:num>
  <w:num w:numId="40">
    <w:abstractNumId w:val="20"/>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9"/>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2C8C"/>
    <w:rsid w:val="00034EE2"/>
    <w:rsid w:val="00040467"/>
    <w:rsid w:val="0004133F"/>
    <w:rsid w:val="00051A6D"/>
    <w:rsid w:val="00053BC4"/>
    <w:rsid w:val="000552B0"/>
    <w:rsid w:val="0006765F"/>
    <w:rsid w:val="00067A0F"/>
    <w:rsid w:val="000763EC"/>
    <w:rsid w:val="00077561"/>
    <w:rsid w:val="00081F91"/>
    <w:rsid w:val="00083567"/>
    <w:rsid w:val="00084B1D"/>
    <w:rsid w:val="000A59C8"/>
    <w:rsid w:val="000A5A8B"/>
    <w:rsid w:val="000B53A8"/>
    <w:rsid w:val="000C10A2"/>
    <w:rsid w:val="000C47BE"/>
    <w:rsid w:val="000C6ED3"/>
    <w:rsid w:val="000D064B"/>
    <w:rsid w:val="000D162D"/>
    <w:rsid w:val="000D322C"/>
    <w:rsid w:val="000D366A"/>
    <w:rsid w:val="000E092B"/>
    <w:rsid w:val="000E2E3A"/>
    <w:rsid w:val="000E3F45"/>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40C08"/>
    <w:rsid w:val="00141276"/>
    <w:rsid w:val="00141FBD"/>
    <w:rsid w:val="001442E1"/>
    <w:rsid w:val="0015088A"/>
    <w:rsid w:val="00151119"/>
    <w:rsid w:val="00163B95"/>
    <w:rsid w:val="00163C1F"/>
    <w:rsid w:val="00167A0A"/>
    <w:rsid w:val="0017326A"/>
    <w:rsid w:val="001741B3"/>
    <w:rsid w:val="00180B34"/>
    <w:rsid w:val="00182231"/>
    <w:rsid w:val="001847A5"/>
    <w:rsid w:val="001B6C8F"/>
    <w:rsid w:val="001B7E02"/>
    <w:rsid w:val="001D5ADE"/>
    <w:rsid w:val="001F29F9"/>
    <w:rsid w:val="00203AEB"/>
    <w:rsid w:val="00204163"/>
    <w:rsid w:val="002049F3"/>
    <w:rsid w:val="00214423"/>
    <w:rsid w:val="00216D57"/>
    <w:rsid w:val="0022084B"/>
    <w:rsid w:val="002238CA"/>
    <w:rsid w:val="002366CF"/>
    <w:rsid w:val="002368A3"/>
    <w:rsid w:val="0024415E"/>
    <w:rsid w:val="002479B3"/>
    <w:rsid w:val="00263D0C"/>
    <w:rsid w:val="002771D8"/>
    <w:rsid w:val="002777A2"/>
    <w:rsid w:val="0028267C"/>
    <w:rsid w:val="00283849"/>
    <w:rsid w:val="00284BCE"/>
    <w:rsid w:val="002872B3"/>
    <w:rsid w:val="002965D5"/>
    <w:rsid w:val="002A02F4"/>
    <w:rsid w:val="002A363F"/>
    <w:rsid w:val="002A772D"/>
    <w:rsid w:val="002A7A36"/>
    <w:rsid w:val="002B4B1B"/>
    <w:rsid w:val="002B5686"/>
    <w:rsid w:val="002B7A29"/>
    <w:rsid w:val="002D184C"/>
    <w:rsid w:val="002D4095"/>
    <w:rsid w:val="002D6AE8"/>
    <w:rsid w:val="002E2658"/>
    <w:rsid w:val="002E5984"/>
    <w:rsid w:val="002E5B1F"/>
    <w:rsid w:val="002F2511"/>
    <w:rsid w:val="002F3568"/>
    <w:rsid w:val="00300E2C"/>
    <w:rsid w:val="00302591"/>
    <w:rsid w:val="00303BCB"/>
    <w:rsid w:val="00305790"/>
    <w:rsid w:val="00314B94"/>
    <w:rsid w:val="00320901"/>
    <w:rsid w:val="0032333D"/>
    <w:rsid w:val="00331136"/>
    <w:rsid w:val="00331C42"/>
    <w:rsid w:val="00344EF4"/>
    <w:rsid w:val="003451EF"/>
    <w:rsid w:val="0034777C"/>
    <w:rsid w:val="00364DBB"/>
    <w:rsid w:val="00364F8A"/>
    <w:rsid w:val="0036680D"/>
    <w:rsid w:val="0037103D"/>
    <w:rsid w:val="00372F5E"/>
    <w:rsid w:val="00373A48"/>
    <w:rsid w:val="003846E2"/>
    <w:rsid w:val="003864E8"/>
    <w:rsid w:val="00386933"/>
    <w:rsid w:val="00387FDF"/>
    <w:rsid w:val="00390D9C"/>
    <w:rsid w:val="00393818"/>
    <w:rsid w:val="003948B3"/>
    <w:rsid w:val="003A0F50"/>
    <w:rsid w:val="003A6136"/>
    <w:rsid w:val="003B4611"/>
    <w:rsid w:val="003B4A60"/>
    <w:rsid w:val="003B6C9D"/>
    <w:rsid w:val="003D6EF8"/>
    <w:rsid w:val="003F1BA7"/>
    <w:rsid w:val="003F59D8"/>
    <w:rsid w:val="0040059D"/>
    <w:rsid w:val="0040074D"/>
    <w:rsid w:val="004046F2"/>
    <w:rsid w:val="00410C67"/>
    <w:rsid w:val="00411FC6"/>
    <w:rsid w:val="004123F0"/>
    <w:rsid w:val="004151FA"/>
    <w:rsid w:val="00417D17"/>
    <w:rsid w:val="00422A46"/>
    <w:rsid w:val="00424DF6"/>
    <w:rsid w:val="00425384"/>
    <w:rsid w:val="00434B9B"/>
    <w:rsid w:val="00435B86"/>
    <w:rsid w:val="00440ED7"/>
    <w:rsid w:val="00443CAC"/>
    <w:rsid w:val="00456C95"/>
    <w:rsid w:val="004612F9"/>
    <w:rsid w:val="004640F4"/>
    <w:rsid w:val="00474A39"/>
    <w:rsid w:val="00480411"/>
    <w:rsid w:val="00485BAF"/>
    <w:rsid w:val="004905C3"/>
    <w:rsid w:val="00496977"/>
    <w:rsid w:val="004A3789"/>
    <w:rsid w:val="004A4CCC"/>
    <w:rsid w:val="004B0B50"/>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05934"/>
    <w:rsid w:val="00521806"/>
    <w:rsid w:val="005261AF"/>
    <w:rsid w:val="00530F60"/>
    <w:rsid w:val="00531A59"/>
    <w:rsid w:val="00531AA5"/>
    <w:rsid w:val="00532690"/>
    <w:rsid w:val="00532F07"/>
    <w:rsid w:val="0053485A"/>
    <w:rsid w:val="00540EE1"/>
    <w:rsid w:val="005415B5"/>
    <w:rsid w:val="00541773"/>
    <w:rsid w:val="00545F09"/>
    <w:rsid w:val="005467FB"/>
    <w:rsid w:val="005477CE"/>
    <w:rsid w:val="0056015A"/>
    <w:rsid w:val="00565A63"/>
    <w:rsid w:val="00571FD0"/>
    <w:rsid w:val="00574632"/>
    <w:rsid w:val="00575541"/>
    <w:rsid w:val="005779A2"/>
    <w:rsid w:val="00585063"/>
    <w:rsid w:val="005A28C8"/>
    <w:rsid w:val="005B0EB2"/>
    <w:rsid w:val="005B34B9"/>
    <w:rsid w:val="005B39AD"/>
    <w:rsid w:val="005C6AB4"/>
    <w:rsid w:val="005D1AEB"/>
    <w:rsid w:val="005D67D6"/>
    <w:rsid w:val="005E2E99"/>
    <w:rsid w:val="005E3357"/>
    <w:rsid w:val="005E659B"/>
    <w:rsid w:val="005E776A"/>
    <w:rsid w:val="005F65D9"/>
    <w:rsid w:val="005F764E"/>
    <w:rsid w:val="00600EB8"/>
    <w:rsid w:val="00630D34"/>
    <w:rsid w:val="00634D48"/>
    <w:rsid w:val="006545AC"/>
    <w:rsid w:val="00656F36"/>
    <w:rsid w:val="00670468"/>
    <w:rsid w:val="006754E3"/>
    <w:rsid w:val="006762E1"/>
    <w:rsid w:val="0067677F"/>
    <w:rsid w:val="00683BC9"/>
    <w:rsid w:val="00685893"/>
    <w:rsid w:val="006877AB"/>
    <w:rsid w:val="006928EA"/>
    <w:rsid w:val="006959C3"/>
    <w:rsid w:val="006A1BF0"/>
    <w:rsid w:val="006B0BAB"/>
    <w:rsid w:val="006B2FE8"/>
    <w:rsid w:val="006B5689"/>
    <w:rsid w:val="006B5A9F"/>
    <w:rsid w:val="006C03F2"/>
    <w:rsid w:val="006C3F4E"/>
    <w:rsid w:val="006C4B26"/>
    <w:rsid w:val="006D7C1A"/>
    <w:rsid w:val="006F69DA"/>
    <w:rsid w:val="00701A7D"/>
    <w:rsid w:val="0071078C"/>
    <w:rsid w:val="00715262"/>
    <w:rsid w:val="00716ADF"/>
    <w:rsid w:val="00717F68"/>
    <w:rsid w:val="00723CFF"/>
    <w:rsid w:val="00746212"/>
    <w:rsid w:val="0074779B"/>
    <w:rsid w:val="007556F0"/>
    <w:rsid w:val="007564BC"/>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0018"/>
    <w:rsid w:val="007D19B0"/>
    <w:rsid w:val="007D5FE3"/>
    <w:rsid w:val="007E0537"/>
    <w:rsid w:val="007E0AA1"/>
    <w:rsid w:val="007E4E1C"/>
    <w:rsid w:val="007E7954"/>
    <w:rsid w:val="007F2804"/>
    <w:rsid w:val="007F3D9A"/>
    <w:rsid w:val="007F45E9"/>
    <w:rsid w:val="007F5D95"/>
    <w:rsid w:val="007F7945"/>
    <w:rsid w:val="00800124"/>
    <w:rsid w:val="00805E31"/>
    <w:rsid w:val="0081019B"/>
    <w:rsid w:val="00812121"/>
    <w:rsid w:val="0083219E"/>
    <w:rsid w:val="0083415B"/>
    <w:rsid w:val="008373EE"/>
    <w:rsid w:val="008447B6"/>
    <w:rsid w:val="00850017"/>
    <w:rsid w:val="008600F3"/>
    <w:rsid w:val="00862A72"/>
    <w:rsid w:val="00863524"/>
    <w:rsid w:val="00863E44"/>
    <w:rsid w:val="0086574D"/>
    <w:rsid w:val="00867A44"/>
    <w:rsid w:val="008733E3"/>
    <w:rsid w:val="00891A07"/>
    <w:rsid w:val="0089254A"/>
    <w:rsid w:val="008B0CF1"/>
    <w:rsid w:val="008C3515"/>
    <w:rsid w:val="008C54F0"/>
    <w:rsid w:val="008D23CC"/>
    <w:rsid w:val="008E35D3"/>
    <w:rsid w:val="008E5657"/>
    <w:rsid w:val="008F2DD0"/>
    <w:rsid w:val="008F4AAF"/>
    <w:rsid w:val="008F531C"/>
    <w:rsid w:val="00907747"/>
    <w:rsid w:val="009152E6"/>
    <w:rsid w:val="00916F84"/>
    <w:rsid w:val="00921011"/>
    <w:rsid w:val="00923593"/>
    <w:rsid w:val="00924E91"/>
    <w:rsid w:val="009337A7"/>
    <w:rsid w:val="00936001"/>
    <w:rsid w:val="009367C2"/>
    <w:rsid w:val="009455A4"/>
    <w:rsid w:val="009553C5"/>
    <w:rsid w:val="00956C47"/>
    <w:rsid w:val="00961B8B"/>
    <w:rsid w:val="0096429D"/>
    <w:rsid w:val="00966E9C"/>
    <w:rsid w:val="00972D12"/>
    <w:rsid w:val="0097359B"/>
    <w:rsid w:val="00984533"/>
    <w:rsid w:val="00986F08"/>
    <w:rsid w:val="00991FEC"/>
    <w:rsid w:val="009933D5"/>
    <w:rsid w:val="009A0630"/>
    <w:rsid w:val="009A7256"/>
    <w:rsid w:val="009B14CF"/>
    <w:rsid w:val="009B3869"/>
    <w:rsid w:val="009B5AE6"/>
    <w:rsid w:val="009C095F"/>
    <w:rsid w:val="009C428E"/>
    <w:rsid w:val="009C5560"/>
    <w:rsid w:val="009C7CEA"/>
    <w:rsid w:val="009D3B9B"/>
    <w:rsid w:val="009E0C22"/>
    <w:rsid w:val="009E1832"/>
    <w:rsid w:val="009E443F"/>
    <w:rsid w:val="009E5231"/>
    <w:rsid w:val="009F540F"/>
    <w:rsid w:val="009F5C8D"/>
    <w:rsid w:val="00A01645"/>
    <w:rsid w:val="00A0322A"/>
    <w:rsid w:val="00A0659C"/>
    <w:rsid w:val="00A24988"/>
    <w:rsid w:val="00A305A0"/>
    <w:rsid w:val="00A345A2"/>
    <w:rsid w:val="00A41980"/>
    <w:rsid w:val="00A428C1"/>
    <w:rsid w:val="00A52334"/>
    <w:rsid w:val="00A55BEB"/>
    <w:rsid w:val="00A60962"/>
    <w:rsid w:val="00A61522"/>
    <w:rsid w:val="00A675F0"/>
    <w:rsid w:val="00A67A46"/>
    <w:rsid w:val="00A72E47"/>
    <w:rsid w:val="00A74139"/>
    <w:rsid w:val="00A75F59"/>
    <w:rsid w:val="00A87906"/>
    <w:rsid w:val="00AA0A4C"/>
    <w:rsid w:val="00AA421A"/>
    <w:rsid w:val="00AA5C57"/>
    <w:rsid w:val="00AB1F03"/>
    <w:rsid w:val="00AB4FBA"/>
    <w:rsid w:val="00AB5956"/>
    <w:rsid w:val="00AB6D76"/>
    <w:rsid w:val="00AC2E88"/>
    <w:rsid w:val="00AC43B1"/>
    <w:rsid w:val="00AD3892"/>
    <w:rsid w:val="00AD417D"/>
    <w:rsid w:val="00AD4F70"/>
    <w:rsid w:val="00AD6E10"/>
    <w:rsid w:val="00AE05B6"/>
    <w:rsid w:val="00AE3B42"/>
    <w:rsid w:val="00AF2A83"/>
    <w:rsid w:val="00AF490F"/>
    <w:rsid w:val="00AF520B"/>
    <w:rsid w:val="00B05ACC"/>
    <w:rsid w:val="00B203D0"/>
    <w:rsid w:val="00B23C9D"/>
    <w:rsid w:val="00B40499"/>
    <w:rsid w:val="00B41748"/>
    <w:rsid w:val="00B42EB9"/>
    <w:rsid w:val="00B433A2"/>
    <w:rsid w:val="00B44377"/>
    <w:rsid w:val="00B474CB"/>
    <w:rsid w:val="00B51B27"/>
    <w:rsid w:val="00B5255D"/>
    <w:rsid w:val="00B5754A"/>
    <w:rsid w:val="00B6143F"/>
    <w:rsid w:val="00B61F6F"/>
    <w:rsid w:val="00B646CD"/>
    <w:rsid w:val="00B64FEB"/>
    <w:rsid w:val="00B66089"/>
    <w:rsid w:val="00B66E42"/>
    <w:rsid w:val="00B67EF7"/>
    <w:rsid w:val="00B71854"/>
    <w:rsid w:val="00B92573"/>
    <w:rsid w:val="00B9341F"/>
    <w:rsid w:val="00BA0FE2"/>
    <w:rsid w:val="00BA161C"/>
    <w:rsid w:val="00BB446A"/>
    <w:rsid w:val="00BB6BFC"/>
    <w:rsid w:val="00BC08C5"/>
    <w:rsid w:val="00BC357F"/>
    <w:rsid w:val="00BC5BD2"/>
    <w:rsid w:val="00BD0C2B"/>
    <w:rsid w:val="00BD2093"/>
    <w:rsid w:val="00BD4229"/>
    <w:rsid w:val="00BD65D3"/>
    <w:rsid w:val="00BE5EED"/>
    <w:rsid w:val="00BE7BF6"/>
    <w:rsid w:val="00C02239"/>
    <w:rsid w:val="00C04E00"/>
    <w:rsid w:val="00C10F2F"/>
    <w:rsid w:val="00C1610E"/>
    <w:rsid w:val="00C16578"/>
    <w:rsid w:val="00C20A58"/>
    <w:rsid w:val="00C22B29"/>
    <w:rsid w:val="00C22C74"/>
    <w:rsid w:val="00C266EF"/>
    <w:rsid w:val="00C34B4F"/>
    <w:rsid w:val="00C37569"/>
    <w:rsid w:val="00C461B2"/>
    <w:rsid w:val="00C47AD4"/>
    <w:rsid w:val="00C62904"/>
    <w:rsid w:val="00C652F8"/>
    <w:rsid w:val="00C73D60"/>
    <w:rsid w:val="00C76888"/>
    <w:rsid w:val="00C77521"/>
    <w:rsid w:val="00C77D65"/>
    <w:rsid w:val="00C918E6"/>
    <w:rsid w:val="00C939B6"/>
    <w:rsid w:val="00CA32FC"/>
    <w:rsid w:val="00CA6EA5"/>
    <w:rsid w:val="00CA7378"/>
    <w:rsid w:val="00CB0572"/>
    <w:rsid w:val="00CB17E9"/>
    <w:rsid w:val="00CB5165"/>
    <w:rsid w:val="00CD6D41"/>
    <w:rsid w:val="00CE00BD"/>
    <w:rsid w:val="00CE03F4"/>
    <w:rsid w:val="00CF5F23"/>
    <w:rsid w:val="00D0002D"/>
    <w:rsid w:val="00D016E7"/>
    <w:rsid w:val="00D116B3"/>
    <w:rsid w:val="00D12C60"/>
    <w:rsid w:val="00D176C2"/>
    <w:rsid w:val="00D2355B"/>
    <w:rsid w:val="00D34029"/>
    <w:rsid w:val="00D35F5D"/>
    <w:rsid w:val="00D37F1A"/>
    <w:rsid w:val="00D406C5"/>
    <w:rsid w:val="00D43031"/>
    <w:rsid w:val="00D50711"/>
    <w:rsid w:val="00D5162B"/>
    <w:rsid w:val="00D53086"/>
    <w:rsid w:val="00D53368"/>
    <w:rsid w:val="00D560BA"/>
    <w:rsid w:val="00D62E9D"/>
    <w:rsid w:val="00D63A11"/>
    <w:rsid w:val="00D647CC"/>
    <w:rsid w:val="00D657A3"/>
    <w:rsid w:val="00D65CF5"/>
    <w:rsid w:val="00D70B78"/>
    <w:rsid w:val="00D755E9"/>
    <w:rsid w:val="00D75D3A"/>
    <w:rsid w:val="00D76058"/>
    <w:rsid w:val="00D77233"/>
    <w:rsid w:val="00D8213E"/>
    <w:rsid w:val="00D905F3"/>
    <w:rsid w:val="00DA215F"/>
    <w:rsid w:val="00DA4A3C"/>
    <w:rsid w:val="00DA7F5A"/>
    <w:rsid w:val="00DB2036"/>
    <w:rsid w:val="00DB2EA5"/>
    <w:rsid w:val="00DC123A"/>
    <w:rsid w:val="00DC34AB"/>
    <w:rsid w:val="00DC364F"/>
    <w:rsid w:val="00DD0818"/>
    <w:rsid w:val="00DD13E8"/>
    <w:rsid w:val="00DD1C76"/>
    <w:rsid w:val="00DD2FE3"/>
    <w:rsid w:val="00DD3029"/>
    <w:rsid w:val="00DE3B49"/>
    <w:rsid w:val="00DE51F0"/>
    <w:rsid w:val="00DE7F04"/>
    <w:rsid w:val="00DF0941"/>
    <w:rsid w:val="00DF5F45"/>
    <w:rsid w:val="00E05575"/>
    <w:rsid w:val="00E05670"/>
    <w:rsid w:val="00E167C5"/>
    <w:rsid w:val="00E1750F"/>
    <w:rsid w:val="00E24EFE"/>
    <w:rsid w:val="00E25638"/>
    <w:rsid w:val="00E2717D"/>
    <w:rsid w:val="00E43D56"/>
    <w:rsid w:val="00E50251"/>
    <w:rsid w:val="00E51525"/>
    <w:rsid w:val="00E5371F"/>
    <w:rsid w:val="00E630E4"/>
    <w:rsid w:val="00E75A4F"/>
    <w:rsid w:val="00E766EE"/>
    <w:rsid w:val="00E820F5"/>
    <w:rsid w:val="00E841A9"/>
    <w:rsid w:val="00E86FF0"/>
    <w:rsid w:val="00E873C4"/>
    <w:rsid w:val="00E92452"/>
    <w:rsid w:val="00E97730"/>
    <w:rsid w:val="00EA57C3"/>
    <w:rsid w:val="00EC0DC4"/>
    <w:rsid w:val="00EC6F8D"/>
    <w:rsid w:val="00ED56A0"/>
    <w:rsid w:val="00ED6C8D"/>
    <w:rsid w:val="00EE0117"/>
    <w:rsid w:val="00EE291C"/>
    <w:rsid w:val="00EF3E21"/>
    <w:rsid w:val="00EF4ECD"/>
    <w:rsid w:val="00EF749B"/>
    <w:rsid w:val="00F013EF"/>
    <w:rsid w:val="00F05333"/>
    <w:rsid w:val="00F14DAF"/>
    <w:rsid w:val="00F259B1"/>
    <w:rsid w:val="00F365D4"/>
    <w:rsid w:val="00F373AC"/>
    <w:rsid w:val="00F37B47"/>
    <w:rsid w:val="00F4653F"/>
    <w:rsid w:val="00F54F7D"/>
    <w:rsid w:val="00F653A6"/>
    <w:rsid w:val="00F66A4E"/>
    <w:rsid w:val="00F6718E"/>
    <w:rsid w:val="00F73647"/>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433A"/>
    <w:rsid w:val="00FD6131"/>
    <w:rsid w:val="00FD6EC7"/>
    <w:rsid w:val="00FE158C"/>
    <w:rsid w:val="00FF1826"/>
    <w:rsid w:val="00FF1B2C"/>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E167C5"/>
  </w:style>
  <w:style w:type="paragraph" w:customStyle="1" w:styleId="xl33">
    <w:name w:val="xl33"/>
    <w:basedOn w:val="Normalny"/>
    <w:rsid w:val="001F29F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E167C5"/>
  </w:style>
  <w:style w:type="paragraph" w:customStyle="1" w:styleId="xl33">
    <w:name w:val="xl33"/>
    <w:basedOn w:val="Normalny"/>
    <w:rsid w:val="001F29F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43891202">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52660333">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0121-7E01-4356-BE65-335DD4D7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9111</Words>
  <Characters>54667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3</cp:revision>
  <cp:lastPrinted>2015-12-18T10:06:00Z</cp:lastPrinted>
  <dcterms:created xsi:type="dcterms:W3CDTF">2016-04-29T07:52:00Z</dcterms:created>
  <dcterms:modified xsi:type="dcterms:W3CDTF">2016-04-29T07:53:00Z</dcterms:modified>
</cp:coreProperties>
</file>