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61" w:rsidRPr="000E0CEB" w:rsidRDefault="00C84E25">
      <w:pPr>
        <w:pStyle w:val="Gwka"/>
        <w:spacing w:before="120" w:after="120" w:line="240" w:lineRule="auto"/>
        <w:jc w:val="both"/>
        <w:rPr>
          <w:rFonts w:asciiTheme="minorHAnsi" w:hAnsiTheme="minorHAnsi"/>
          <w:b/>
          <w:szCs w:val="22"/>
          <w:highlight w:val="yellow"/>
        </w:rPr>
      </w:pPr>
      <w:r w:rsidRPr="00C84E25">
        <w:rPr>
          <w:rFonts w:asciiTheme="minorHAnsi" w:hAnsiTheme="minorHAnsi"/>
          <w:noProof/>
        </w:rPr>
        <w:pict>
          <v:group id="Grupa 17" o:spid="_x0000_s1026" style="position:absolute;left:0;text-align:left;margin-left:49pt;margin-top:32pt;width:497.3pt;height:65.3pt;z-index:-251658240;mso-wrap-distance-left:0;mso-wrap-distance-right:0;mso-wrap-distance-bottom:10pt;mso-position-horizontal-relative:page;mso-position-vertical-relative:page" coordsize="63157,8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YsAAAAAAAAAAAAp2ZWN0b3JEYXRhYm9vbAEAAAAAUGdQc2VudW0AAAAA&#10;UGdQcwAAAABQZ1BDAAAAAExlZnRVbnRGI1JsdAAAAAAAAAAAAAAAAFRvcCBVbnRGI1JsdAAAAAAA&#10;AAAAAAAAAFNjbCBVbnRGI1ByY0BZAAAAAAAAOEJJTQPtAAAAAAAQAJYAAAABAAIAlg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QAAAAAFJnaHRsb25nAAAB4Q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I4QklNBAwAAAAACokAAAABAAAAoAAA&#10;ADAAAAHgAABaAAAACm0AGAAB/9j/7QAMQWRvYmVfQ00AAf/uAA5BZG9iZQBkgAAAAAH/2wCEAAwI&#10;CAgJCAwJCQwRCwoLERUPDAwPFRgTExUTExgRDAwMDAwMEQwMDAwMDAwMDAwMDAwMDAwMDAwMDAwM&#10;DAwMDAwBDQsLDQ4NEA4OEBQODg4UFA4ODg4UEQwMDAwMEREMDAwMDAwRDAwMDAwMDAwMDAwMDAwM&#10;DAwMDAwMDAwMDAwMDP/AABEIAD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8;height:8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fRTDAAAA2gAAAA8AAABkcnMvZG93bnJldi54bWxEj0+LwjAUxO/CfofwhL1pqiwiXaOIsOpF&#10;8c8ePD6aZ1NtXmoTtfrpjbCwx2FmfsOMJo0txY1qXzhW0OsmIIgzpwvOFfzufzpDED4gaywdk4IH&#10;eZiMP1ojTLW785Zuu5CLCGGfogITQpVK6TNDFn3XVcTRO7raYoiyzqWu8R7htpT9JBlIiwXHBYMV&#10;zQxl593VKvDr1emyOByfq/38/GX0YdO7DHOlPtvN9BtEoCb8h//aS62gD+8r8QbI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19FMMAAADaAAAADwAAAAAAAAAAAAAAAACf&#10;AgAAZHJzL2Rvd25yZXYueG1sUEsFBgAAAAAEAAQA9wAAAI8DAAAAAA==&#10;">
              <v:imagedata r:id="rId21" o:title=""/>
            </v:shape>
            <v:shape id="Obraz 6" o:spid="_x0000_s1028" type="#_x0000_t75" style="position:absolute;left:22860;top:1904;width:12859;height:46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v4W++AAAA2gAAAA8AAABkcnMvZG93bnJldi54bWxEj8EKwjAQRO+C/xBW8CKaVlGkGkUEwYsH&#10;qwePS7O21WZTmqj1740geBxm5g2zXLemEk9qXGlZQTyKQBBnVpecKzifdsM5COeRNVaWScGbHKxX&#10;3c4SE21ffKRn6nMRIOwSVFB4XydSuqwgg25ka+LgXW1j0AfZ5FI3+ApwU8lxFM2kwZLDQoE1bQvK&#10;7unDKLjFNB2cd47bONVmlu/t/DC9KNXvtZsFCE+t/4d/7b1WMIHvlXA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wv4W++AAAA2gAAAA8AAAAAAAAAAAAAAAAAnwIAAGRy&#10;cy9kb3ducmV2LnhtbFBLBQYAAAAABAAEAPcAAACKAwAAAAA=&#10;">
              <v:imagedata r:id="rId22" o:title=""/>
            </v:shape>
            <v:shape id="Obraz 12" o:spid="_x0000_s1029" type="#_x0000_t75" style="position:absolute;left:41529;top:1238;width:21622;height:6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qp7fEAAAA2gAAAA8AAABkcnMvZG93bnJldi54bWxEj91qwkAUhO8F32E5Qu90Y5FSo6uIVCmF&#10;Iv6Cd8fsMYlmz8bsVqNP3y0UvBxm5htmOK5NIa5Uudyygm4nAkGcWJ1zqmCznrXfQTiPrLGwTAru&#10;5GA8ajaGGGt74yVdVz4VAcIuRgWZ92UspUsyMug6tiQO3tFWBn2QVSp1hbcAN4V8jaI3aTDnsJBh&#10;SdOMkvPqxyjYHU7pcvv10d/PJ1P85sXjgvuHUi+tejIA4an2z/B/+1Mr6MHflXAD5Og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qp7fEAAAA2gAAAA8AAAAAAAAAAAAAAAAA&#10;nwIAAGRycy9kb3ducmV2LnhtbFBLBQYAAAAABAAEAPcAAACQAwAAAAA=&#10;">
              <v:imagedata r:id="rId23" o:title=""/>
            </v:shape>
            <w10:wrap anchorx="page" anchory="page"/>
          </v:group>
        </w:pict>
      </w:r>
    </w:p>
    <w:p w:rsidR="00471B61" w:rsidRPr="000E0CEB" w:rsidRDefault="00471B61">
      <w:pPr>
        <w:pStyle w:val="Gwka"/>
        <w:spacing w:before="120" w:after="120" w:line="240" w:lineRule="auto"/>
        <w:jc w:val="center"/>
        <w:rPr>
          <w:rFonts w:asciiTheme="minorHAnsi" w:hAnsiTheme="minorHAnsi"/>
          <w:b/>
          <w:szCs w:val="22"/>
          <w:highlight w:val="yellow"/>
        </w:rPr>
      </w:pPr>
    </w:p>
    <w:p w:rsidR="00471B61" w:rsidRPr="000E0CEB" w:rsidRDefault="00471B61">
      <w:pPr>
        <w:pStyle w:val="Gwka"/>
        <w:spacing w:before="120" w:after="120" w:line="240" w:lineRule="auto"/>
        <w:jc w:val="center"/>
        <w:rPr>
          <w:rFonts w:asciiTheme="minorHAnsi" w:hAnsiTheme="minorHAnsi"/>
          <w:b/>
          <w:szCs w:val="22"/>
          <w:highlight w:val="yellow"/>
        </w:rPr>
      </w:pPr>
    </w:p>
    <w:p w:rsidR="00471B61" w:rsidRPr="000E0CEB" w:rsidRDefault="00471B61">
      <w:pPr>
        <w:pStyle w:val="Gwka"/>
        <w:spacing w:before="120" w:after="120" w:line="240" w:lineRule="auto"/>
        <w:jc w:val="center"/>
        <w:rPr>
          <w:rFonts w:asciiTheme="minorHAnsi" w:hAnsiTheme="minorHAnsi" w:cs="Arial"/>
          <w:b/>
          <w:szCs w:val="22"/>
          <w:highlight w:val="yellow"/>
        </w:rPr>
      </w:pPr>
    </w:p>
    <w:p w:rsidR="00471B61" w:rsidRPr="000E0CEB" w:rsidRDefault="00471B61">
      <w:pPr>
        <w:pStyle w:val="Gwka"/>
        <w:spacing w:before="120" w:after="120" w:line="240" w:lineRule="auto"/>
        <w:jc w:val="center"/>
        <w:rPr>
          <w:rFonts w:asciiTheme="minorHAnsi" w:hAnsiTheme="minorHAnsi"/>
          <w:b/>
          <w:szCs w:val="22"/>
          <w:highlight w:val="yellow"/>
        </w:rPr>
      </w:pPr>
    </w:p>
    <w:p w:rsidR="00471B61" w:rsidRPr="000E0CEB" w:rsidRDefault="00471B61">
      <w:pPr>
        <w:pStyle w:val="Gwka"/>
        <w:spacing w:before="120" w:after="120" w:line="240" w:lineRule="auto"/>
        <w:jc w:val="center"/>
        <w:rPr>
          <w:rFonts w:asciiTheme="minorHAnsi" w:hAnsiTheme="minorHAnsi" w:cs="Arial"/>
          <w:b/>
          <w:szCs w:val="22"/>
        </w:rPr>
      </w:pP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szCs w:val="22"/>
        </w:rPr>
        <w:t>Regulamin konkursu</w:t>
      </w:r>
    </w:p>
    <w:p w:rsidR="00471B61" w:rsidRPr="000E0CEB" w:rsidRDefault="00471B61">
      <w:pPr>
        <w:pStyle w:val="Gwka"/>
        <w:spacing w:before="120" w:after="120" w:line="240" w:lineRule="auto"/>
        <w:jc w:val="center"/>
        <w:rPr>
          <w:rFonts w:asciiTheme="minorHAnsi" w:hAnsiTheme="minorHAnsi" w:cs="Arial"/>
          <w:szCs w:val="22"/>
        </w:rPr>
      </w:pPr>
    </w:p>
    <w:p w:rsidR="00471B61" w:rsidRPr="000E0CEB" w:rsidRDefault="00471B61">
      <w:pPr>
        <w:pStyle w:val="Gwka"/>
        <w:spacing w:before="120" w:after="120" w:line="240" w:lineRule="auto"/>
        <w:jc w:val="center"/>
        <w:rPr>
          <w:rFonts w:asciiTheme="minorHAnsi" w:hAnsiTheme="minorHAnsi" w:cs="Arial"/>
          <w:szCs w:val="22"/>
        </w:rPr>
      </w:pPr>
    </w:p>
    <w:p w:rsidR="00471B61" w:rsidRPr="000E0CEB" w:rsidRDefault="00477DF1">
      <w:pPr>
        <w:pStyle w:val="Gwka"/>
        <w:spacing w:before="120" w:after="120" w:line="240" w:lineRule="auto"/>
        <w:jc w:val="center"/>
        <w:rPr>
          <w:rFonts w:asciiTheme="minorHAnsi" w:hAnsiTheme="minorHAnsi" w:cs="Arial"/>
          <w:szCs w:val="22"/>
        </w:rPr>
      </w:pPr>
      <w:r w:rsidRPr="000E0CEB">
        <w:rPr>
          <w:rFonts w:asciiTheme="minorHAnsi" w:hAnsiTheme="minorHAnsi" w:cs="Arial"/>
          <w:szCs w:val="22"/>
        </w:rPr>
        <w:t xml:space="preserve">Regionalny Program Operacyjny </w:t>
      </w:r>
      <w:r w:rsidRPr="000E0CEB">
        <w:rPr>
          <w:rFonts w:asciiTheme="minorHAnsi" w:hAnsiTheme="minorHAnsi" w:cs="Arial"/>
          <w:szCs w:val="22"/>
        </w:rPr>
        <w:br/>
        <w:t>Województwa Dolnośląskiego 2014-2020</w:t>
      </w:r>
    </w:p>
    <w:p w:rsidR="00471B61" w:rsidRPr="000E0CEB" w:rsidRDefault="00471B61">
      <w:pPr>
        <w:pStyle w:val="Gwka"/>
        <w:spacing w:before="120" w:after="120" w:line="240" w:lineRule="auto"/>
        <w:jc w:val="center"/>
        <w:rPr>
          <w:rFonts w:asciiTheme="minorHAnsi" w:hAnsiTheme="minorHAnsi" w:cs="Arial"/>
          <w:szCs w:val="22"/>
        </w:rPr>
      </w:pP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szCs w:val="22"/>
        </w:rPr>
        <w:t>Oś priorytetowa 10</w:t>
      </w:r>
    </w:p>
    <w:p w:rsidR="00471B61" w:rsidRPr="000E0CEB" w:rsidRDefault="00471B61">
      <w:pPr>
        <w:pStyle w:val="Gwka"/>
        <w:spacing w:before="120" w:after="120" w:line="240" w:lineRule="auto"/>
        <w:jc w:val="center"/>
        <w:rPr>
          <w:rFonts w:asciiTheme="minorHAnsi" w:hAnsiTheme="minorHAnsi" w:cs="Arial"/>
          <w:b/>
          <w:szCs w:val="22"/>
        </w:rPr>
      </w:pP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szCs w:val="22"/>
        </w:rPr>
        <w:t>Edukacja</w:t>
      </w:r>
    </w:p>
    <w:p w:rsidR="00471B61" w:rsidRPr="000E0CEB" w:rsidRDefault="00471B61">
      <w:pPr>
        <w:pStyle w:val="Gwka"/>
        <w:spacing w:before="120" w:after="120" w:line="240" w:lineRule="auto"/>
        <w:jc w:val="center"/>
        <w:rPr>
          <w:rFonts w:asciiTheme="minorHAnsi" w:hAnsiTheme="minorHAnsi" w:cs="Arial"/>
          <w:szCs w:val="22"/>
        </w:rPr>
      </w:pPr>
    </w:p>
    <w:p w:rsidR="00471B61" w:rsidRPr="000E0CEB" w:rsidRDefault="00471B61">
      <w:pPr>
        <w:pStyle w:val="Gwka"/>
        <w:spacing w:before="120" w:after="120" w:line="240" w:lineRule="auto"/>
        <w:jc w:val="center"/>
        <w:rPr>
          <w:rFonts w:asciiTheme="minorHAnsi" w:hAnsiTheme="minorHAnsi" w:cs="Arial"/>
          <w:szCs w:val="22"/>
        </w:rPr>
      </w:pPr>
    </w:p>
    <w:p w:rsidR="00471B61" w:rsidRPr="000E0CEB" w:rsidRDefault="00471B61">
      <w:pPr>
        <w:pStyle w:val="Gwka"/>
        <w:spacing w:before="120" w:after="120" w:line="240" w:lineRule="auto"/>
        <w:jc w:val="center"/>
        <w:rPr>
          <w:rFonts w:asciiTheme="minorHAnsi" w:hAnsiTheme="minorHAnsi" w:cs="Arial"/>
          <w:b/>
          <w:szCs w:val="22"/>
        </w:rPr>
      </w:pPr>
    </w:p>
    <w:p w:rsidR="00471B61" w:rsidRPr="000E0CEB" w:rsidRDefault="00477DF1">
      <w:pPr>
        <w:pStyle w:val="Gwka"/>
        <w:spacing w:before="120" w:after="120" w:line="240" w:lineRule="auto"/>
        <w:jc w:val="center"/>
        <w:rPr>
          <w:rFonts w:asciiTheme="minorHAnsi" w:hAnsiTheme="minorHAnsi" w:cs="Arial"/>
          <w:b/>
          <w:szCs w:val="22"/>
        </w:rPr>
      </w:pPr>
      <w:bookmarkStart w:id="0" w:name="_Toc430826812"/>
      <w:bookmarkStart w:id="1" w:name="_Toc422949625"/>
      <w:bookmarkEnd w:id="0"/>
      <w:bookmarkEnd w:id="1"/>
      <w:r w:rsidRPr="000E0CEB">
        <w:rPr>
          <w:rFonts w:asciiTheme="minorHAnsi" w:hAnsiTheme="minorHAnsi" w:cs="Arial"/>
          <w:b/>
          <w:szCs w:val="22"/>
        </w:rPr>
        <w:t>Działanie 10.2</w:t>
      </w: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szCs w:val="22"/>
        </w:rPr>
        <w:t xml:space="preserve">Zapewnienie równego dostępu do wysokiej jakości edukacji podstawowej, gimnazjalnej i ponadgimnazjalnej </w:t>
      </w:r>
    </w:p>
    <w:p w:rsidR="00471B61" w:rsidRPr="000E0CEB" w:rsidRDefault="00471B61">
      <w:pPr>
        <w:pStyle w:val="Gwka"/>
        <w:spacing w:before="120" w:after="120" w:line="240" w:lineRule="auto"/>
        <w:jc w:val="center"/>
        <w:rPr>
          <w:rFonts w:asciiTheme="minorHAnsi" w:hAnsiTheme="minorHAnsi" w:cs="Arial"/>
          <w:b/>
          <w:szCs w:val="22"/>
        </w:rPr>
      </w:pP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szCs w:val="22"/>
        </w:rPr>
        <w:t>Poddziałanie 10.2.3 – ZIT AJ</w:t>
      </w:r>
    </w:p>
    <w:p w:rsidR="00471B61" w:rsidRPr="000E0CEB" w:rsidRDefault="00477DF1">
      <w:pPr>
        <w:pStyle w:val="Gwka"/>
        <w:spacing w:before="120" w:after="120" w:line="240" w:lineRule="auto"/>
        <w:jc w:val="center"/>
        <w:rPr>
          <w:rFonts w:asciiTheme="minorHAnsi" w:hAnsiTheme="minorHAnsi" w:cs="Arial"/>
          <w:i/>
          <w:szCs w:val="22"/>
          <w:u w:val="single"/>
        </w:rPr>
      </w:pPr>
      <w:r w:rsidRPr="000E0CEB">
        <w:rPr>
          <w:rFonts w:asciiTheme="minorHAnsi" w:hAnsiTheme="minorHAnsi" w:cs="Arial"/>
          <w:b/>
          <w:szCs w:val="22"/>
        </w:rPr>
        <w:t>Zapewnienie równego dostępu do wysokiej jakości edukacji podstawowej, gimnazjalnej i ponadgimnazjalnej</w:t>
      </w:r>
    </w:p>
    <w:p w:rsidR="00471B61" w:rsidRPr="000E0CEB" w:rsidRDefault="00471B61">
      <w:pPr>
        <w:pStyle w:val="Gwka"/>
        <w:spacing w:before="120" w:after="120" w:line="240" w:lineRule="auto"/>
        <w:jc w:val="center"/>
        <w:rPr>
          <w:rFonts w:asciiTheme="minorHAnsi" w:hAnsiTheme="minorHAnsi" w:cs="Arial"/>
          <w:i/>
          <w:szCs w:val="22"/>
          <w:u w:val="single"/>
        </w:rPr>
      </w:pPr>
    </w:p>
    <w:p w:rsidR="00471B61" w:rsidRPr="000E0CEB" w:rsidRDefault="00471B61">
      <w:pPr>
        <w:pStyle w:val="Gwka"/>
        <w:spacing w:before="120" w:after="120" w:line="240" w:lineRule="auto"/>
        <w:jc w:val="center"/>
        <w:rPr>
          <w:rFonts w:asciiTheme="minorHAnsi" w:hAnsiTheme="minorHAnsi" w:cs="Arial"/>
          <w:i/>
          <w:szCs w:val="22"/>
          <w:u w:val="single"/>
        </w:rPr>
      </w:pPr>
    </w:p>
    <w:p w:rsidR="00471B61" w:rsidRPr="000E0CEB" w:rsidRDefault="00471B61">
      <w:pPr>
        <w:pStyle w:val="Gwka"/>
        <w:spacing w:before="120" w:after="120" w:line="240" w:lineRule="auto"/>
        <w:jc w:val="center"/>
        <w:rPr>
          <w:rFonts w:asciiTheme="minorHAnsi" w:hAnsiTheme="minorHAnsi" w:cs="Arial"/>
          <w:i/>
          <w:szCs w:val="22"/>
          <w:u w:val="single"/>
        </w:rPr>
      </w:pPr>
    </w:p>
    <w:p w:rsidR="00471B61" w:rsidRPr="000E0CEB" w:rsidRDefault="00471B61">
      <w:pPr>
        <w:pStyle w:val="Gwka"/>
        <w:spacing w:before="120" w:after="120" w:line="240" w:lineRule="auto"/>
        <w:jc w:val="center"/>
        <w:rPr>
          <w:rFonts w:asciiTheme="minorHAnsi" w:hAnsiTheme="minorHAnsi" w:cs="Arial"/>
          <w:i/>
          <w:szCs w:val="22"/>
          <w:u w:val="single"/>
        </w:rPr>
      </w:pPr>
    </w:p>
    <w:p w:rsidR="00471B61" w:rsidRPr="000E0CEB" w:rsidRDefault="00477DF1">
      <w:pPr>
        <w:pStyle w:val="Gwka"/>
        <w:spacing w:before="120" w:after="120" w:line="240" w:lineRule="auto"/>
        <w:jc w:val="center"/>
        <w:rPr>
          <w:rFonts w:asciiTheme="minorHAnsi" w:hAnsiTheme="minorHAnsi" w:cs="Arial"/>
          <w:b/>
          <w:szCs w:val="22"/>
        </w:rPr>
      </w:pPr>
      <w:r w:rsidRPr="000E0CEB">
        <w:rPr>
          <w:rFonts w:asciiTheme="minorHAnsi" w:hAnsiTheme="minorHAnsi" w:cs="Arial"/>
          <w:b/>
          <w:i/>
          <w:szCs w:val="22"/>
          <w:u w:val="single"/>
        </w:rPr>
        <w:t>Konkurs nr:RPDS.10.02.03-IZ.00-02-055/16</w:t>
      </w:r>
    </w:p>
    <w:p w:rsidR="00471B61" w:rsidRPr="000E0CEB" w:rsidRDefault="00477DF1">
      <w:pPr>
        <w:spacing w:before="120" w:after="120" w:line="240" w:lineRule="auto"/>
        <w:rPr>
          <w:rFonts w:asciiTheme="minorHAnsi" w:hAnsiTheme="minorHAnsi"/>
          <w:i/>
          <w:szCs w:val="22"/>
        </w:rPr>
      </w:pPr>
      <w:r w:rsidRPr="000E0CEB">
        <w:rPr>
          <w:rFonts w:asciiTheme="minorHAnsi" w:hAnsiTheme="minorHAnsi"/>
        </w:rPr>
        <w:br w:type="page"/>
      </w:r>
    </w:p>
    <w:p w:rsidR="00935A9F" w:rsidRPr="000E0CEB" w:rsidRDefault="00935A9F" w:rsidP="00F6483D">
      <w:pPr>
        <w:pStyle w:val="Spistreci1"/>
        <w:rPr>
          <w:rFonts w:asciiTheme="minorHAnsi" w:hAnsiTheme="minorHAnsi"/>
        </w:rPr>
      </w:pPr>
    </w:p>
    <w:bookmarkStart w:id="2" w:name="_Toc441241671" w:displacedByCustomXml="next"/>
    <w:sdt>
      <w:sdtPr>
        <w:rPr>
          <w:rFonts w:asciiTheme="minorHAnsi" w:eastAsia="Times New Roman" w:hAnsiTheme="minorHAnsi" w:cs="Times New Roman"/>
          <w:b w:val="0"/>
          <w:bCs w:val="0"/>
          <w:color w:val="auto"/>
          <w:sz w:val="22"/>
          <w:szCs w:val="20"/>
          <w:lang w:eastAsia="pl-PL"/>
        </w:rPr>
        <w:id w:val="27653611"/>
        <w:docPartObj>
          <w:docPartGallery w:val="Table of Contents"/>
          <w:docPartUnique/>
        </w:docPartObj>
      </w:sdtPr>
      <w:sdtEndPr>
        <w:rPr>
          <w:szCs w:val="22"/>
        </w:rPr>
      </w:sdtEndPr>
      <w:sdtContent>
        <w:p w:rsidR="00935A9F" w:rsidRPr="000E0CEB" w:rsidRDefault="00935A9F" w:rsidP="00935A9F">
          <w:pPr>
            <w:pStyle w:val="Nagwekspisutreci"/>
            <w:spacing w:before="0" w:line="240" w:lineRule="auto"/>
            <w:rPr>
              <w:rFonts w:asciiTheme="minorHAnsi" w:hAnsiTheme="minorHAnsi"/>
              <w:sz w:val="22"/>
              <w:szCs w:val="22"/>
            </w:rPr>
          </w:pPr>
          <w:r w:rsidRPr="000E0CEB">
            <w:rPr>
              <w:rFonts w:asciiTheme="minorHAnsi" w:hAnsiTheme="minorHAnsi"/>
              <w:sz w:val="22"/>
              <w:szCs w:val="22"/>
            </w:rPr>
            <w:t>Spis treści</w:t>
          </w:r>
          <w:bookmarkEnd w:id="2"/>
        </w:p>
        <w:p w:rsidR="00935A9F" w:rsidRPr="000E0CEB" w:rsidRDefault="00C84E25" w:rsidP="00F6483D">
          <w:pPr>
            <w:pStyle w:val="Spistreci1"/>
            <w:rPr>
              <w:rFonts w:asciiTheme="minorHAnsi" w:eastAsiaTheme="minorEastAsia" w:hAnsiTheme="minorHAnsi" w:cstheme="minorBidi"/>
              <w:noProof/>
              <w:sz w:val="22"/>
              <w:szCs w:val="22"/>
            </w:rPr>
          </w:pPr>
          <w:r w:rsidRPr="000E0CEB">
            <w:rPr>
              <w:rFonts w:asciiTheme="minorHAnsi" w:hAnsiTheme="minorHAnsi"/>
              <w:sz w:val="22"/>
              <w:szCs w:val="22"/>
            </w:rPr>
            <w:fldChar w:fldCharType="begin"/>
          </w:r>
          <w:r w:rsidR="00935A9F" w:rsidRPr="000E0CEB">
            <w:rPr>
              <w:rFonts w:asciiTheme="minorHAnsi" w:hAnsiTheme="minorHAnsi"/>
              <w:sz w:val="22"/>
              <w:szCs w:val="22"/>
            </w:rPr>
            <w:instrText xml:space="preserve"> TOC \o "1-3" \h \z \u </w:instrText>
          </w:r>
          <w:r w:rsidRPr="000E0CEB">
            <w:rPr>
              <w:rFonts w:asciiTheme="minorHAnsi" w:hAnsiTheme="minorHAnsi"/>
              <w:sz w:val="22"/>
              <w:szCs w:val="22"/>
            </w:rPr>
            <w:fldChar w:fldCharType="separate"/>
          </w:r>
        </w:p>
        <w:p w:rsidR="00935A9F" w:rsidRPr="000E0CEB" w:rsidRDefault="00C84E25" w:rsidP="00F6483D">
          <w:pPr>
            <w:pStyle w:val="Spistreci1"/>
            <w:rPr>
              <w:rFonts w:asciiTheme="minorHAnsi" w:eastAsiaTheme="minorEastAsia" w:hAnsiTheme="minorHAnsi" w:cstheme="minorBidi"/>
              <w:noProof/>
              <w:sz w:val="22"/>
              <w:szCs w:val="22"/>
            </w:rPr>
          </w:pPr>
          <w:hyperlink w:anchor="_Toc441241672" w:history="1">
            <w:r w:rsidR="00935A9F" w:rsidRPr="000E0CEB">
              <w:rPr>
                <w:rStyle w:val="Hipercze"/>
                <w:rFonts w:asciiTheme="minorHAnsi" w:hAnsiTheme="minorHAnsi"/>
                <w:noProof/>
                <w:sz w:val="22"/>
                <w:szCs w:val="22"/>
              </w:rPr>
              <w:t>Słownik skrótów i pojęć</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_Toc441241672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3</w:t>
            </w:r>
            <w:r w:rsidRPr="000E0CEB">
              <w:rPr>
                <w:rFonts w:asciiTheme="minorHAnsi" w:hAnsiTheme="minorHAnsi"/>
                <w:noProof/>
                <w:webHidden/>
                <w:sz w:val="22"/>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673" w:history="1">
            <w:r w:rsidR="00935A9F" w:rsidRPr="000E0CEB">
              <w:rPr>
                <w:rStyle w:val="Hipercze"/>
                <w:rFonts w:asciiTheme="minorHAnsi" w:hAnsiTheme="minorHAnsi"/>
                <w:noProof/>
                <w:sz w:val="22"/>
                <w:szCs w:val="22"/>
              </w:rPr>
              <w:t>I.  Informacje ogólne</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_Toc441241673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6</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4" w:history="1">
            <w:r w:rsidR="00935A9F" w:rsidRPr="000E0CEB">
              <w:rPr>
                <w:rStyle w:val="Hipercze"/>
                <w:rFonts w:asciiTheme="minorHAnsi" w:hAnsiTheme="minorHAnsi"/>
                <w:noProof/>
                <w:szCs w:val="22"/>
              </w:rPr>
              <w:t>1. Regulamin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_Toc441241674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6</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5" w:history="1">
            <w:r w:rsidR="00935A9F" w:rsidRPr="000E0CEB">
              <w:rPr>
                <w:rStyle w:val="Hipercze"/>
                <w:rFonts w:asciiTheme="minorHAnsi" w:hAnsiTheme="minorHAnsi"/>
                <w:noProof/>
                <w:szCs w:val="22"/>
              </w:rPr>
              <w:t>2. Podstawy prawne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_Toc441241675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6</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6" w:history="1">
            <w:r w:rsidR="00935A9F" w:rsidRPr="000E0CEB">
              <w:rPr>
                <w:rStyle w:val="Hipercze"/>
                <w:rFonts w:asciiTheme="minorHAnsi" w:hAnsiTheme="minorHAnsi"/>
                <w:noProof/>
                <w:szCs w:val="22"/>
              </w:rPr>
              <w:t>3. Podstawowe informacje na temat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_Toc441241676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7" w:history="1">
            <w:r w:rsidR="00935A9F" w:rsidRPr="000E0CEB">
              <w:rPr>
                <w:rStyle w:val="Hipercze"/>
                <w:rFonts w:asciiTheme="minorHAnsi" w:hAnsiTheme="minorHAnsi"/>
                <w:noProof/>
                <w:szCs w:val="22"/>
              </w:rPr>
              <w:t>4.  Przedmiot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_Toc441241677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10</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8" w:history="1">
            <w:r w:rsidR="00935A9F" w:rsidRPr="000E0CEB">
              <w:rPr>
                <w:rStyle w:val="Hipercze"/>
                <w:rFonts w:asciiTheme="minorHAnsi" w:hAnsiTheme="minorHAnsi"/>
                <w:noProof/>
                <w:szCs w:val="22"/>
              </w:rPr>
              <w:t>5. Kwota środków przeznaczona na dofinansowanie projektów w ramach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_Toc441241678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19</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79" w:history="1">
            <w:r w:rsidR="00935A9F" w:rsidRPr="000E0CEB">
              <w:rPr>
                <w:rStyle w:val="Hipercze"/>
                <w:rFonts w:asciiTheme="minorHAnsi" w:hAnsiTheme="minorHAnsi"/>
                <w:noProof/>
                <w:szCs w:val="22"/>
              </w:rPr>
              <w:t>6. Realizacja zasad horyzontalnych</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_Toc441241679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19</w:t>
            </w:r>
            <w:r w:rsidRPr="000E0CEB">
              <w:rPr>
                <w:rFonts w:asciiTheme="minorHAnsi" w:hAnsiTheme="minorHAnsi"/>
                <w:noProof/>
                <w:webHidden/>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680" w:history="1">
            <w:r w:rsidR="00935A9F" w:rsidRPr="000E0CEB">
              <w:rPr>
                <w:rStyle w:val="Hipercze"/>
                <w:rFonts w:asciiTheme="minorHAnsi" w:hAnsiTheme="minorHAnsi"/>
                <w:noProof/>
                <w:szCs w:val="22"/>
              </w:rPr>
              <w:t>7. Zmiana regulaminu lub anulowanie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_Toc441241680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21</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681" w:history="1">
            <w:r w:rsidR="00935A9F" w:rsidRPr="000E0CEB">
              <w:rPr>
                <w:rStyle w:val="Hipercze"/>
                <w:rFonts w:asciiTheme="minorHAnsi" w:hAnsiTheme="minorHAnsi"/>
                <w:noProof/>
                <w:sz w:val="22"/>
                <w:szCs w:val="22"/>
              </w:rPr>
              <w:t>II.  Wymagania konkursowe</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_Toc441241681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22</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2" w:history="1">
            <w:r w:rsidR="00935A9F" w:rsidRPr="000E0CEB">
              <w:rPr>
                <w:rStyle w:val="Hipercze"/>
                <w:rFonts w:asciiTheme="minorHAnsi" w:hAnsiTheme="minorHAnsi"/>
                <w:noProof/>
                <w:szCs w:val="22"/>
              </w:rPr>
              <w:t>1.</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Podmioty uprawnione do ubiegania się o dofinansowanie projektu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_Toc441241682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22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3" w:history="1">
            <w:r w:rsidR="00935A9F" w:rsidRPr="000E0CEB">
              <w:rPr>
                <w:rStyle w:val="Hipercze"/>
                <w:rFonts w:asciiTheme="minorHAnsi" w:hAnsiTheme="minorHAnsi"/>
                <w:noProof/>
                <w:szCs w:val="22"/>
              </w:rPr>
              <w:t>2.</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Uczestnicy projektu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_Toc441241683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22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4" w:history="1">
            <w:r w:rsidR="00935A9F" w:rsidRPr="000E0CEB">
              <w:rPr>
                <w:rStyle w:val="Hipercze"/>
                <w:rFonts w:asciiTheme="minorHAnsi" w:hAnsiTheme="minorHAnsi"/>
                <w:noProof/>
                <w:szCs w:val="22"/>
              </w:rPr>
              <w:t>3.</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Okres realizacji projektu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_Toc441241684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23</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5" w:history="1">
            <w:r w:rsidR="00935A9F" w:rsidRPr="000E0CEB">
              <w:rPr>
                <w:rStyle w:val="Hipercze"/>
                <w:rFonts w:asciiTheme="minorHAnsi" w:hAnsiTheme="minorHAnsi"/>
                <w:noProof/>
                <w:szCs w:val="22"/>
              </w:rPr>
              <w:t>4.</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Wymagania w zakresie wskaźników w projekcie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_Toc441241685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23</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6" w:history="1">
            <w:r w:rsidR="00935A9F" w:rsidRPr="000E0CEB">
              <w:rPr>
                <w:rStyle w:val="Hipercze"/>
                <w:rFonts w:asciiTheme="minorHAnsi" w:hAnsiTheme="minorHAnsi"/>
                <w:noProof/>
                <w:szCs w:val="22"/>
              </w:rPr>
              <w:t>5.</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Wymagania w zakresie realizacji projektu partnerskiego</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_Toc441241686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30</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7" w:history="1">
            <w:r w:rsidR="00935A9F" w:rsidRPr="000E0CEB">
              <w:rPr>
                <w:rStyle w:val="Hipercze"/>
                <w:rFonts w:asciiTheme="minorHAnsi" w:hAnsiTheme="minorHAnsi"/>
                <w:noProof/>
                <w:szCs w:val="22"/>
              </w:rPr>
              <w:t>6.</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Zlecanie usług merytorycznych innym podmiotom</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_Toc441241687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31</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88" w:history="1">
            <w:r w:rsidR="00935A9F" w:rsidRPr="000E0CEB">
              <w:rPr>
                <w:rStyle w:val="Hipercze"/>
                <w:rFonts w:asciiTheme="minorHAnsi" w:hAnsiTheme="minorHAnsi"/>
                <w:noProof/>
                <w:szCs w:val="22"/>
              </w:rPr>
              <w:t>7.</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Umowa o dofinansowanie projektu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_Toc441241688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31</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689" w:history="1">
            <w:r w:rsidR="00935A9F" w:rsidRPr="000E0CEB">
              <w:rPr>
                <w:rStyle w:val="Hipercze"/>
                <w:rFonts w:asciiTheme="minorHAnsi" w:hAnsiTheme="minorHAnsi"/>
                <w:noProof/>
                <w:sz w:val="22"/>
                <w:szCs w:val="22"/>
              </w:rPr>
              <w:t>III. Podstawowe zasady udzielania finansowania</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_Toc441241689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33</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0" w:history="1">
            <w:r w:rsidR="00935A9F" w:rsidRPr="000E0CEB">
              <w:rPr>
                <w:rStyle w:val="Hipercze"/>
                <w:rFonts w:asciiTheme="minorHAnsi" w:hAnsiTheme="minorHAnsi"/>
                <w:noProof/>
                <w:szCs w:val="22"/>
              </w:rPr>
              <w:t>1.</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Informacje ogólne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_Toc441241690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33</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1" w:history="1">
            <w:r w:rsidR="00935A9F" w:rsidRPr="000E0CEB">
              <w:rPr>
                <w:rStyle w:val="Hipercze"/>
                <w:rFonts w:asciiTheme="minorHAnsi" w:hAnsiTheme="minorHAnsi"/>
                <w:noProof/>
                <w:szCs w:val="22"/>
              </w:rPr>
              <w:t>2.</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Wkład własny</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_Toc441241691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33</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2" w:history="1">
            <w:r w:rsidR="00935A9F" w:rsidRPr="000E0CEB">
              <w:rPr>
                <w:rStyle w:val="Hipercze"/>
                <w:rFonts w:asciiTheme="minorHAnsi" w:hAnsiTheme="minorHAnsi"/>
                <w:noProof/>
                <w:szCs w:val="22"/>
              </w:rPr>
              <w:t>3.</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Szczegółowy budżet projektu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_Toc441241692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34</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3" w:history="1">
            <w:r w:rsidR="00935A9F" w:rsidRPr="000E0CEB">
              <w:rPr>
                <w:rStyle w:val="Hipercze"/>
                <w:rFonts w:asciiTheme="minorHAnsi" w:hAnsiTheme="minorHAnsi"/>
                <w:noProof/>
                <w:szCs w:val="22"/>
              </w:rPr>
              <w:t>4.</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Podatek od towarów i usług (VAT)</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_Toc441241693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39</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4" w:history="1">
            <w:r w:rsidR="00935A9F" w:rsidRPr="000E0CEB">
              <w:rPr>
                <w:rStyle w:val="Hipercze"/>
                <w:rFonts w:asciiTheme="minorHAnsi" w:hAnsiTheme="minorHAnsi"/>
                <w:noProof/>
                <w:szCs w:val="22"/>
              </w:rPr>
              <w:t>5.</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Cross – financing</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_Toc441241694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39</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5" w:history="1">
            <w:r w:rsidR="00935A9F" w:rsidRPr="000E0CEB">
              <w:rPr>
                <w:rStyle w:val="Hipercze"/>
                <w:rFonts w:asciiTheme="minorHAnsi" w:hAnsiTheme="minorHAnsi"/>
                <w:noProof/>
                <w:szCs w:val="22"/>
              </w:rPr>
              <w:t>6.</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Zabezpieczenie prawidłowej realizacji umowy</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_Toc441241695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40</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6" w:history="1">
            <w:r w:rsidR="00935A9F" w:rsidRPr="000E0CEB">
              <w:rPr>
                <w:rStyle w:val="Hipercze"/>
                <w:rFonts w:asciiTheme="minorHAnsi" w:hAnsiTheme="minorHAnsi"/>
                <w:noProof/>
                <w:szCs w:val="22"/>
              </w:rPr>
              <w:t>7.</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Rozliczanie wydatków w projekcie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_Toc441241696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40</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7" w:history="1">
            <w:r w:rsidR="00935A9F" w:rsidRPr="000E0CEB">
              <w:rPr>
                <w:rStyle w:val="Hipercze"/>
                <w:rFonts w:asciiTheme="minorHAnsi" w:hAnsiTheme="minorHAnsi"/>
                <w:noProof/>
                <w:szCs w:val="22"/>
              </w:rPr>
              <w:t>8.</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Przekazywanie dofinansowania</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_Toc441241697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698" w:history="1">
            <w:r w:rsidR="00935A9F" w:rsidRPr="000E0CEB">
              <w:rPr>
                <w:rStyle w:val="Hipercze"/>
                <w:rFonts w:asciiTheme="minorHAnsi" w:hAnsiTheme="minorHAnsi"/>
                <w:noProof/>
                <w:szCs w:val="22"/>
              </w:rPr>
              <w:t>9.</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Pomoc publiczna</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_Toc441241698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44</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699" w:history="1">
            <w:r w:rsidR="00935A9F" w:rsidRPr="000E0CEB">
              <w:rPr>
                <w:rStyle w:val="Hipercze"/>
                <w:rFonts w:asciiTheme="minorHAnsi" w:hAnsiTheme="minorHAnsi"/>
                <w:noProof/>
                <w:sz w:val="22"/>
                <w:szCs w:val="22"/>
              </w:rPr>
              <w:t>IV. Składanie wniosku o dofinansowanie</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_Toc441241699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45</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0" w:history="1">
            <w:r w:rsidR="00935A9F" w:rsidRPr="000E0CEB">
              <w:rPr>
                <w:rStyle w:val="Hipercze"/>
                <w:rFonts w:asciiTheme="minorHAnsi" w:hAnsiTheme="minorHAnsi"/>
                <w:noProof/>
                <w:szCs w:val="22"/>
              </w:rPr>
              <w:t>1.</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Termin złożenia wniosku o dofinansowanie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_Toc441241700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45</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1" w:history="1">
            <w:r w:rsidR="00935A9F" w:rsidRPr="000E0CEB">
              <w:rPr>
                <w:rStyle w:val="Hipercze"/>
                <w:rFonts w:asciiTheme="minorHAnsi" w:hAnsiTheme="minorHAnsi"/>
                <w:noProof/>
                <w:szCs w:val="22"/>
              </w:rPr>
              <w:t>2.</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Uzupełnienie formalnych braków i oczywistych omyłek</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_Toc441241701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45</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702" w:history="1">
            <w:r w:rsidR="00935A9F" w:rsidRPr="000E0CEB">
              <w:rPr>
                <w:rStyle w:val="Hipercze"/>
                <w:rFonts w:asciiTheme="minorHAnsi" w:hAnsiTheme="minorHAnsi"/>
                <w:noProof/>
                <w:sz w:val="22"/>
                <w:szCs w:val="22"/>
              </w:rPr>
              <w:t>V. Wybór projektów</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_Toc441241702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47</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right" w:leader="dot" w:pos="9710"/>
            </w:tabs>
            <w:spacing w:before="0" w:line="240" w:lineRule="auto"/>
            <w:rPr>
              <w:rFonts w:asciiTheme="minorHAnsi" w:eastAsiaTheme="minorEastAsia" w:hAnsiTheme="minorHAnsi" w:cstheme="minorBidi"/>
              <w:noProof/>
              <w:szCs w:val="22"/>
            </w:rPr>
          </w:pPr>
          <w:hyperlink w:anchor="_Toc441241703" w:history="1">
            <w:r w:rsidR="00935A9F" w:rsidRPr="000E0CEB">
              <w:rPr>
                <w:rStyle w:val="Hipercze"/>
                <w:rFonts w:asciiTheme="minorHAnsi" w:hAnsiTheme="minorHAnsi"/>
                <w:noProof/>
                <w:szCs w:val="22"/>
              </w:rPr>
              <w:t>1. Komisja Oceny Projektów</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_Toc441241703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47</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4" w:history="1">
            <w:r w:rsidR="00935A9F" w:rsidRPr="000E0CEB">
              <w:rPr>
                <w:rStyle w:val="Hipercze"/>
                <w:rFonts w:asciiTheme="minorHAnsi" w:hAnsiTheme="minorHAnsi"/>
                <w:noProof/>
                <w:szCs w:val="22"/>
              </w:rPr>
              <w:t>2.</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Ocena zgodności ze Strategią ZIT AJ</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_Toc441241704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47</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5" w:history="1">
            <w:r w:rsidR="00935A9F" w:rsidRPr="000E0CEB">
              <w:rPr>
                <w:rStyle w:val="Hipercze"/>
                <w:rFonts w:asciiTheme="minorHAnsi" w:hAnsiTheme="minorHAnsi"/>
                <w:noProof/>
                <w:szCs w:val="22"/>
              </w:rPr>
              <w:t>3.</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Procedura oceny formalno-merytorycznej</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_Toc441241705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48</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6" w:history="1">
            <w:r w:rsidR="00935A9F" w:rsidRPr="000E0CEB">
              <w:rPr>
                <w:rStyle w:val="Hipercze"/>
                <w:rFonts w:asciiTheme="minorHAnsi" w:hAnsiTheme="minorHAnsi"/>
                <w:noProof/>
                <w:szCs w:val="22"/>
              </w:rPr>
              <w:t>4.</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Analiza kart oceny i obliczanie liczby przyznanych punktów</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_Toc441241706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66</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8" w:history="1">
            <w:r w:rsidR="00935A9F" w:rsidRPr="000E0CEB">
              <w:rPr>
                <w:rStyle w:val="Hipercze"/>
                <w:rFonts w:asciiTheme="minorHAnsi" w:hAnsiTheme="minorHAnsi"/>
                <w:noProof/>
                <w:szCs w:val="22"/>
              </w:rPr>
              <w:t>5.</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Negocjacje</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_Toc441241708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67</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09" w:history="1">
            <w:r w:rsidR="00935A9F" w:rsidRPr="000E0CEB">
              <w:rPr>
                <w:rStyle w:val="Hipercze"/>
                <w:rFonts w:asciiTheme="minorHAnsi" w:eastAsia="Calibri" w:hAnsiTheme="minorHAnsi"/>
                <w:noProof/>
                <w:szCs w:val="22"/>
              </w:rPr>
              <w:t>6.</w:t>
            </w:r>
            <w:r w:rsidR="00935A9F" w:rsidRPr="000E0CEB">
              <w:rPr>
                <w:rFonts w:asciiTheme="minorHAnsi" w:eastAsiaTheme="minorEastAsia" w:hAnsiTheme="minorHAnsi" w:cstheme="minorBidi"/>
                <w:noProof/>
                <w:szCs w:val="22"/>
              </w:rPr>
              <w:tab/>
            </w:r>
            <w:r w:rsidR="00935A9F" w:rsidRPr="000E0CEB">
              <w:rPr>
                <w:rStyle w:val="Hipercze"/>
                <w:rFonts w:asciiTheme="minorHAnsi" w:eastAsia="Calibri" w:hAnsiTheme="minorHAnsi"/>
                <w:noProof/>
                <w:szCs w:val="22"/>
              </w:rPr>
              <w:t>Rozstrzygnięcie konkursu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_Toc441241709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68</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710" w:history="1">
            <w:r w:rsidR="00935A9F" w:rsidRPr="000E0CEB">
              <w:rPr>
                <w:rStyle w:val="Hipercze"/>
                <w:rFonts w:asciiTheme="minorHAnsi" w:hAnsiTheme="minorHAnsi"/>
                <w:noProof/>
                <w:sz w:val="22"/>
                <w:szCs w:val="22"/>
              </w:rPr>
              <w:t>VI. Procedura odwoławcza</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_Toc441241710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70</w:t>
            </w:r>
            <w:r w:rsidRPr="000E0CEB">
              <w:rPr>
                <w:rFonts w:asciiTheme="minorHAnsi" w:hAnsiTheme="minorHAnsi"/>
                <w:noProof/>
                <w:webHidden/>
                <w:sz w:val="22"/>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1" w:history="1">
            <w:r w:rsidR="00935A9F" w:rsidRPr="000E0CEB">
              <w:rPr>
                <w:rStyle w:val="Hipercze"/>
                <w:rFonts w:asciiTheme="minorHAnsi" w:hAnsiTheme="minorHAnsi"/>
                <w:noProof/>
                <w:szCs w:val="22"/>
              </w:rPr>
              <w:t>1.</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Zakres podmiotowy i przedmiotowy procedury odwoławczej</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_Toc441241711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70</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2" w:history="1">
            <w:r w:rsidR="00935A9F" w:rsidRPr="000E0CEB">
              <w:rPr>
                <w:rStyle w:val="Hipercze"/>
                <w:rFonts w:asciiTheme="minorHAnsi" w:hAnsiTheme="minorHAnsi"/>
                <w:noProof/>
                <w:szCs w:val="22"/>
              </w:rPr>
              <w:t>2.</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Protest</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_Toc441241712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70</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3" w:history="1">
            <w:r w:rsidR="00935A9F" w:rsidRPr="000E0CEB">
              <w:rPr>
                <w:rStyle w:val="Hipercze"/>
                <w:rFonts w:asciiTheme="minorHAnsi" w:hAnsiTheme="minorHAnsi"/>
                <w:noProof/>
                <w:szCs w:val="22"/>
              </w:rPr>
              <w:t>3.</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Sposób złożenia protestu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_Toc441241713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71</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4" w:history="1">
            <w:r w:rsidR="00935A9F" w:rsidRPr="000E0CEB">
              <w:rPr>
                <w:rStyle w:val="Hipercze"/>
                <w:rFonts w:asciiTheme="minorHAnsi" w:hAnsiTheme="minorHAnsi"/>
                <w:noProof/>
                <w:szCs w:val="22"/>
              </w:rPr>
              <w:t>4.</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Zakres i weryfikacja protestu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_Toc441241714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71</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5" w:history="1">
            <w:r w:rsidR="00935A9F" w:rsidRPr="000E0CEB">
              <w:rPr>
                <w:rStyle w:val="Hipercze"/>
                <w:rFonts w:asciiTheme="minorHAnsi" w:hAnsiTheme="minorHAnsi"/>
                <w:noProof/>
                <w:szCs w:val="22"/>
              </w:rPr>
              <w:t>5.</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Pozostawienie protestu bez rozpatrzenia</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_Toc441241715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6" w:history="1">
            <w:r w:rsidR="00935A9F" w:rsidRPr="000E0CEB">
              <w:rPr>
                <w:rStyle w:val="Hipercze"/>
                <w:rFonts w:asciiTheme="minorHAnsi" w:hAnsiTheme="minorHAnsi"/>
                <w:noProof/>
                <w:szCs w:val="22"/>
              </w:rPr>
              <w:t>6.</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Rozpatrzenie protestu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_Toc441241716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8" w:history="1">
            <w:r w:rsidR="00935A9F" w:rsidRPr="000E0CEB">
              <w:rPr>
                <w:rStyle w:val="Hipercze"/>
                <w:rFonts w:asciiTheme="minorHAnsi" w:hAnsiTheme="minorHAnsi"/>
                <w:noProof/>
                <w:szCs w:val="22"/>
              </w:rPr>
              <w:t>7.</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Wycofanie protestu</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_Toc441241718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72</w:t>
            </w:r>
            <w:r w:rsidRPr="000E0CEB">
              <w:rPr>
                <w:rFonts w:asciiTheme="minorHAnsi" w:hAnsiTheme="minorHAnsi"/>
                <w:noProof/>
                <w:webHidden/>
                <w:szCs w:val="22"/>
              </w:rPr>
              <w:fldChar w:fldCharType="end"/>
            </w:r>
          </w:hyperlink>
        </w:p>
        <w:p w:rsidR="00935A9F" w:rsidRPr="000E0CEB" w:rsidRDefault="00C84E25" w:rsidP="00935A9F">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1719" w:history="1">
            <w:r w:rsidR="00935A9F" w:rsidRPr="000E0CEB">
              <w:rPr>
                <w:rStyle w:val="Hipercze"/>
                <w:rFonts w:asciiTheme="minorHAnsi" w:hAnsiTheme="minorHAnsi"/>
                <w:noProof/>
                <w:szCs w:val="22"/>
              </w:rPr>
              <w:t>8.</w:t>
            </w:r>
            <w:r w:rsidR="00935A9F" w:rsidRPr="000E0CEB">
              <w:rPr>
                <w:rFonts w:asciiTheme="minorHAnsi" w:eastAsiaTheme="minorEastAsia" w:hAnsiTheme="minorHAnsi" w:cstheme="minorBidi"/>
                <w:noProof/>
                <w:szCs w:val="22"/>
              </w:rPr>
              <w:tab/>
            </w:r>
            <w:r w:rsidR="00935A9F" w:rsidRPr="000E0CEB">
              <w:rPr>
                <w:rStyle w:val="Hipercze"/>
                <w:rFonts w:asciiTheme="minorHAnsi" w:hAnsiTheme="minorHAnsi"/>
                <w:noProof/>
                <w:szCs w:val="22"/>
              </w:rPr>
              <w:t>Skarga do sądu administracyjnego</w:t>
            </w:r>
            <w:r w:rsidR="00935A9F" w:rsidRPr="000E0CEB">
              <w:rPr>
                <w:rFonts w:asciiTheme="minorHAnsi" w:hAnsiTheme="minorHAnsi"/>
                <w:noProof/>
                <w:webHidden/>
                <w:szCs w:val="22"/>
              </w:rPr>
              <w:tab/>
            </w:r>
            <w:r w:rsidRPr="000E0CEB">
              <w:rPr>
                <w:rFonts w:asciiTheme="minorHAnsi" w:hAnsiTheme="minorHAnsi"/>
                <w:noProof/>
                <w:webHidden/>
                <w:szCs w:val="22"/>
              </w:rPr>
              <w:fldChar w:fldCharType="begin"/>
            </w:r>
            <w:r w:rsidR="00935A9F" w:rsidRPr="000E0CEB">
              <w:rPr>
                <w:rFonts w:asciiTheme="minorHAnsi" w:hAnsiTheme="minorHAnsi"/>
                <w:noProof/>
                <w:webHidden/>
                <w:szCs w:val="22"/>
              </w:rPr>
              <w:instrText xml:space="preserve"> PAGEREF _Toc441241719 \h </w:instrText>
            </w:r>
            <w:r w:rsidRPr="000E0CEB">
              <w:rPr>
                <w:rFonts w:asciiTheme="minorHAnsi" w:hAnsiTheme="minorHAnsi"/>
                <w:noProof/>
                <w:webHidden/>
                <w:szCs w:val="22"/>
              </w:rPr>
            </w:r>
            <w:r w:rsidRPr="000E0CEB">
              <w:rPr>
                <w:rFonts w:asciiTheme="minorHAnsi" w:hAnsiTheme="minorHAnsi"/>
                <w:noProof/>
                <w:webHidden/>
                <w:szCs w:val="22"/>
              </w:rPr>
              <w:fldChar w:fldCharType="separate"/>
            </w:r>
            <w:r w:rsidR="00FB512D" w:rsidRPr="000E0CEB">
              <w:rPr>
                <w:rFonts w:asciiTheme="minorHAnsi" w:hAnsiTheme="minorHAnsi"/>
                <w:noProof/>
                <w:webHidden/>
                <w:szCs w:val="22"/>
              </w:rPr>
              <w:t>72</w:t>
            </w:r>
            <w:r w:rsidRPr="000E0CEB">
              <w:rPr>
                <w:rFonts w:asciiTheme="minorHAnsi" w:hAnsiTheme="minorHAnsi"/>
                <w:noProof/>
                <w:webHidden/>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720" w:history="1">
            <w:r w:rsidR="00935A9F" w:rsidRPr="000E0CEB">
              <w:rPr>
                <w:rStyle w:val="Hipercze"/>
                <w:rFonts w:asciiTheme="minorHAnsi" w:hAnsiTheme="minorHAnsi"/>
                <w:noProof/>
                <w:sz w:val="22"/>
                <w:szCs w:val="22"/>
              </w:rPr>
              <w:t>VII. Postanowienia końcowe</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_Toc441241720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74</w:t>
            </w:r>
            <w:r w:rsidRPr="000E0CEB">
              <w:rPr>
                <w:rFonts w:asciiTheme="minorHAnsi" w:hAnsiTheme="minorHAnsi"/>
                <w:noProof/>
                <w:webHidden/>
                <w:sz w:val="22"/>
                <w:szCs w:val="22"/>
              </w:rPr>
              <w:fldChar w:fldCharType="end"/>
            </w:r>
          </w:hyperlink>
        </w:p>
        <w:p w:rsidR="00935A9F" w:rsidRPr="000E0CEB" w:rsidRDefault="00C84E25" w:rsidP="00F6483D">
          <w:pPr>
            <w:pStyle w:val="Spistreci1"/>
            <w:rPr>
              <w:rFonts w:asciiTheme="minorHAnsi" w:eastAsiaTheme="minorEastAsia" w:hAnsiTheme="minorHAnsi" w:cstheme="minorBidi"/>
              <w:noProof/>
              <w:sz w:val="22"/>
              <w:szCs w:val="22"/>
            </w:rPr>
          </w:pPr>
          <w:hyperlink w:anchor="_Toc441241721" w:history="1">
            <w:r w:rsidR="00935A9F" w:rsidRPr="000E0CEB">
              <w:rPr>
                <w:rStyle w:val="Hipercze"/>
                <w:rFonts w:asciiTheme="minorHAnsi" w:hAnsiTheme="minorHAnsi"/>
                <w:noProof/>
                <w:sz w:val="22"/>
                <w:szCs w:val="22"/>
              </w:rPr>
              <w:t>VIII. Spis załączników</w:t>
            </w:r>
            <w:r w:rsidR="00935A9F" w:rsidRPr="000E0CEB">
              <w:rPr>
                <w:rFonts w:asciiTheme="minorHAnsi" w:hAnsiTheme="minorHAnsi"/>
                <w:noProof/>
                <w:webHidden/>
                <w:sz w:val="22"/>
                <w:szCs w:val="22"/>
              </w:rPr>
              <w:tab/>
            </w:r>
            <w:r w:rsidR="00F6483D" w:rsidRPr="000E0CEB">
              <w:rPr>
                <w:rFonts w:asciiTheme="minorHAnsi" w:hAnsiTheme="minorHAnsi"/>
                <w:noProof/>
                <w:webHidden/>
                <w:sz w:val="22"/>
                <w:szCs w:val="22"/>
              </w:rPr>
              <w:t>……………………………………………………………………………………………………………………………….</w:t>
            </w:r>
            <w:r w:rsidRPr="000E0CEB">
              <w:rPr>
                <w:rFonts w:asciiTheme="minorHAnsi" w:hAnsiTheme="minorHAnsi"/>
                <w:noProof/>
                <w:webHidden/>
                <w:sz w:val="22"/>
                <w:szCs w:val="22"/>
              </w:rPr>
              <w:fldChar w:fldCharType="begin"/>
            </w:r>
            <w:r w:rsidR="00935A9F" w:rsidRPr="000E0CEB">
              <w:rPr>
                <w:rFonts w:asciiTheme="minorHAnsi" w:hAnsiTheme="minorHAnsi"/>
                <w:noProof/>
                <w:webHidden/>
                <w:sz w:val="22"/>
                <w:szCs w:val="22"/>
              </w:rPr>
              <w:instrText xml:space="preserve"> PAGEREF _Toc441241721 \h </w:instrText>
            </w:r>
            <w:r w:rsidRPr="000E0CEB">
              <w:rPr>
                <w:rFonts w:asciiTheme="minorHAnsi" w:hAnsiTheme="minorHAnsi"/>
                <w:noProof/>
                <w:webHidden/>
                <w:sz w:val="22"/>
                <w:szCs w:val="22"/>
              </w:rPr>
            </w:r>
            <w:r w:rsidRPr="000E0CEB">
              <w:rPr>
                <w:rFonts w:asciiTheme="minorHAnsi" w:hAnsiTheme="minorHAnsi"/>
                <w:noProof/>
                <w:webHidden/>
                <w:sz w:val="22"/>
                <w:szCs w:val="22"/>
              </w:rPr>
              <w:fldChar w:fldCharType="separate"/>
            </w:r>
            <w:r w:rsidR="00FB512D" w:rsidRPr="000E0CEB">
              <w:rPr>
                <w:rFonts w:asciiTheme="minorHAnsi" w:hAnsiTheme="minorHAnsi"/>
                <w:noProof/>
                <w:webHidden/>
                <w:sz w:val="22"/>
                <w:szCs w:val="22"/>
              </w:rPr>
              <w:t>75</w:t>
            </w:r>
            <w:r w:rsidRPr="000E0CEB">
              <w:rPr>
                <w:rFonts w:asciiTheme="minorHAnsi" w:hAnsiTheme="minorHAnsi"/>
                <w:noProof/>
                <w:webHidden/>
                <w:sz w:val="22"/>
                <w:szCs w:val="22"/>
              </w:rPr>
              <w:fldChar w:fldCharType="end"/>
            </w:r>
          </w:hyperlink>
        </w:p>
        <w:p w:rsidR="00935A9F" w:rsidRPr="000E0CEB" w:rsidRDefault="00C84E25" w:rsidP="00935A9F">
          <w:pPr>
            <w:spacing w:before="0" w:line="240" w:lineRule="auto"/>
            <w:rPr>
              <w:rFonts w:asciiTheme="minorHAnsi" w:hAnsiTheme="minorHAnsi"/>
              <w:szCs w:val="22"/>
            </w:rPr>
          </w:pPr>
          <w:r w:rsidRPr="000E0CEB">
            <w:rPr>
              <w:rFonts w:asciiTheme="minorHAnsi" w:hAnsiTheme="minorHAnsi"/>
              <w:szCs w:val="22"/>
            </w:rPr>
            <w:fldChar w:fldCharType="end"/>
          </w:r>
        </w:p>
      </w:sdtContent>
    </w:sdt>
    <w:p w:rsidR="00471B61" w:rsidRPr="000E0CEB" w:rsidRDefault="00477DF1">
      <w:pPr>
        <w:pStyle w:val="Nagwek1"/>
        <w:pBdr>
          <w:top w:val="single" w:sz="12" w:space="1" w:color="00000A"/>
          <w:left w:val="single" w:sz="12" w:space="4" w:color="00000A"/>
          <w:bottom w:val="single" w:sz="12" w:space="1" w:color="00000A"/>
          <w:right w:val="single" w:sz="12" w:space="7" w:color="00000A"/>
        </w:pBdr>
        <w:spacing w:before="120" w:after="120" w:line="240" w:lineRule="auto"/>
        <w:jc w:val="both"/>
        <w:rPr>
          <w:sz w:val="22"/>
          <w:szCs w:val="22"/>
        </w:rPr>
      </w:pPr>
      <w:bookmarkStart w:id="3" w:name="_Toc430826813"/>
      <w:bookmarkStart w:id="4" w:name="_Toc426632910"/>
      <w:bookmarkStart w:id="5" w:name="_Toc438125935"/>
      <w:bookmarkStart w:id="6" w:name="_Toc441241672"/>
      <w:bookmarkEnd w:id="3"/>
      <w:bookmarkEnd w:id="4"/>
      <w:r w:rsidRPr="000E0CEB">
        <w:rPr>
          <w:sz w:val="22"/>
          <w:szCs w:val="22"/>
        </w:rPr>
        <w:lastRenderedPageBreak/>
        <w:t>Słownik skrótów i pojęć</w:t>
      </w:r>
      <w:bookmarkEnd w:id="5"/>
      <w:bookmarkEnd w:id="6"/>
    </w:p>
    <w:p w:rsidR="00471B61" w:rsidRPr="000E0CEB" w:rsidRDefault="00477DF1">
      <w:pPr>
        <w:spacing w:before="0" w:line="240" w:lineRule="auto"/>
        <w:jc w:val="both"/>
        <w:rPr>
          <w:rFonts w:asciiTheme="minorHAnsi" w:hAnsiTheme="minorHAnsi"/>
          <w:szCs w:val="22"/>
        </w:rPr>
      </w:pPr>
      <w:r w:rsidRPr="000E0CEB">
        <w:rPr>
          <w:rFonts w:asciiTheme="minorHAnsi" w:hAnsiTheme="minorHAnsi" w:cs="Arial"/>
          <w:b/>
          <w:szCs w:val="22"/>
        </w:rPr>
        <w:t>Beneficjent</w:t>
      </w:r>
      <w:r w:rsidRPr="000E0CEB">
        <w:rPr>
          <w:rFonts w:asciiTheme="minorHAnsi" w:hAnsiTheme="minorHAnsi" w:cs="Arial"/>
          <w:szCs w:val="22"/>
        </w:rPr>
        <w:t xml:space="preserve"> – </w:t>
      </w:r>
      <w:r w:rsidRPr="000E0CEB">
        <w:rPr>
          <w:rFonts w:asciiTheme="minorHAnsi" w:hAnsiTheme="minorHAnsi"/>
          <w:szCs w:val="22"/>
        </w:rPr>
        <w:t>podmiot publiczny lub prywatny, odpowiedzialny za inicjowanie lub inicjowanie i wdrażanie operacji.</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EFS</w:t>
      </w:r>
      <w:r w:rsidRPr="000E0CEB">
        <w:rPr>
          <w:rFonts w:asciiTheme="minorHAnsi" w:hAnsiTheme="minorHAnsi" w:cs="Arial"/>
          <w:szCs w:val="22"/>
        </w:rPr>
        <w:t xml:space="preserve"> – Europejski Fundusz Społeczny</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Fundusze strukturalne</w:t>
      </w:r>
      <w:r w:rsidRPr="000E0CEB">
        <w:rPr>
          <w:rFonts w:asciiTheme="minorHAnsi" w:hAnsiTheme="minorHAnsi" w:cs="Arial"/>
          <w:szCs w:val="22"/>
        </w:rPr>
        <w:t xml:space="preserve"> – Europejski Fundusz Rozwoju Regionalnego i Europejski Fundusz Społeczny</w:t>
      </w:r>
    </w:p>
    <w:p w:rsidR="00471B61" w:rsidRPr="000E0CEB" w:rsidRDefault="00477DF1">
      <w:pPr>
        <w:pStyle w:val="Gwka"/>
        <w:spacing w:before="0" w:line="240" w:lineRule="auto"/>
        <w:jc w:val="both"/>
        <w:rPr>
          <w:rFonts w:asciiTheme="minorHAnsi" w:hAnsiTheme="minorHAnsi"/>
          <w:szCs w:val="22"/>
        </w:rPr>
      </w:pPr>
      <w:r w:rsidRPr="000E0CEB">
        <w:rPr>
          <w:rFonts w:asciiTheme="minorHAnsi" w:hAnsiTheme="minorHAnsi" w:cs="Arial"/>
          <w:b/>
          <w:szCs w:val="22"/>
        </w:rPr>
        <w:t xml:space="preserve">IOK </w:t>
      </w:r>
      <w:r w:rsidRPr="000E0CEB">
        <w:rPr>
          <w:rFonts w:asciiTheme="minorHAnsi" w:hAnsiTheme="minorHAnsi" w:cs="Arial"/>
          <w:szCs w:val="22"/>
        </w:rPr>
        <w:t>– Instytucja Organizująca Konkurs</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b/>
          <w:bCs/>
          <w:szCs w:val="22"/>
        </w:rPr>
        <w:t>IP RPO WD</w:t>
      </w:r>
      <w:r w:rsidRPr="000E0CEB">
        <w:rPr>
          <w:rFonts w:asciiTheme="minorHAnsi" w:hAnsiTheme="minorHAnsi"/>
          <w:szCs w:val="22"/>
        </w:rPr>
        <w:t>– Instytucja Pośrednicząca Regionalnego Programu Operacyjnego Województwa Dolnośląskiego 2014-2020.</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IZ RPO WD</w:t>
      </w:r>
      <w:r w:rsidRPr="000E0CEB">
        <w:rPr>
          <w:rFonts w:asciiTheme="minorHAnsi" w:hAnsiTheme="minorHAnsi" w:cs="Arial"/>
          <w:szCs w:val="22"/>
        </w:rPr>
        <w:t xml:space="preserve"> – Instytucja Zarządzająca Regionalnym Programem Operacyjnym Województwa Dolnośląskiego.</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KM RPO WD</w:t>
      </w:r>
      <w:r w:rsidRPr="000E0CEB">
        <w:rPr>
          <w:rFonts w:asciiTheme="minorHAnsi" w:hAnsiTheme="minorHAnsi" w:cs="Arial"/>
          <w:szCs w:val="22"/>
        </w:rPr>
        <w:t xml:space="preserve"> – Komitet Monitorujący Regionalny Program Operacyjny Województwa Dolnośląskiego 2014-2020</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KOP</w:t>
      </w:r>
      <w:r w:rsidRPr="000E0CEB">
        <w:rPr>
          <w:rFonts w:asciiTheme="minorHAnsi" w:hAnsiTheme="minorHAnsi" w:cs="Arial"/>
          <w:szCs w:val="22"/>
        </w:rPr>
        <w:t xml:space="preserve"> – Komisja Oceny Projektów</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 xml:space="preserve">MIiR </w:t>
      </w:r>
      <w:r w:rsidRPr="000E0CEB">
        <w:rPr>
          <w:rFonts w:asciiTheme="minorHAnsi" w:hAnsiTheme="minorHAnsi" w:cs="Arial"/>
          <w:szCs w:val="22"/>
        </w:rPr>
        <w:t>– Ministerstwo Infrastruktury i Rozwoju</w:t>
      </w:r>
      <w:r w:rsidRPr="000E0CEB">
        <w:rPr>
          <w:rFonts w:asciiTheme="minorHAnsi" w:hAnsiTheme="minorHAnsi"/>
          <w:szCs w:val="22"/>
        </w:rPr>
        <w:t>.</w:t>
      </w:r>
    </w:p>
    <w:p w:rsidR="00471B61" w:rsidRPr="000E0CEB" w:rsidRDefault="00477DF1">
      <w:pPr>
        <w:spacing w:before="0" w:line="240" w:lineRule="auto"/>
        <w:rPr>
          <w:rFonts w:asciiTheme="minorHAnsi" w:eastAsia="Calibri" w:hAnsiTheme="minorHAnsi" w:cs="Arial"/>
          <w:color w:val="000000"/>
          <w:szCs w:val="22"/>
          <w:lang w:eastAsia="en-US"/>
        </w:rPr>
      </w:pPr>
      <w:r w:rsidRPr="000E0CEB">
        <w:rPr>
          <w:rFonts w:asciiTheme="minorHAnsi" w:eastAsia="Calibri" w:hAnsiTheme="minorHAnsi" w:cs="Arial"/>
          <w:b/>
          <w:bCs/>
          <w:color w:val="000000"/>
          <w:szCs w:val="22"/>
          <w:lang w:eastAsia="en-US"/>
        </w:rPr>
        <w:t xml:space="preserve">Kompetencje kluczowe niezbędne na rynku pracy – </w:t>
      </w:r>
      <w:r w:rsidRPr="000E0CEB">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471B61" w:rsidRPr="000E0CEB" w:rsidRDefault="00477DF1">
      <w:pPr>
        <w:spacing w:before="0" w:line="240" w:lineRule="auto"/>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a) porozumiewanie się w językach obcych;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color w:val="000000"/>
          <w:szCs w:val="22"/>
          <w:lang w:eastAsia="en-US"/>
        </w:rPr>
        <w:t xml:space="preserve">b) kompetencje matematyczne i podstawowe kompetencje naukowo – techniczne;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c) kompetencje informatyczne;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d) umiejętność uczenia się;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e) kompetencje społeczne;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f) inicjatywność i przedsiębiorczość. </w:t>
      </w:r>
    </w:p>
    <w:p w:rsidR="00471B61" w:rsidRPr="000E0CEB" w:rsidRDefault="00477DF1">
      <w:pPr>
        <w:spacing w:before="0" w:line="240" w:lineRule="auto"/>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Kompetencje wskazane w lit. b i c są zaliczane do kompetencji podstawowych, pozostałe należą do katalogu kompetencji przekrojowych; </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b/>
          <w:bCs/>
          <w:szCs w:val="22"/>
        </w:rPr>
        <w:t xml:space="preserve">Kompetencje cyfrowe (kompetencje informatyczne) </w:t>
      </w:r>
      <w:r w:rsidRPr="000E0CEB">
        <w:rPr>
          <w:rFonts w:asciiTheme="minorHAnsi" w:eastAsia="Calibri" w:hAnsiTheme="minorHAnsi" w:cs="Arial"/>
          <w:szCs w:val="22"/>
        </w:rPr>
        <w:t>- definiowane jako zdolność do:</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a) przetwarzania (wyszukiwania, oceny, przechowywania) informacji;</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b) komunikacji (wchodzenia w cyfrowe interakcje, dzielenia się informacjami, znajomość netykiety</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i umiejętność zarządzania cyfrową tożsamością);</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c) tworzenia cyfrowej informacji (w tym również umiejętność programowania i znajomość zagadnień</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praw autorskich);</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d) zachowania bezpieczeństwa (ochrony cyfrowych urządzeń, danych, własnej tożsamości, zdrowia</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i środowiska);</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e) rozwiązywania problemów (technicznych, identyfikowania sytuacji, w których technologia może</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pomóc, bycia kreatywnym z użyciem technologii, identyfikowania luk w zakresie kompetencji).</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K</w:t>
      </w:r>
      <w:r w:rsidRPr="000E0CEB">
        <w:rPr>
          <w:rFonts w:asciiTheme="minorHAnsi" w:eastAsia="Calibri" w:hAnsiTheme="minorHAnsi" w:cs="Arial"/>
          <w:b/>
          <w:bCs/>
          <w:szCs w:val="22"/>
          <w:lang w:eastAsia="en-US"/>
        </w:rPr>
        <w:t xml:space="preserve">ompetencje społeczno-emocjonalne </w:t>
      </w:r>
      <w:r w:rsidRPr="000E0CEB">
        <w:rPr>
          <w:rFonts w:asciiTheme="minorHAnsi" w:eastAsia="Calibri" w:hAnsiTheme="minorHAnsi" w:cs="Arial"/>
          <w:szCs w:val="22"/>
          <w:lang w:eastAsia="en-US"/>
        </w:rPr>
        <w:t xml:space="preserve">– umiejętności komunikacyjne, rozpoznawania i kierowania swoimi emocjami, budowania dobrych relacji z innymi, ustalania i osiągania pozytywnych celów, a także ograniczania destrukcyjnych czy agresywnych zachowań; </w:t>
      </w:r>
    </w:p>
    <w:p w:rsidR="00F6483D" w:rsidRPr="000E0CEB" w:rsidRDefault="00B06A11" w:rsidP="00F6483D">
      <w:pPr>
        <w:autoSpaceDE w:val="0"/>
        <w:autoSpaceDN w:val="0"/>
        <w:adjustRightInd w:val="0"/>
        <w:spacing w:before="0" w:line="240" w:lineRule="auto"/>
        <w:jc w:val="both"/>
        <w:rPr>
          <w:rFonts w:asciiTheme="minorHAnsi" w:hAnsiTheme="minorHAnsi"/>
          <w:b/>
          <w:bCs/>
          <w:szCs w:val="22"/>
        </w:rPr>
      </w:pPr>
      <w:r w:rsidRPr="000E0CEB">
        <w:rPr>
          <w:rFonts w:asciiTheme="minorHAnsi" w:eastAsia="Calibri" w:hAnsiTheme="minorHAnsi" w:cs="Arial"/>
          <w:b/>
          <w:bCs/>
          <w:szCs w:val="22"/>
        </w:rPr>
        <w:t xml:space="preserve">Nauczyciel </w:t>
      </w:r>
      <w:r w:rsidRPr="000E0CEB">
        <w:rPr>
          <w:rFonts w:asciiTheme="minorHAnsi" w:eastAsia="Calibri" w:hAnsiTheme="minorHAnsi" w:cs="Arial"/>
          <w:szCs w:val="22"/>
        </w:rPr>
        <w:t>– należy przez to rozumieć także wychowawcę i innego pracownika pedagogicznego zatrudnionego w OWP, szkole lub placówce systemu oświaty.</w:t>
      </w:r>
      <w:r w:rsidR="00F6483D" w:rsidRPr="000E0CEB">
        <w:rPr>
          <w:rFonts w:asciiTheme="minorHAnsi" w:hAnsiTheme="minorHAnsi"/>
          <w:b/>
          <w:bCs/>
          <w:szCs w:val="22"/>
        </w:rPr>
        <w:t xml:space="preserve"> </w:t>
      </w:r>
    </w:p>
    <w:p w:rsidR="00F6483D" w:rsidRPr="000E0CEB" w:rsidRDefault="00F6483D" w:rsidP="00F6483D">
      <w:pPr>
        <w:spacing w:before="0" w:line="240" w:lineRule="auto"/>
        <w:jc w:val="both"/>
        <w:rPr>
          <w:rFonts w:asciiTheme="minorHAnsi" w:hAnsiTheme="minorHAnsi"/>
          <w:szCs w:val="22"/>
        </w:rPr>
      </w:pPr>
      <w:r w:rsidRPr="000E0CEB">
        <w:rPr>
          <w:rFonts w:asciiTheme="minorHAnsi" w:hAnsiTheme="minorHAnsi"/>
          <w:b/>
          <w:bCs/>
          <w:szCs w:val="22"/>
        </w:rPr>
        <w:t xml:space="preserve">Obszar wiejski – </w:t>
      </w:r>
      <w:r w:rsidRPr="000E0CEB">
        <w:rPr>
          <w:rFonts w:asciiTheme="minorHAnsi" w:hAnsiTheme="minorHAnsi"/>
          <w:szCs w:val="22"/>
        </w:rPr>
        <w:t xml:space="preserve">zgodnie z załącznikiem nr 1 do Rozporządzenia Wykonawczego Komisji (UE) NR 215/2014 z dnia 7 marca 2014 r. to obszar o małej gęstości zaludnienia (kod 03) – zgodnie ze stopniem urbanizacji ujętym w </w:t>
      </w:r>
      <w:r w:rsidRPr="000E0CEB">
        <w:rPr>
          <w:rFonts w:asciiTheme="minorHAnsi" w:hAnsiTheme="minorHAnsi"/>
          <w:szCs w:val="22"/>
          <w:u w:val="single"/>
        </w:rPr>
        <w:t xml:space="preserve">klasyfikacji DEGURBA </w:t>
      </w:r>
      <w:r w:rsidRPr="000E0CEB">
        <w:rPr>
          <w:rFonts w:asciiTheme="minorHAnsi" w:hAnsiTheme="minorHAnsi"/>
          <w:szCs w:val="22"/>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w:t>
      </w:r>
      <w:r w:rsidRPr="000E0CEB">
        <w:rPr>
          <w:rFonts w:asciiTheme="minorHAnsi" w:hAnsiTheme="minorHAnsi"/>
          <w:szCs w:val="22"/>
        </w:rPr>
        <w:lastRenderedPageBreak/>
        <w:t>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b/>
          <w:szCs w:val="22"/>
          <w:lang w:eastAsia="en-US"/>
        </w:rPr>
        <w:t>Osoby z niepełnosprawnościami</w:t>
      </w:r>
      <w:r w:rsidRPr="000E0CEB">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471B61" w:rsidRPr="000E0CEB" w:rsidRDefault="00477DF1">
      <w:pPr>
        <w:pStyle w:val="Gwka"/>
        <w:spacing w:before="0" w:line="240" w:lineRule="auto"/>
        <w:jc w:val="both"/>
        <w:rPr>
          <w:rFonts w:asciiTheme="minorHAnsi" w:hAnsiTheme="minorHAnsi" w:cs="Arial"/>
          <w:szCs w:val="22"/>
          <w:lang w:val="en-US"/>
        </w:rPr>
      </w:pPr>
      <w:r w:rsidRPr="000E0CEB">
        <w:rPr>
          <w:rFonts w:asciiTheme="minorHAnsi" w:hAnsiTheme="minorHAnsi" w:cs="Arial"/>
          <w:b/>
          <w:szCs w:val="22"/>
          <w:lang w:val="en-US"/>
        </w:rPr>
        <w:t>Portal</w:t>
      </w:r>
      <w:r w:rsidRPr="000E0CEB">
        <w:rPr>
          <w:rFonts w:asciiTheme="minorHAnsi" w:hAnsiTheme="minorHAnsi" w:cs="Arial"/>
          <w:szCs w:val="22"/>
          <w:lang w:val="en-US"/>
        </w:rPr>
        <w:t xml:space="preserve"> – </w:t>
      </w:r>
      <w:r w:rsidRPr="000E0CEB">
        <w:rPr>
          <w:rFonts w:asciiTheme="minorHAnsi" w:hAnsiTheme="minorHAnsi"/>
          <w:szCs w:val="22"/>
          <w:lang w:val="en-US"/>
        </w:rPr>
        <w:t>www.funduszeeuropejskie.gov.pl.</w:t>
      </w:r>
    </w:p>
    <w:p w:rsidR="00B06A11" w:rsidRPr="000E0CEB" w:rsidRDefault="00B06A11" w:rsidP="00B06A11">
      <w:pPr>
        <w:autoSpaceDE w:val="0"/>
        <w:autoSpaceDN w:val="0"/>
        <w:adjustRightInd w:val="0"/>
        <w:spacing w:before="0" w:line="240" w:lineRule="auto"/>
        <w:jc w:val="both"/>
        <w:rPr>
          <w:rFonts w:asciiTheme="minorHAnsi" w:eastAsia="Calibri" w:hAnsiTheme="minorHAnsi" w:cs="Arial"/>
          <w:szCs w:val="22"/>
        </w:rPr>
      </w:pPr>
      <w:r w:rsidRPr="000E0CEB">
        <w:rPr>
          <w:rFonts w:asciiTheme="minorHAnsi" w:eastAsia="Calibri" w:hAnsiTheme="minorHAnsi" w:cs="Arial"/>
          <w:b/>
          <w:bCs/>
          <w:szCs w:val="22"/>
        </w:rPr>
        <w:t xml:space="preserve">Projekt edukacyjny – </w:t>
      </w:r>
      <w:r w:rsidRPr="000E0CEB">
        <w:rPr>
          <w:rFonts w:asciiTheme="minorHAnsi" w:eastAsia="Calibri" w:hAnsiTheme="minorHAnsi" w:cs="Arial"/>
          <w:szCs w:val="22"/>
        </w:rPr>
        <w:t>indywidualne lub zespołowe, planowe działanie uczniów, mające na celu rozwiązanie konkretnego problemu, z zastosowaniem różnorodnych metod. Projekt edukacyjny jest realizowany przez zespół uczniów pod opieką nauczyciela i obejmuje następujące działania:</w:t>
      </w:r>
    </w:p>
    <w:p w:rsidR="00B06A11" w:rsidRPr="000E0CEB" w:rsidRDefault="00477DF1" w:rsidP="00B06A11">
      <w:pPr>
        <w:autoSpaceDE w:val="0"/>
        <w:autoSpaceDN w:val="0"/>
        <w:adjustRightInd w:val="0"/>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a) wybranie tematu projektu edukacyjnego;</w:t>
      </w:r>
    </w:p>
    <w:p w:rsidR="00B06A11" w:rsidRPr="000E0CEB" w:rsidRDefault="00477DF1" w:rsidP="00B06A11">
      <w:pPr>
        <w:autoSpaceDE w:val="0"/>
        <w:autoSpaceDN w:val="0"/>
        <w:adjustRightInd w:val="0"/>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b) określenie celów projektu edukacyjnego i zaplanowanie etapów jego realizacji;</w:t>
      </w:r>
    </w:p>
    <w:p w:rsidR="00B06A11" w:rsidRPr="000E0CEB" w:rsidRDefault="00477DF1" w:rsidP="00B06A11">
      <w:pPr>
        <w:autoSpaceDE w:val="0"/>
        <w:autoSpaceDN w:val="0"/>
        <w:adjustRightInd w:val="0"/>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c) wykonanie zaplanowanych działań;</w:t>
      </w:r>
    </w:p>
    <w:p w:rsidR="00B63284" w:rsidRPr="000E0CEB" w:rsidRDefault="00477DF1">
      <w:pPr>
        <w:pStyle w:val="Nagwek"/>
        <w:spacing w:before="0" w:line="240" w:lineRule="auto"/>
        <w:jc w:val="both"/>
        <w:rPr>
          <w:rFonts w:asciiTheme="minorHAnsi" w:hAnsiTheme="minorHAnsi" w:cs="Arial"/>
          <w:szCs w:val="22"/>
        </w:rPr>
      </w:pPr>
      <w:r w:rsidRPr="000E0CEB">
        <w:rPr>
          <w:rFonts w:asciiTheme="minorHAnsi" w:eastAsia="Calibri" w:hAnsiTheme="minorHAnsi" w:cs="Arial"/>
          <w:szCs w:val="22"/>
        </w:rPr>
        <w:t>d) przedstawienie rezultatów projektu edukacyjnego.”</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b/>
          <w:bCs/>
          <w:szCs w:val="22"/>
        </w:rPr>
        <w:t xml:space="preserve">Przedmioty przyrodnicze </w:t>
      </w:r>
      <w:r w:rsidRPr="000E0CEB">
        <w:rPr>
          <w:rFonts w:asciiTheme="minorHAnsi" w:eastAsia="Calibri" w:hAnsiTheme="minorHAnsi" w:cs="Arial"/>
          <w:szCs w:val="22"/>
        </w:rPr>
        <w:t>- przedmioty, do których zalicza się w szczególności:</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a) przyrodę w szkołach podstawowych;</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b) biologię, chemię, geografię, fizykę w gimnazjach;</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c) biologię, chemię, geografię, fizykę (zarówno w zakresie podstawowym, jak i rozszerzonym) oraz</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eastAsia="Calibri" w:hAnsiTheme="minorHAnsi" w:cs="Arial"/>
          <w:szCs w:val="22"/>
        </w:rPr>
        <w:t>przedmiot uzupełniający przyroda w szkołach ponadgimnazjalnych.</w:t>
      </w:r>
    </w:p>
    <w:p w:rsidR="00B06A11" w:rsidRPr="000E0CEB" w:rsidRDefault="00477DF1" w:rsidP="00B06A11">
      <w:pPr>
        <w:pStyle w:val="Gwka"/>
        <w:spacing w:before="0" w:line="240" w:lineRule="auto"/>
        <w:jc w:val="both"/>
        <w:rPr>
          <w:rFonts w:asciiTheme="minorHAnsi" w:hAnsiTheme="minorHAnsi"/>
          <w:szCs w:val="22"/>
        </w:rPr>
      </w:pPr>
      <w:r w:rsidRPr="000E0CEB">
        <w:rPr>
          <w:rFonts w:asciiTheme="minorHAnsi" w:hAnsiTheme="minorHAnsi" w:cs="Arial"/>
          <w:b/>
          <w:szCs w:val="22"/>
        </w:rPr>
        <w:t>Rozporządzenie ogólne</w:t>
      </w:r>
      <w:r w:rsidRPr="000E0CEB">
        <w:rPr>
          <w:rFonts w:asciiTheme="minorHAnsi" w:hAnsiTheme="minorHAnsi" w:cs="Arial"/>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RPO WD</w:t>
      </w:r>
      <w:r w:rsidRPr="000E0CEB">
        <w:rPr>
          <w:rFonts w:asciiTheme="minorHAnsi" w:hAnsiTheme="minorHAnsi" w:cs="Arial"/>
          <w:szCs w:val="22"/>
        </w:rPr>
        <w:t xml:space="preserve"> </w:t>
      </w:r>
      <w:r w:rsidRPr="000E0CEB">
        <w:rPr>
          <w:rFonts w:asciiTheme="minorHAnsi" w:hAnsiTheme="minorHAnsi" w:cs="Arial"/>
          <w:b/>
          <w:szCs w:val="22"/>
        </w:rPr>
        <w:t>2014-2020</w:t>
      </w:r>
      <w:r w:rsidRPr="000E0CEB">
        <w:rPr>
          <w:rFonts w:asciiTheme="minorHAnsi" w:hAnsiTheme="minorHAnsi" w:cs="Arial"/>
          <w:szCs w:val="22"/>
        </w:rPr>
        <w:t>– Regionalny Program Operacyjny Województwa Dolnośląskiego 2014-2020.</w:t>
      </w:r>
    </w:p>
    <w:p w:rsidR="00471B61" w:rsidRPr="000E0CEB" w:rsidRDefault="00477DF1">
      <w:pPr>
        <w:pStyle w:val="Gwka"/>
        <w:spacing w:before="0" w:line="240" w:lineRule="auto"/>
        <w:jc w:val="both"/>
        <w:rPr>
          <w:rFonts w:asciiTheme="minorHAnsi" w:hAnsiTheme="minorHAnsi"/>
          <w:szCs w:val="22"/>
        </w:rPr>
      </w:pPr>
      <w:r w:rsidRPr="000E0CEB">
        <w:rPr>
          <w:rFonts w:asciiTheme="minorHAnsi" w:hAnsiTheme="minorHAnsi" w:cs="Arial"/>
          <w:b/>
          <w:szCs w:val="22"/>
        </w:rPr>
        <w:t xml:space="preserve">SL2014 </w:t>
      </w:r>
      <w:r w:rsidRPr="000E0CEB">
        <w:rPr>
          <w:rFonts w:asciiTheme="minorHAnsi" w:hAnsiTheme="minorHAnsi" w:cs="Arial"/>
          <w:szCs w:val="22"/>
        </w:rPr>
        <w:t>– aplikacja główna centralnego systemu teleinformatycznego, o którym mowa w rozdziale 16 ustawy</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b/>
          <w:szCs w:val="22"/>
        </w:rPr>
        <w:t xml:space="preserve">SNOW </w:t>
      </w:r>
      <w:r w:rsidRPr="000E0CEB">
        <w:rPr>
          <w:rFonts w:asciiTheme="minorHAnsi" w:hAnsiTheme="minorHAnsi"/>
          <w:szCs w:val="22"/>
        </w:rPr>
        <w:t>- System Naboru i Oceny Wniosków.</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b/>
          <w:bCs/>
          <w:color w:val="000000"/>
          <w:szCs w:val="22"/>
          <w:lang w:eastAsia="en-US"/>
        </w:rPr>
        <w:t xml:space="preserve">Specjalne potrzeby edukacyjne </w:t>
      </w:r>
      <w:r w:rsidRPr="000E0CEB">
        <w:rPr>
          <w:rFonts w:asciiTheme="minorHAnsi" w:eastAsia="Calibri" w:hAnsiTheme="minorHAnsi" w:cs="Arial"/>
          <w:color w:val="000000"/>
          <w:szCs w:val="22"/>
          <w:lang w:eastAsia="en-US"/>
        </w:rPr>
        <w:t xml:space="preserve">– potrzeby, które w procesie rozwoju dzieci i młodzieży wynikają z: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a) zaburzeń (np. rozwojowych, obniżonych możliwości intelektualnych, wad wymowy);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c) choroby przewlekłej;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d) niedostosowania społecznego albo zagrożenia niedostosowaniem społecznym;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e) zaburzeń w funkcjonowaniu emocjonalno - społecznym, powstających m. in. w wyniku sytuacji kryzysowych lub traumatycznych;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f) trudności adaptacyjnych związanych z różnicami kulturowymi lub ze zmianą środowiska edukacyjnego, w tym związanych z wcześniejszym kształceniem za granicą;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g) specyficznych trudności w uczeniu się, w tym niepowodzeń edukacyjnych;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lastRenderedPageBreak/>
        <w:t xml:space="preserve">h) szczególnych uzdolnień w zakresie przedmiotów matematyczno-przyrodniczych, informatycznych, języków obcych, przedsiębiorczości oraz przedmiotów zawodowych;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i) zaniedbań środowiskowych związanych z sytuacją bytową ucznia i jego rodziny, sposobem spędzania czasu wolnego i kontaktami środowiskowymi. </w:t>
      </w:r>
    </w:p>
    <w:p w:rsidR="00471B61" w:rsidRPr="000E0CEB" w:rsidRDefault="00477DF1">
      <w:pPr>
        <w:pStyle w:val="Gwka"/>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b/>
          <w:bCs/>
          <w:color w:val="000000"/>
          <w:szCs w:val="22"/>
          <w:lang w:eastAsia="en-US"/>
        </w:rPr>
        <w:t xml:space="preserve">Standard minimum </w:t>
      </w:r>
      <w:r w:rsidRPr="000E0CEB">
        <w:rPr>
          <w:rFonts w:asciiTheme="minorHAnsi" w:eastAsia="Calibri" w:hAnsiTheme="minorHAnsi" w:cs="Arial"/>
          <w:color w:val="000000"/>
          <w:szCs w:val="22"/>
          <w:lang w:eastAsia="en-US"/>
        </w:rPr>
        <w:t>– narzędzie używane do oceny realizacji zasady równości szans kobiet i mężczyzn w ramach projektów współfinansowanych z EFS.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b/>
          <w:bCs/>
          <w:szCs w:val="22"/>
        </w:rPr>
        <w:t xml:space="preserve">Szkoła </w:t>
      </w:r>
      <w:r w:rsidRPr="000E0CEB">
        <w:rPr>
          <w:rFonts w:asciiTheme="minorHAnsi" w:eastAsia="Calibri" w:hAnsiTheme="minorHAnsi" w:cs="Arial"/>
          <w:szCs w:val="22"/>
        </w:rPr>
        <w:t>– podmiot, o którym mowa w art. 2 pkt 2 ustawy o systemie oświaty realizujący podstawę</w:t>
      </w:r>
    </w:p>
    <w:p w:rsidR="00471B61" w:rsidRPr="000E0CEB" w:rsidRDefault="00477DF1">
      <w:pPr>
        <w:pStyle w:val="Gwka"/>
        <w:spacing w:before="0" w:line="240" w:lineRule="auto"/>
        <w:jc w:val="both"/>
        <w:rPr>
          <w:rFonts w:asciiTheme="minorHAnsi" w:hAnsiTheme="minorHAnsi" w:cs="Arial"/>
          <w:b/>
          <w:szCs w:val="22"/>
        </w:rPr>
      </w:pPr>
      <w:r w:rsidRPr="000E0CEB">
        <w:rPr>
          <w:rFonts w:asciiTheme="minorHAnsi" w:eastAsia="Calibri" w:hAnsiTheme="minorHAnsi" w:cs="Arial"/>
          <w:szCs w:val="22"/>
        </w:rPr>
        <w:t>programową kształcenia ogólnego;</w:t>
      </w:r>
    </w:p>
    <w:p w:rsidR="00471B61" w:rsidRPr="000E0CEB" w:rsidRDefault="00477DF1">
      <w:pPr>
        <w:pStyle w:val="Gwka"/>
        <w:spacing w:before="0" w:line="240" w:lineRule="auto"/>
        <w:jc w:val="both"/>
        <w:rPr>
          <w:rFonts w:asciiTheme="minorHAnsi" w:hAnsiTheme="minorHAnsi"/>
          <w:szCs w:val="22"/>
        </w:rPr>
      </w:pPr>
      <w:r w:rsidRPr="000E0CEB">
        <w:rPr>
          <w:rFonts w:asciiTheme="minorHAnsi" w:hAnsiTheme="minorHAnsi" w:cs="Arial"/>
          <w:b/>
          <w:szCs w:val="22"/>
        </w:rPr>
        <w:t>SzOOP</w:t>
      </w:r>
      <w:r w:rsidRPr="000E0CEB">
        <w:rPr>
          <w:rFonts w:asciiTheme="minorHAnsi" w:hAnsiTheme="minorHAnsi" w:cs="Arial"/>
          <w:szCs w:val="22"/>
        </w:rPr>
        <w:t xml:space="preserve"> </w:t>
      </w:r>
      <w:r w:rsidRPr="000E0CEB">
        <w:rPr>
          <w:rFonts w:asciiTheme="minorHAnsi" w:hAnsiTheme="minorHAnsi" w:cs="Arial"/>
          <w:b/>
          <w:szCs w:val="22"/>
        </w:rPr>
        <w:t>RPO WD</w:t>
      </w:r>
      <w:r w:rsidRPr="000E0CEB">
        <w:rPr>
          <w:rFonts w:asciiTheme="minorHAnsi" w:hAnsiTheme="minorHAnsi" w:cs="Arial"/>
          <w:szCs w:val="22"/>
        </w:rPr>
        <w:t xml:space="preserve"> – Szczegółowy opis osi priorytetowych Regionalnego Programu Operacyjnego Województwa Dolnośląskiego 2014-2020</w:t>
      </w:r>
      <w:r w:rsidRPr="000E0CEB">
        <w:rPr>
          <w:rFonts w:asciiTheme="minorHAnsi" w:hAnsiTheme="minorHAnsi"/>
          <w:szCs w:val="22"/>
        </w:rPr>
        <w:t>.</w:t>
      </w:r>
    </w:p>
    <w:p w:rsidR="00471B61" w:rsidRPr="000E0CEB" w:rsidRDefault="00477DF1">
      <w:pPr>
        <w:pStyle w:val="Gwka"/>
        <w:spacing w:before="0" w:line="240" w:lineRule="auto"/>
        <w:jc w:val="both"/>
        <w:rPr>
          <w:rFonts w:asciiTheme="minorHAnsi" w:eastAsia="Calibri" w:hAnsiTheme="minorHAnsi" w:cs="Arial"/>
          <w:szCs w:val="22"/>
        </w:rPr>
      </w:pPr>
      <w:r w:rsidRPr="000E0CEB">
        <w:rPr>
          <w:rFonts w:asciiTheme="minorHAnsi" w:eastAsia="Calibri" w:hAnsiTheme="minorHAnsi" w:cs="Arial"/>
          <w:b/>
          <w:bCs/>
          <w:szCs w:val="22"/>
        </w:rPr>
        <w:t xml:space="preserve">TIK – </w:t>
      </w:r>
      <w:r w:rsidRPr="000E0CEB">
        <w:rPr>
          <w:rFonts w:asciiTheme="minorHAnsi" w:eastAsia="Calibri" w:hAnsiTheme="minorHAnsi" w:cs="Arial"/>
          <w:szCs w:val="22"/>
        </w:rPr>
        <w:t>Technologie Informacyjno-Komunikacyjne</w:t>
      </w:r>
    </w:p>
    <w:p w:rsidR="00B63284" w:rsidRPr="000E0CEB" w:rsidRDefault="00B06A11">
      <w:pPr>
        <w:autoSpaceDE w:val="0"/>
        <w:autoSpaceDN w:val="0"/>
        <w:adjustRightInd w:val="0"/>
        <w:spacing w:before="0" w:line="240" w:lineRule="auto"/>
        <w:rPr>
          <w:rFonts w:asciiTheme="minorHAnsi" w:eastAsia="Calibri" w:hAnsiTheme="minorHAnsi" w:cs="Arial"/>
          <w:color w:val="000000"/>
          <w:szCs w:val="22"/>
          <w:lang w:eastAsia="en-US"/>
        </w:rPr>
      </w:pPr>
      <w:r w:rsidRPr="000E0CEB">
        <w:rPr>
          <w:rFonts w:asciiTheme="minorHAnsi" w:eastAsia="Calibri" w:hAnsiTheme="minorHAnsi" w:cs="Arial"/>
          <w:b/>
          <w:bCs/>
          <w:color w:val="000000"/>
          <w:szCs w:val="22"/>
          <w:lang w:eastAsia="en-US"/>
        </w:rPr>
        <w:t xml:space="preserve">Uczeń/dziecko z niepełnosprawnością – </w:t>
      </w:r>
      <w:r w:rsidRPr="000E0CEB">
        <w:rPr>
          <w:rFonts w:asciiTheme="minorHAnsi" w:eastAsia="Calibri" w:hAnsiTheme="minorHAnsi" w:cs="Arial"/>
          <w:color w:val="000000"/>
          <w:szCs w:val="22"/>
          <w:lang w:eastAsia="en-US"/>
        </w:rPr>
        <w:t>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w:t>
      </w:r>
      <w:r w:rsidR="00477DF1" w:rsidRPr="000E0CEB">
        <w:rPr>
          <w:rFonts w:asciiTheme="minorHAnsi" w:eastAsia="Calibri" w:hAnsiTheme="minorHAnsi" w:cs="Arial"/>
          <w:color w:val="000000"/>
          <w:szCs w:val="22"/>
          <w:lang w:eastAsia="en-US"/>
        </w:rPr>
        <w:t xml:space="preserve"> z uwagi na niepełnosprawność wydane przez zespół z poradni psychologiczno-pedagogicznej lub orzeczenie o potrzebie zajęć rewalidacyjno-wychowawczych lub opinia z poradni psychologiczno-pedagogicznej o potrzebie wczesnego wspomagania rozwoju). </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b/>
          <w:bCs/>
          <w:szCs w:val="22"/>
        </w:rPr>
        <w:t>Ucze</w:t>
      </w:r>
      <w:r w:rsidRPr="000E0CEB">
        <w:rPr>
          <w:rFonts w:asciiTheme="minorHAnsi" w:eastAsia="Calibri" w:hAnsiTheme="minorHAnsi" w:cs="Arial,Bold"/>
          <w:b/>
          <w:bCs/>
          <w:szCs w:val="22"/>
        </w:rPr>
        <w:t xml:space="preserve">ń </w:t>
      </w:r>
      <w:r w:rsidRPr="000E0CEB">
        <w:rPr>
          <w:rFonts w:asciiTheme="minorHAnsi" w:eastAsia="Calibri" w:hAnsiTheme="minorHAnsi" w:cs="Arial"/>
          <w:b/>
          <w:bCs/>
          <w:szCs w:val="22"/>
        </w:rPr>
        <w:t xml:space="preserve">młodszy </w:t>
      </w:r>
      <w:r w:rsidRPr="000E0CEB">
        <w:rPr>
          <w:rFonts w:asciiTheme="minorHAnsi" w:eastAsia="Calibri" w:hAnsiTheme="minorHAnsi" w:cs="Arial"/>
          <w:szCs w:val="22"/>
        </w:rPr>
        <w:t>- uczeń pierwszej klasy przekraczający każdy z poniższych progów edukacyjnych:</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a) przedszkole - I etap edukacyjny (obejmujący klasy I-III w szkole podstawowej);</w:t>
      </w:r>
    </w:p>
    <w:p w:rsidR="00471B61" w:rsidRPr="000E0CEB" w:rsidRDefault="00477DF1">
      <w:pPr>
        <w:spacing w:before="0" w:line="240" w:lineRule="auto"/>
        <w:rPr>
          <w:rFonts w:asciiTheme="minorHAnsi" w:eastAsia="Calibri" w:hAnsiTheme="minorHAnsi" w:cs="Arial"/>
          <w:szCs w:val="22"/>
        </w:rPr>
      </w:pPr>
      <w:r w:rsidRPr="000E0CEB">
        <w:rPr>
          <w:rFonts w:asciiTheme="minorHAnsi" w:eastAsia="Calibri" w:hAnsiTheme="minorHAnsi" w:cs="Arial"/>
          <w:szCs w:val="22"/>
        </w:rPr>
        <w:t>b) I etap edukacyjny - II etap edukacyjny (obejmujący klasy IV-VI w szkole podstawowej);</w:t>
      </w:r>
    </w:p>
    <w:p w:rsidR="00471B61" w:rsidRPr="000E0CEB" w:rsidRDefault="00477DF1">
      <w:pPr>
        <w:pStyle w:val="Gwka"/>
        <w:spacing w:before="0" w:line="240" w:lineRule="auto"/>
        <w:jc w:val="both"/>
        <w:rPr>
          <w:rFonts w:asciiTheme="minorHAnsi" w:hAnsiTheme="minorHAnsi"/>
          <w:szCs w:val="22"/>
        </w:rPr>
      </w:pPr>
      <w:r w:rsidRPr="000E0CEB">
        <w:rPr>
          <w:rFonts w:asciiTheme="minorHAnsi" w:eastAsia="Calibri" w:hAnsiTheme="minorHAnsi" w:cs="Arial"/>
          <w:szCs w:val="22"/>
        </w:rPr>
        <w:t>c) II etap edukacyjny - III etap edukacyjny (obejmujący gimnazjum).</w:t>
      </w:r>
    </w:p>
    <w:p w:rsidR="00471B61" w:rsidRPr="000E0CEB" w:rsidRDefault="00477DF1">
      <w:pPr>
        <w:pStyle w:val="Gwka"/>
        <w:spacing w:before="0" w:line="240" w:lineRule="auto"/>
        <w:jc w:val="both"/>
        <w:rPr>
          <w:rFonts w:asciiTheme="minorHAnsi" w:hAnsiTheme="minorHAnsi" w:cs="Arial"/>
          <w:b/>
          <w:szCs w:val="22"/>
        </w:rPr>
      </w:pPr>
      <w:r w:rsidRPr="000E0CEB">
        <w:rPr>
          <w:rFonts w:asciiTheme="minorHAnsi" w:hAnsiTheme="minorHAnsi" w:cs="Arial"/>
          <w:b/>
          <w:szCs w:val="22"/>
        </w:rPr>
        <w:t>UE</w:t>
      </w:r>
      <w:r w:rsidRPr="000E0CEB">
        <w:rPr>
          <w:rFonts w:asciiTheme="minorHAnsi" w:hAnsiTheme="minorHAnsi" w:cs="Arial"/>
          <w:szCs w:val="22"/>
        </w:rPr>
        <w:t xml:space="preserve"> – Unia Europejska</w:t>
      </w:r>
      <w:r w:rsidRPr="000E0CEB">
        <w:rPr>
          <w:rFonts w:asciiTheme="minorHAnsi" w:hAnsiTheme="minorHAnsi"/>
          <w:szCs w:val="22"/>
        </w:rPr>
        <w:t>.</w:t>
      </w:r>
      <w:r w:rsidRPr="000E0CEB">
        <w:rPr>
          <w:rFonts w:asciiTheme="minorHAnsi" w:hAnsiTheme="minorHAnsi" w:cs="Arial"/>
          <w:b/>
          <w:szCs w:val="22"/>
        </w:rPr>
        <w:t xml:space="preserve"> </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UMWD</w:t>
      </w:r>
      <w:r w:rsidRPr="000E0CEB">
        <w:rPr>
          <w:rFonts w:asciiTheme="minorHAnsi" w:hAnsiTheme="minorHAnsi" w:cs="Arial"/>
          <w:szCs w:val="22"/>
        </w:rPr>
        <w:t xml:space="preserve"> – Urząd Marszałkowski Województwa Dolnośląskiego.</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Ustawa</w:t>
      </w:r>
      <w:r w:rsidRPr="000E0CEB">
        <w:rPr>
          <w:rFonts w:asciiTheme="minorHAnsi" w:hAnsiTheme="minorHAnsi" w:cs="Arial"/>
          <w:szCs w:val="22"/>
        </w:rPr>
        <w:t xml:space="preserve"> - ustawa z dnia 11 lipca 2014 r. o zasadach realizacji programów w zakresie polityki spójności finansowanych w perspektywie finansowej 2014–2020 (Dz. U. poz. 1146</w:t>
      </w:r>
      <w:r w:rsidRPr="000E0CEB">
        <w:rPr>
          <w:rFonts w:asciiTheme="minorHAnsi" w:hAnsiTheme="minorHAnsi" w:cs="Calibri"/>
          <w:szCs w:val="22"/>
        </w:rPr>
        <w:t xml:space="preserve">, </w:t>
      </w:r>
      <w:r w:rsidRPr="000E0CEB">
        <w:rPr>
          <w:rFonts w:asciiTheme="minorHAnsi" w:hAnsiTheme="minorHAnsi" w:cs="Arial"/>
          <w:szCs w:val="22"/>
        </w:rPr>
        <w:t>z późn. zm.).</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b/>
          <w:szCs w:val="22"/>
        </w:rPr>
        <w:t>Wkład własny</w:t>
      </w:r>
      <w:r w:rsidRPr="000E0CEB">
        <w:rPr>
          <w:rFonts w:asciiTheme="minorHAnsi" w:hAnsiTheme="minorHAnsi"/>
          <w:szCs w:val="22"/>
        </w:rPr>
        <w:t xml:space="preserve"> – środki finansowe lub wkład niepieniężny zabezpieczone przez Beneficjenta lub partnera, które zostaną przeznaczone na pokrycie wydatków kwalifikowalnych i nie zostaną Beneficjentowi przekazane w formie dofinansowania.</w:t>
      </w:r>
    </w:p>
    <w:p w:rsidR="00471B61" w:rsidRPr="000E0CEB" w:rsidRDefault="00477DF1">
      <w:pPr>
        <w:pStyle w:val="Gwka"/>
        <w:spacing w:before="0" w:line="240" w:lineRule="auto"/>
        <w:jc w:val="both"/>
        <w:rPr>
          <w:rFonts w:asciiTheme="minorHAnsi" w:hAnsiTheme="minorHAnsi" w:cs="Arial"/>
          <w:szCs w:val="22"/>
        </w:rPr>
      </w:pPr>
      <w:r w:rsidRPr="000E0CEB">
        <w:rPr>
          <w:rFonts w:asciiTheme="minorHAnsi" w:hAnsiTheme="minorHAnsi" w:cs="Arial"/>
          <w:b/>
          <w:szCs w:val="22"/>
        </w:rPr>
        <w:t xml:space="preserve">Wniosek </w:t>
      </w:r>
      <w:r w:rsidRPr="000E0CEB">
        <w:rPr>
          <w:rFonts w:asciiTheme="minorHAnsi" w:hAnsiTheme="minorHAnsi" w:cs="Arial"/>
          <w:szCs w:val="22"/>
        </w:rPr>
        <w:t>– wniosek o dofinansowanie projektu</w:t>
      </w:r>
      <w:r w:rsidRPr="000E0CEB">
        <w:rPr>
          <w:rFonts w:asciiTheme="minorHAnsi" w:hAnsiTheme="minorHAnsi"/>
          <w:szCs w:val="22"/>
        </w:rPr>
        <w:t>.</w:t>
      </w:r>
    </w:p>
    <w:p w:rsidR="00471B61" w:rsidRPr="000E0CEB" w:rsidRDefault="00477DF1">
      <w:pPr>
        <w:pStyle w:val="Gwka"/>
        <w:spacing w:before="0"/>
        <w:jc w:val="both"/>
        <w:rPr>
          <w:rFonts w:asciiTheme="minorHAnsi" w:hAnsiTheme="minorHAnsi"/>
          <w:szCs w:val="22"/>
        </w:rPr>
      </w:pPr>
      <w:r w:rsidRPr="000E0CEB">
        <w:rPr>
          <w:rFonts w:asciiTheme="minorHAnsi" w:hAnsiTheme="minorHAnsi" w:cs="Arial"/>
          <w:b/>
          <w:szCs w:val="22"/>
        </w:rPr>
        <w:t>Wnioskodawca</w:t>
      </w:r>
      <w:r w:rsidRPr="000E0CEB">
        <w:rPr>
          <w:rFonts w:asciiTheme="minorHAnsi" w:hAnsiTheme="minorHAnsi" w:cs="Arial"/>
          <w:szCs w:val="22"/>
        </w:rPr>
        <w:t xml:space="preserve"> – podmiot, który złożył wniosek o dofinansowanie projektu</w:t>
      </w:r>
      <w:r w:rsidRPr="000E0CEB">
        <w:rPr>
          <w:rFonts w:asciiTheme="minorHAnsi" w:hAnsiTheme="minorHAnsi"/>
          <w:szCs w:val="22"/>
        </w:rPr>
        <w:t>.</w:t>
      </w:r>
    </w:p>
    <w:p w:rsidR="00471B61" w:rsidRPr="000E0CEB" w:rsidRDefault="00477DF1">
      <w:pPr>
        <w:pStyle w:val="Gwka"/>
        <w:spacing w:before="120" w:after="120" w:line="240" w:lineRule="auto"/>
        <w:jc w:val="both"/>
        <w:rPr>
          <w:rFonts w:asciiTheme="minorHAnsi" w:hAnsiTheme="minorHAnsi" w:cs="Arial"/>
          <w:szCs w:val="22"/>
        </w:rPr>
      </w:pPr>
      <w:r w:rsidRPr="000E0CEB">
        <w:rPr>
          <w:rFonts w:asciiTheme="minorHAnsi" w:hAnsiTheme="minorHAnsi" w:cs="Arial"/>
          <w:b/>
          <w:szCs w:val="22"/>
        </w:rPr>
        <w:t>ZIT</w:t>
      </w:r>
      <w:r w:rsidRPr="000E0CEB">
        <w:rPr>
          <w:rFonts w:asciiTheme="minorHAnsi" w:hAnsiTheme="minorHAnsi" w:cs="Arial"/>
          <w:szCs w:val="22"/>
        </w:rPr>
        <w:t>– 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471B61" w:rsidRPr="000E0CEB" w:rsidRDefault="00477DF1">
      <w:pPr>
        <w:pStyle w:val="Gwka"/>
        <w:spacing w:before="120" w:after="120" w:line="240" w:lineRule="auto"/>
        <w:jc w:val="both"/>
        <w:rPr>
          <w:rFonts w:asciiTheme="minorHAnsi" w:hAnsiTheme="minorHAnsi" w:cs="Arial"/>
          <w:szCs w:val="22"/>
          <w:highlight w:val="yellow"/>
        </w:rPr>
      </w:pPr>
      <w:r w:rsidRPr="000E0CEB">
        <w:rPr>
          <w:rFonts w:asciiTheme="minorHAnsi" w:hAnsiTheme="minorHAnsi" w:cs="Arial"/>
          <w:b/>
          <w:szCs w:val="22"/>
        </w:rPr>
        <w:t xml:space="preserve">ZIT AJ </w:t>
      </w:r>
      <w:r w:rsidRPr="000E0CEB">
        <w:rPr>
          <w:rFonts w:asciiTheme="minorHAnsi" w:hAnsiTheme="minorHAnsi" w:cs="Arial"/>
          <w:szCs w:val="22"/>
        </w:rPr>
        <w:t>- Miasto Jelenia Góra, któremu zostało powierzone zarządzanie Zintegrowanymi Inwestycjami Terytorialnymi Aglomeracji Jeleniogórskiej.</w:t>
      </w:r>
      <w:r w:rsidRPr="000E0CEB">
        <w:rPr>
          <w:rFonts w:asciiTheme="minorHAnsi" w:hAnsiTheme="minorHAnsi"/>
        </w:rPr>
        <w:br w:type="page"/>
      </w: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7" w:name="_Toc430826814"/>
      <w:bookmarkStart w:id="8" w:name="_Toc426632911"/>
      <w:bookmarkStart w:id="9" w:name="_Toc438125936"/>
      <w:bookmarkStart w:id="10" w:name="_Toc441241673"/>
      <w:bookmarkEnd w:id="7"/>
      <w:bookmarkEnd w:id="8"/>
      <w:r w:rsidRPr="000E0CEB">
        <w:rPr>
          <w:sz w:val="22"/>
          <w:szCs w:val="22"/>
        </w:rPr>
        <w:lastRenderedPageBreak/>
        <w:t>I.  Informacje ogólne</w:t>
      </w:r>
      <w:bookmarkEnd w:id="9"/>
      <w:bookmarkEnd w:id="10"/>
    </w:p>
    <w:p w:rsidR="00B63284" w:rsidRPr="000E0CEB" w:rsidRDefault="00B06A11">
      <w:pPr>
        <w:pStyle w:val="Nagwek2"/>
      </w:pPr>
      <w:bookmarkStart w:id="11" w:name="_Toc430826815"/>
      <w:bookmarkStart w:id="12" w:name="_Toc426632912"/>
      <w:bookmarkStart w:id="13" w:name="_Toc438125937"/>
      <w:bookmarkStart w:id="14" w:name="_Toc441241674"/>
      <w:bookmarkEnd w:id="11"/>
      <w:bookmarkEnd w:id="12"/>
      <w:r w:rsidRPr="000E0CEB">
        <w:t xml:space="preserve">1. </w:t>
      </w:r>
      <w:r w:rsidR="004D576A" w:rsidRPr="000E0CEB">
        <w:t>Regulamin konkursu</w:t>
      </w:r>
      <w:bookmarkEnd w:id="13"/>
      <w:bookmarkEnd w:id="14"/>
    </w:p>
    <w:p w:rsidR="00471B61" w:rsidRPr="000E0CEB" w:rsidRDefault="00477DF1">
      <w:pPr>
        <w:pStyle w:val="Gwka"/>
        <w:spacing w:before="120" w:after="120" w:line="240" w:lineRule="auto"/>
        <w:jc w:val="both"/>
        <w:rPr>
          <w:rFonts w:asciiTheme="minorHAnsi" w:hAnsiTheme="minorHAnsi" w:cs="Arial"/>
          <w:szCs w:val="22"/>
          <w:highlight w:val="yellow"/>
        </w:rPr>
      </w:pPr>
      <w:r w:rsidRPr="000E0CEB">
        <w:rPr>
          <w:rFonts w:asciiTheme="minorHAnsi" w:eastAsia="Calibri" w:hAnsiTheme="minorHAnsi" w:cs="Arial"/>
          <w:szCs w:val="22"/>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0E0CEB">
        <w:rPr>
          <w:rFonts w:asciiTheme="minorHAnsi" w:eastAsia="Calibri" w:hAnsiTheme="minorHAnsi" w:cs="Arial"/>
          <w:i/>
          <w:iCs/>
          <w:szCs w:val="22"/>
          <w:lang w:eastAsia="en-US"/>
        </w:rPr>
        <w:t xml:space="preserve">Edukacja </w:t>
      </w:r>
      <w:r w:rsidRPr="000E0CEB">
        <w:rPr>
          <w:rFonts w:asciiTheme="minorHAnsi" w:eastAsia="Calibri" w:hAnsiTheme="minorHAnsi" w:cs="Arial"/>
          <w:szCs w:val="22"/>
          <w:lang w:eastAsia="en-US"/>
        </w:rPr>
        <w:t>Działania 10.2 –</w:t>
      </w:r>
      <w:r w:rsidRPr="000E0CEB">
        <w:rPr>
          <w:rFonts w:asciiTheme="minorHAnsi" w:hAnsiTheme="minorHAnsi" w:cs="Arial"/>
          <w:b/>
          <w:bCs/>
          <w:szCs w:val="22"/>
        </w:rPr>
        <w:t xml:space="preserve"> </w:t>
      </w:r>
      <w:r w:rsidRPr="000E0CEB">
        <w:rPr>
          <w:rFonts w:asciiTheme="minorHAnsi" w:hAnsiTheme="minorHAnsi" w:cs="Arial"/>
          <w:bCs/>
          <w:szCs w:val="22"/>
        </w:rPr>
        <w:t xml:space="preserve">Poddziałanie 10.2.3 </w:t>
      </w:r>
      <w:r w:rsidRPr="000E0CEB">
        <w:rPr>
          <w:rFonts w:asciiTheme="minorHAnsi" w:hAnsiTheme="minorHAnsi" w:cs="Arial"/>
          <w:b/>
          <w:szCs w:val="22"/>
        </w:rPr>
        <w:t>Zapewnienie równego dostępu do wysokiej jakości edukacji podstawowej, gimnazjalnej i ponadgimnazjalnej</w:t>
      </w:r>
      <w:r w:rsidRPr="000E0CEB">
        <w:rPr>
          <w:rFonts w:asciiTheme="minorHAnsi" w:eastAsia="Calibri" w:hAnsiTheme="minorHAnsi" w:cs="Arial"/>
          <w:szCs w:val="22"/>
          <w:lang w:eastAsia="en-US"/>
        </w:rPr>
        <w:t xml:space="preserve"> </w:t>
      </w:r>
      <w:r w:rsidRPr="000E0CEB">
        <w:rPr>
          <w:rFonts w:asciiTheme="minorHAnsi" w:hAnsiTheme="minorHAnsi" w:cs="Arial"/>
          <w:b/>
          <w:bCs/>
          <w:szCs w:val="22"/>
        </w:rPr>
        <w:t>– ZIT AJ</w:t>
      </w:r>
      <w:r w:rsidRPr="000E0CEB">
        <w:rPr>
          <w:rFonts w:asciiTheme="minorHAnsi" w:eastAsia="Calibri" w:hAnsiTheme="minorHAnsi" w:cs="Calibri"/>
          <w:szCs w:val="22"/>
          <w:lang w:eastAsia="en-US"/>
        </w:rPr>
        <w:t>.</w:t>
      </w:r>
      <w:r w:rsidRPr="000E0CEB">
        <w:rPr>
          <w:rFonts w:asciiTheme="minorHAnsi" w:eastAsia="Calibri" w:hAnsiTheme="minorHAnsi" w:cs="Arial"/>
          <w:szCs w:val="22"/>
          <w:lang w:eastAsia="en-US"/>
        </w:rPr>
        <w:t xml:space="preserve"> </w:t>
      </w:r>
    </w:p>
    <w:p w:rsidR="00471B61" w:rsidRPr="000E0CEB" w:rsidRDefault="00477DF1">
      <w:pPr>
        <w:pStyle w:val="Akapitzlist"/>
        <w:spacing w:before="120" w:after="120" w:line="240" w:lineRule="auto"/>
        <w:ind w:left="0"/>
        <w:jc w:val="both"/>
        <w:rPr>
          <w:rFonts w:asciiTheme="minorHAnsi" w:hAnsiTheme="minorHAnsi"/>
          <w:sz w:val="22"/>
          <w:szCs w:val="22"/>
        </w:rPr>
      </w:pPr>
      <w:r w:rsidRPr="000E0CEB">
        <w:rPr>
          <w:rFonts w:asciiTheme="minorHAnsi" w:hAnsiTheme="minorHAnsi"/>
          <w:sz w:val="22"/>
          <w:szCs w:val="22"/>
        </w:rPr>
        <w:t xml:space="preserve">Konkurs ogłasza Instytucja Zarządzająca Regionalnym Programem Operacyjnym Województwa Dolnośląskiego 2014-2020 oraz </w:t>
      </w:r>
      <w:r w:rsidRPr="000E0CEB">
        <w:rPr>
          <w:rFonts w:asciiTheme="minorHAnsi" w:hAnsiTheme="minorHAnsi" w:cs="Calibri"/>
          <w:sz w:val="22"/>
          <w:szCs w:val="22"/>
        </w:rPr>
        <w:t xml:space="preserve">ZIT AJ, ul. Okrzei 10, 58-500 Jelenia Góra </w:t>
      </w:r>
      <w:r w:rsidRPr="000E0CEB">
        <w:rPr>
          <w:rFonts w:asciiTheme="minorHAnsi" w:hAnsiTheme="minorHAnsi"/>
          <w:sz w:val="22"/>
          <w:szCs w:val="22"/>
        </w:rPr>
        <w:t xml:space="preserve"> pełniące rolę Instytucji Organizującej Konkurs ( IOK ).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p w:rsidR="00471B61" w:rsidRPr="000E0CEB" w:rsidRDefault="00477DF1">
      <w:pPr>
        <w:pStyle w:val="Akapitzlist"/>
        <w:spacing w:before="120" w:after="120" w:line="240" w:lineRule="auto"/>
        <w:ind w:left="0"/>
        <w:jc w:val="both"/>
        <w:rPr>
          <w:rFonts w:asciiTheme="minorHAnsi" w:hAnsiTheme="minorHAnsi"/>
          <w:sz w:val="22"/>
          <w:szCs w:val="22"/>
        </w:rPr>
      </w:pPr>
      <w:r w:rsidRPr="000E0CEB">
        <w:rPr>
          <w:rFonts w:asciiTheme="minorHAnsi" w:eastAsia="Calibri" w:hAnsiTheme="minorHAnsi" w:cs="Arial"/>
          <w:sz w:val="22"/>
          <w:szCs w:val="22"/>
          <w:lang w:eastAsia="en-US"/>
        </w:rPr>
        <w:t xml:space="preserve">Regulamin oraz wszystkie niezbędne do złożenia na konkurs dokumenty są dostępne na stronie internetowej RPO WD 2014-2020: </w:t>
      </w:r>
      <w:hyperlink r:id="rId24">
        <w:r w:rsidRPr="000E0CEB">
          <w:rPr>
            <w:rStyle w:val="czeinternetowe"/>
            <w:rFonts w:asciiTheme="minorHAnsi" w:eastAsia="Calibri" w:hAnsiTheme="minorHAnsi" w:cs="Arial"/>
            <w:webHidden/>
            <w:color w:val="00000A"/>
            <w:sz w:val="22"/>
            <w:szCs w:val="22"/>
            <w:lang w:eastAsia="en-US"/>
          </w:rPr>
          <w:t>www.rpo.dolnyslask.pl</w:t>
        </w:r>
      </w:hyperlink>
      <w:r w:rsidRPr="000E0CEB">
        <w:rPr>
          <w:rFonts w:asciiTheme="minorHAnsi" w:hAnsiTheme="minorHAnsi"/>
          <w:sz w:val="22"/>
          <w:szCs w:val="22"/>
        </w:rPr>
        <w:t xml:space="preserve">, </w:t>
      </w:r>
      <w:hyperlink r:id="rId25">
        <w:r w:rsidRPr="000E0CEB">
          <w:rPr>
            <w:rStyle w:val="czeinternetowe"/>
            <w:rFonts w:asciiTheme="minorHAnsi" w:hAnsiTheme="minorHAnsi" w:cs="Calibri"/>
            <w:webHidden/>
            <w:sz w:val="22"/>
            <w:szCs w:val="22"/>
          </w:rPr>
          <w:t>www.zitaj.jeleniagora.pl</w:t>
        </w:r>
      </w:hyperlink>
      <w:r w:rsidRPr="000E0CEB">
        <w:rPr>
          <w:rFonts w:asciiTheme="minorHAnsi" w:hAnsiTheme="minorHAnsi" w:cs="Calibri"/>
          <w:sz w:val="22"/>
          <w:szCs w:val="22"/>
        </w:rPr>
        <w:t xml:space="preserve"> </w:t>
      </w:r>
      <w:r w:rsidRPr="000E0CEB">
        <w:rPr>
          <w:rFonts w:asciiTheme="minorHAnsi" w:hAnsiTheme="minorHAnsi"/>
          <w:sz w:val="22"/>
          <w:szCs w:val="22"/>
        </w:rPr>
        <w:t xml:space="preserve">oraz </w:t>
      </w:r>
      <w:hyperlink r:id="rId26">
        <w:r w:rsidRPr="000E0CEB">
          <w:rPr>
            <w:rStyle w:val="czeinternetowe"/>
            <w:rFonts w:asciiTheme="minorHAnsi" w:hAnsiTheme="minorHAnsi" w:cs="Calibri"/>
            <w:webHidden/>
            <w:color w:val="00000A"/>
            <w:sz w:val="22"/>
            <w:szCs w:val="22"/>
          </w:rPr>
          <w:t>www.funduszeeuropejskie.gov.pl</w:t>
        </w:r>
      </w:hyperlink>
      <w:r w:rsidRPr="000E0CEB">
        <w:rPr>
          <w:rFonts w:asciiTheme="minorHAnsi" w:eastAsia="Calibri" w:hAnsiTheme="minorHAnsi" w:cs="Arial"/>
          <w:sz w:val="22"/>
          <w:szCs w:val="22"/>
          <w:lang w:eastAsia="en-US"/>
        </w:rPr>
        <w:t xml:space="preserve">. </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eastAsia="Calibri" w:hAnsiTheme="minorHAnsi" w:cs="Arial"/>
          <w:szCs w:val="22"/>
          <w:lang w:eastAsia="en-US"/>
        </w:rPr>
        <w:t xml:space="preserve">Przystąpienie do konkursu jest równoznaczne z akceptacją przez Wnioskodawcę postanowień </w:t>
      </w:r>
      <w:r w:rsidRPr="000E0CEB">
        <w:rPr>
          <w:rFonts w:asciiTheme="minorHAnsi" w:eastAsia="Calibri" w:hAnsiTheme="minorHAnsi" w:cs="Arial"/>
          <w:iCs/>
          <w:szCs w:val="22"/>
          <w:lang w:eastAsia="en-US"/>
        </w:rPr>
        <w:t>regulaminu</w:t>
      </w:r>
      <w:r w:rsidRPr="000E0CEB">
        <w:rPr>
          <w:rFonts w:asciiTheme="minorHAnsi" w:eastAsia="Calibri" w:hAnsiTheme="minorHAnsi" w:cs="Arial"/>
          <w:szCs w:val="22"/>
          <w:lang w:eastAsia="en-US"/>
        </w:rPr>
        <w:t>.</w:t>
      </w:r>
    </w:p>
    <w:p w:rsidR="00471B61" w:rsidRPr="000E0CEB" w:rsidRDefault="00477DF1">
      <w:pPr>
        <w:spacing w:before="120" w:after="120" w:line="240" w:lineRule="auto"/>
        <w:jc w:val="both"/>
        <w:rPr>
          <w:rFonts w:asciiTheme="minorHAnsi" w:eastAsia="Calibri" w:hAnsiTheme="minorHAnsi" w:cs="Arial"/>
          <w:szCs w:val="22"/>
          <w:lang w:eastAsia="en-US"/>
        </w:rPr>
      </w:pPr>
      <w:bookmarkStart w:id="15" w:name="_Toc425494884"/>
      <w:bookmarkEnd w:id="15"/>
      <w:r w:rsidRPr="000E0CEB">
        <w:rPr>
          <w:rFonts w:asciiTheme="minorHAnsi" w:hAnsiTheme="minorHAnsi" w:cs="Calibri"/>
          <w:szCs w:val="22"/>
        </w:rPr>
        <w:t>W kwestiach nieuregulowanych niniejszym regulaminem konkursu, zastosowanie mają odpowiednie przepisy prawa polskiego i Unii Europejskiej.</w:t>
      </w:r>
    </w:p>
    <w:p w:rsidR="00B63284" w:rsidRPr="000E0CEB" w:rsidRDefault="00B06A11">
      <w:pPr>
        <w:pStyle w:val="Nagwek2"/>
      </w:pPr>
      <w:bookmarkStart w:id="16" w:name="_Toc430826816"/>
      <w:bookmarkStart w:id="17" w:name="_Toc426632913"/>
      <w:bookmarkStart w:id="18" w:name="_Toc438125938"/>
      <w:bookmarkStart w:id="19" w:name="_Toc441241675"/>
      <w:bookmarkEnd w:id="16"/>
      <w:bookmarkEnd w:id="17"/>
      <w:r w:rsidRPr="000E0CEB">
        <w:t xml:space="preserve">2. </w:t>
      </w:r>
      <w:r w:rsidR="004D576A" w:rsidRPr="000E0CEB">
        <w:t>Podstawy prawne</w:t>
      </w:r>
      <w:bookmarkEnd w:id="18"/>
      <w:bookmarkEnd w:id="19"/>
    </w:p>
    <w:p w:rsidR="00B63284" w:rsidRPr="000E0CEB" w:rsidRDefault="00477DF1">
      <w:pPr>
        <w:spacing w:before="0" w:line="240" w:lineRule="auto"/>
        <w:jc w:val="both"/>
        <w:rPr>
          <w:rFonts w:asciiTheme="minorHAnsi" w:hAnsiTheme="minorHAnsi"/>
          <w:szCs w:val="22"/>
        </w:rPr>
      </w:pPr>
      <w:r w:rsidRPr="000E0CEB">
        <w:rPr>
          <w:rFonts w:asciiTheme="minorHAnsi" w:hAnsiTheme="minorHAnsi"/>
          <w:szCs w:val="22"/>
        </w:rPr>
        <w:t>Konkurs jest prowadzony w oparciu o niżej wymienione akty prawne, dokumenty programowe, a także inne dokumenty niżej niewymienione, które dotyczą realizacji projektów współfinansowanych z funduszy strukturalnych:</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Rozporządzenie ogólne;</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 xml:space="preserve">Rozporządzenie Parlamentu Europejskiego i Rady (UE) nr 1304/2013 z dnia 17 grudnia 2013 r. w sprawie </w:t>
      </w:r>
      <w:r w:rsidRPr="000E0CEB">
        <w:rPr>
          <w:rFonts w:asciiTheme="minorHAnsi" w:hAnsiTheme="minorHAnsi" w:cs="Calibri"/>
          <w:szCs w:val="22"/>
        </w:rPr>
        <w:t>Europejskiego Funduszu Społecznego i uchylającego rozporządzenie Rady (WE) nr 1081/2006 (Dz. Urz. UE L 347 z 20.12.2013, str. 470);</w:t>
      </w:r>
    </w:p>
    <w:p w:rsidR="00B63284" w:rsidRPr="000E0CEB" w:rsidRDefault="00477DF1">
      <w:pPr>
        <w:pStyle w:val="Akapitzlist"/>
        <w:numPr>
          <w:ilvl w:val="0"/>
          <w:numId w:val="2"/>
        </w:numPr>
        <w:spacing w:before="0" w:line="240" w:lineRule="auto"/>
        <w:jc w:val="both"/>
        <w:rPr>
          <w:rFonts w:asciiTheme="minorHAnsi" w:hAnsiTheme="minorHAnsi"/>
          <w:sz w:val="22"/>
          <w:szCs w:val="22"/>
        </w:rPr>
      </w:pPr>
      <w:r w:rsidRPr="000E0CEB">
        <w:rPr>
          <w:rFonts w:asciiTheme="minorHAnsi" w:eastAsia="Calibri" w:hAnsiTheme="minorHAnsi" w:cs="Arial"/>
          <w:color w:val="000000"/>
          <w:sz w:val="22"/>
          <w:szCs w:val="22"/>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Ustawę o systemie oświaty z dnia 7 września 1991 r. (Dz. U. z 2004 r., Nr 256, poz. 2572 z późniejszymi zmianami. </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29 stycznia 2004 r. Prawo zamówień publicznych (Dz. U. z 2013 r. poz. 907,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27 sierpnia 2009 r. o finansach publicznych (Dz. U. z 2013 r. poz. 885,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29 września 1994 r. o rachunkowości (DZ. U. z 2013r., poz. 330,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30 kwietnia 2004 r. o postępowaniu w sprawach dotyczących pomocy publicznej (Dz. U. z 2007 r., Nr 59, poz. 404,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14 czerwca 1960 r. Kodeks postępowania administracyjnego (Dz. U. z 2013 r. poz. 267,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Ustawę z dnia 6 września 2001 r. o dostępie do informacji publicznej (Dz. U. z 2014 r., poz. 782, z późn. zm.);</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Ustawę z dnia 30 sierpnia 2002 r. – Prawo o postępowaniu przed sądami administracyjnymi (Dz. U. z 2012 r. poz. 270, z późn. zm.);</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Ustawę z dnia 11 lipca 2014 r. o zasadach realizacji programów w zakresie polityki spójności finansowanych w perspektywie finansowej 2014–2020 (t.j. Dz. U z 2014 r. poz. 1146, z późn. zm.);</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t>Rozporządzenie Komisji (UE) Nr 1407/2013 z dnia 18 grudnia 2013 roku w sprawie stosowania art. 107 i 108 Traktatu o funkcjonowaniu Unii Europejskiej do pomocy de minimis (Dz. Urz. UE L 352 z 24.12.2013, s. 1);</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cs="Calibri"/>
          <w:szCs w:val="22"/>
        </w:rPr>
        <w:lastRenderedPageBreak/>
        <w:t>Rozporządzenia Komisji (UE) nr 651/2014 z 17 czerwca 2014 roku uznające niektóre rodzaje pomocy za zgodne z rynkiem wewnętrznym w zastosowaniu art. 107 i 108 Traktatu (Dz. Urz. UE L 187 z 26.06.2014, s. 1);</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 xml:space="preserve">Rozporządzenie Ministra Infrastruktury i Rozwoju z dnia 2 lipca 2015 roku w sprawie udzielania pomocy </w:t>
      </w:r>
      <w:r w:rsidRPr="000E0CEB">
        <w:rPr>
          <w:rFonts w:asciiTheme="minorHAnsi" w:hAnsiTheme="minorHAnsi"/>
          <w:i/>
          <w:szCs w:val="22"/>
        </w:rPr>
        <w:t>de minimis</w:t>
      </w:r>
      <w:r w:rsidRPr="000E0CEB">
        <w:rPr>
          <w:rFonts w:asciiTheme="minorHAnsi" w:hAnsiTheme="minorHAnsi"/>
          <w:szCs w:val="22"/>
        </w:rPr>
        <w:t xml:space="preserve"> i pomocy publicznej w ramach programów operacyjnych finansowanych z Europejskiego Funduszu Społecznego na lata 2014-2020 (</w:t>
      </w:r>
      <w:r w:rsidRPr="000E0CEB">
        <w:rPr>
          <w:rFonts w:asciiTheme="minorHAnsi" w:hAnsiTheme="minorHAnsi" w:cs="Calibri"/>
          <w:szCs w:val="22"/>
        </w:rPr>
        <w:t>Dz. U. z poz. 1073)</w:t>
      </w:r>
      <w:r w:rsidRPr="000E0CEB">
        <w:rPr>
          <w:rFonts w:asciiTheme="minorHAnsi" w:hAnsiTheme="minorHAnsi"/>
          <w:szCs w:val="22"/>
        </w:rPr>
        <w:t>;</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Regionalny Program Operacyjny Województwa Dolnośląskiego 2014-2020 przyjęty przez Komisję Europejską 18 grudnia 2014 r.;</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Szczegółowy opis osi priorytetowych Regionalnego Programu Operacyjnego Województwa Dolnośląskiego 2014-2020 z dnia 14 września 2015 r.;</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 xml:space="preserve">Kryteria </w:t>
      </w:r>
      <w:r w:rsidRPr="000E0CEB">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Wytyczne Ministra Infrastruktury i Rozwoju z dnia 31 marca 2015 r. w zakresie trybów wyboru projektów na lata 2014-2020;</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Wytyczne Ministra Infrastruktury i Rozwoju z dnia 22 kwietnia 2015 r. w zakresie monitorowania postępu rzeczowego realizacji programów operacyjnych na lata 2014-2020;</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B63284" w:rsidRPr="000E0CEB" w:rsidRDefault="00477DF1">
      <w:pPr>
        <w:numPr>
          <w:ilvl w:val="0"/>
          <w:numId w:val="2"/>
        </w:numPr>
        <w:spacing w:before="0" w:line="240" w:lineRule="auto"/>
        <w:jc w:val="both"/>
        <w:rPr>
          <w:rFonts w:asciiTheme="minorHAnsi" w:hAnsiTheme="minorHAnsi"/>
          <w:szCs w:val="22"/>
          <w:u w:val="single"/>
        </w:rPr>
      </w:pPr>
      <w:r w:rsidRPr="000E0CEB">
        <w:rPr>
          <w:rFonts w:asciiTheme="minorHAnsi" w:hAnsiTheme="minorHAnsi"/>
          <w:szCs w:val="22"/>
        </w:rPr>
        <w:t>Wytyczne Ministra Infrastruktury i Rozwoju z dnia 2 czerwca 2015 r. w zakresie realizacji przedsięwzięć z udziałem środków Europejskiego Funduszu Społecznego w obszarze edukacji na lata 2014-2020;</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Wytyczne </w:t>
      </w:r>
      <w:r w:rsidRPr="000E0CEB">
        <w:rPr>
          <w:rFonts w:asciiTheme="minorHAnsi" w:hAnsiTheme="minorHAnsi"/>
          <w:sz w:val="22"/>
          <w:szCs w:val="22"/>
        </w:rPr>
        <w:t>Ministra Infrastruktury i Rozwoju</w:t>
      </w:r>
      <w:r w:rsidRPr="000E0CEB">
        <w:rPr>
          <w:rFonts w:asciiTheme="minorHAnsi" w:eastAsia="Calibri" w:hAnsiTheme="minorHAnsi" w:cs="Arial"/>
          <w:color w:val="000000"/>
          <w:sz w:val="22"/>
          <w:szCs w:val="22"/>
          <w:lang w:eastAsia="en-US"/>
        </w:rPr>
        <w:t xml:space="preserve"> z dnia </w:t>
      </w:r>
      <w:r w:rsidRPr="000E0CEB">
        <w:rPr>
          <w:rFonts w:asciiTheme="minorHAnsi" w:hAnsiTheme="minorHAnsi"/>
          <w:sz w:val="22"/>
          <w:szCs w:val="22"/>
        </w:rPr>
        <w:t>3</w:t>
      </w:r>
      <w:r w:rsidRPr="000E0CEB">
        <w:rPr>
          <w:rFonts w:asciiTheme="minorHAnsi" w:eastAsia="Calibri" w:hAnsiTheme="minorHAnsi" w:cs="Arial"/>
          <w:color w:val="000000"/>
          <w:sz w:val="22"/>
          <w:szCs w:val="22"/>
          <w:lang w:eastAsia="en-US"/>
        </w:rPr>
        <w:t xml:space="preserve"> marca 015 r. w zakresie warunków gromadzenia i przekazywania danych w postaci elektronicznej na lata 2014-2020;</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Wytyczne </w:t>
      </w:r>
      <w:r w:rsidRPr="000E0CEB">
        <w:rPr>
          <w:rFonts w:asciiTheme="minorHAnsi" w:hAnsiTheme="minorHAnsi"/>
          <w:sz w:val="22"/>
          <w:szCs w:val="22"/>
        </w:rPr>
        <w:t>Ministra Infrastruktury i Rozwoju</w:t>
      </w:r>
      <w:r w:rsidRPr="000E0CEB">
        <w:rPr>
          <w:rFonts w:asciiTheme="minorHAnsi" w:eastAsia="Calibri" w:hAnsiTheme="minorHAnsi" w:cs="Arial"/>
          <w:color w:val="000000"/>
          <w:sz w:val="22"/>
          <w:szCs w:val="22"/>
          <w:lang w:eastAsia="en-US"/>
        </w:rPr>
        <w:t xml:space="preserve"> z dnia 31 marca 2015 r. w zakresie warunków certyfikacji oraz przygotowania prognoz wniosków o płatność do Komisji Europejskiej w ramach programów operacyjnych na lata 2014-2020;</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Wytyczne </w:t>
      </w:r>
      <w:r w:rsidRPr="000E0CEB">
        <w:rPr>
          <w:rFonts w:asciiTheme="minorHAnsi" w:hAnsiTheme="minorHAnsi"/>
          <w:sz w:val="22"/>
          <w:szCs w:val="22"/>
        </w:rPr>
        <w:t>Ministra Infrastruktury i Rozwoju</w:t>
      </w:r>
      <w:r w:rsidRPr="000E0CEB">
        <w:rPr>
          <w:rFonts w:asciiTheme="minorHAnsi" w:eastAsia="Calibri" w:hAnsiTheme="minorHAnsi" w:cs="Arial"/>
          <w:color w:val="000000"/>
          <w:sz w:val="22"/>
          <w:szCs w:val="22"/>
          <w:lang w:eastAsia="en-US"/>
        </w:rPr>
        <w:t xml:space="preserve"> z dnia 31 marca 2015 r. w zakresie realizacji zasady partnerstwa na lata 2014-2020;</w:t>
      </w:r>
    </w:p>
    <w:p w:rsidR="00B63284" w:rsidRPr="000E0CEB" w:rsidRDefault="00477DF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Wytyczne Ministra Infrastruktury i Rozwoju z dnia 30 kwietnia 2015 r. w zakresie informacji i promocji programów operacyjnych polityki spójności na lata 2014-2020; </w:t>
      </w:r>
    </w:p>
    <w:p w:rsidR="00471B61" w:rsidRPr="000E0CEB" w:rsidRDefault="00477DF1" w:rsidP="00B06A11">
      <w:pPr>
        <w:pStyle w:val="Akapitzlist"/>
        <w:numPr>
          <w:ilvl w:val="0"/>
          <w:numId w:val="2"/>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Wytyczne Ministra Infrastruktury i Rozwoju z dnia 8 maja 2015 r. w zakresie sprawozdawczości na lata 2014-2020. </w:t>
      </w:r>
    </w:p>
    <w:p w:rsidR="00B63284" w:rsidRPr="000E0CEB" w:rsidRDefault="00477DF1">
      <w:pPr>
        <w:numPr>
          <w:ilvl w:val="0"/>
          <w:numId w:val="2"/>
        </w:numPr>
        <w:spacing w:before="0" w:line="240" w:lineRule="auto"/>
        <w:jc w:val="both"/>
        <w:rPr>
          <w:rFonts w:asciiTheme="minorHAnsi" w:hAnsiTheme="minorHAnsi"/>
          <w:szCs w:val="22"/>
        </w:rPr>
      </w:pPr>
      <w:r w:rsidRPr="000E0CEB">
        <w:rPr>
          <w:rFonts w:asciiTheme="minorHAnsi" w:hAnsiTheme="minorHAnsi"/>
          <w:szCs w:val="22"/>
        </w:rPr>
        <w:t xml:space="preserve">Strategię ZIT AJ – Strategię Zintegrowanych Inwestycji Terytorialnych Aglomeracji Jeleniogórskiej na lata 2014-2023; dokument stanowiący podstawę do wdrażania Zintegrowanych Inwestycji Terytorialnych Aglomeracji Jeleniogórskiej, o których mowa w art. 30 ustawy z dnia </w:t>
      </w:r>
      <w:r w:rsidRPr="000E0CEB">
        <w:rPr>
          <w:rFonts w:asciiTheme="minorHAnsi" w:hAnsiTheme="minorHAnsi" w:cs="Calibri"/>
          <w:szCs w:val="22"/>
        </w:rPr>
        <w:t>11 lipca 2014 r. o zasadach realizacji programów w zakresie polityki spójności finansowanych w perspektywie finansowej 2014–2020 (Dz. U. poz. 1146 oraz z 2015 r. poz. 378)</w:t>
      </w:r>
      <w:r w:rsidRPr="000E0CEB">
        <w:rPr>
          <w:rFonts w:asciiTheme="minorHAnsi" w:hAnsiTheme="minorHAnsi"/>
          <w:szCs w:val="22"/>
        </w:rPr>
        <w:t>.</w:t>
      </w:r>
    </w:p>
    <w:p w:rsidR="00B63284" w:rsidRPr="000E0CEB" w:rsidRDefault="00B06A11">
      <w:pPr>
        <w:pStyle w:val="Nagwek2"/>
      </w:pPr>
      <w:bookmarkStart w:id="20" w:name="_Toc430826817"/>
      <w:bookmarkStart w:id="21" w:name="_Toc426632914"/>
      <w:bookmarkStart w:id="22" w:name="_Toc438125939"/>
      <w:bookmarkStart w:id="23" w:name="_Toc441241676"/>
      <w:bookmarkEnd w:id="20"/>
      <w:bookmarkEnd w:id="21"/>
      <w:r w:rsidRPr="000E0CEB">
        <w:t xml:space="preserve">3. </w:t>
      </w:r>
      <w:r w:rsidR="004D576A" w:rsidRPr="000E0CEB">
        <w:t>Podstawowe informacje na temat konkursu</w:t>
      </w:r>
      <w:bookmarkEnd w:id="22"/>
      <w:bookmarkEnd w:id="23"/>
    </w:p>
    <w:p w:rsidR="0028019E" w:rsidRPr="000E0CEB" w:rsidRDefault="00477DF1" w:rsidP="00B63284">
      <w:pPr>
        <w:autoSpaceDE w:val="0"/>
        <w:autoSpaceDN w:val="0"/>
        <w:adjustRightInd w:val="0"/>
        <w:spacing w:before="120" w:after="12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X - </w:t>
      </w:r>
      <w:r w:rsidRPr="000E0CEB">
        <w:rPr>
          <w:rFonts w:asciiTheme="minorHAnsi" w:eastAsia="Calibri" w:hAnsiTheme="minorHAnsi" w:cs="Calibri"/>
          <w:iCs/>
          <w:szCs w:val="22"/>
          <w:lang w:eastAsia="en-US"/>
        </w:rPr>
        <w:t>Edukacja</w:t>
      </w:r>
      <w:r w:rsidRPr="000E0CEB">
        <w:rPr>
          <w:rFonts w:asciiTheme="minorHAnsi" w:eastAsia="Calibri" w:hAnsiTheme="minorHAnsi" w:cs="Calibri"/>
          <w:szCs w:val="22"/>
          <w:lang w:eastAsia="en-US"/>
        </w:rPr>
        <w:t xml:space="preserve">, Działania 10.2 Poddziałanie 10.2.3 </w:t>
      </w:r>
      <w:r w:rsidRPr="000E0CEB">
        <w:rPr>
          <w:rFonts w:asciiTheme="minorHAnsi" w:hAnsiTheme="minorHAnsi" w:cs="Arial"/>
          <w:szCs w:val="22"/>
        </w:rPr>
        <w:t>Zapewnienie równego dostępu do wysokiej jakości edukacji podstawowej, gimnazjalnej i ponadgimnazjalnej</w:t>
      </w:r>
      <w:r w:rsidRPr="000E0CEB">
        <w:rPr>
          <w:rFonts w:asciiTheme="minorHAnsi" w:hAnsiTheme="minorHAnsi"/>
          <w:szCs w:val="22"/>
        </w:rPr>
        <w:t>.</w:t>
      </w:r>
      <w:r w:rsidRPr="000E0CEB">
        <w:rPr>
          <w:rFonts w:asciiTheme="minorHAnsi" w:eastAsia="Calibri" w:hAnsiTheme="minorHAnsi" w:cs="Calibri"/>
          <w:szCs w:val="22"/>
          <w:lang w:eastAsia="en-US"/>
        </w:rPr>
        <w:t xml:space="preserve"> </w:t>
      </w:r>
    </w:p>
    <w:p w:rsidR="0028019E" w:rsidRPr="000E0CEB" w:rsidRDefault="00477DF1" w:rsidP="00B63284">
      <w:pPr>
        <w:spacing w:before="120" w:after="120" w:line="240" w:lineRule="auto"/>
        <w:jc w:val="both"/>
        <w:rPr>
          <w:rFonts w:asciiTheme="minorHAnsi" w:hAnsiTheme="minorHAnsi"/>
          <w:szCs w:val="22"/>
        </w:rPr>
      </w:pPr>
      <w:r w:rsidRPr="000E0CEB">
        <w:rPr>
          <w:rFonts w:asciiTheme="minorHAnsi" w:hAnsiTheme="minorHAnsi"/>
          <w:szCs w:val="22"/>
        </w:rPr>
        <w:t xml:space="preserve">Wnioski o dofinansowanie powinny być wypełnione za pomocą  generatora wniosków o dofinansowanie EFS (http://www.gwnd.dolnyslask.pl).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i przekazania za pomocą ePuap. </w:t>
      </w:r>
    </w:p>
    <w:p w:rsidR="00471B61" w:rsidRPr="000E0CEB" w:rsidRDefault="00477DF1" w:rsidP="00B63284">
      <w:pPr>
        <w:spacing w:before="120" w:after="12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lastRenderedPageBreak/>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Na stronie </w:t>
      </w:r>
      <w:hyperlink>
        <w:r w:rsidRPr="000E0CEB">
          <w:rPr>
            <w:rStyle w:val="Odwiedzoneczeinternetowe"/>
            <w:rFonts w:asciiTheme="minorHAnsi" w:hAnsiTheme="minorHAnsi" w:cs="Calibri"/>
            <w:webHidden/>
            <w:color w:val="00000A"/>
            <w:szCs w:val="22"/>
          </w:rPr>
          <w:t>www.rpo.dolnyslask.pl</w:t>
        </w:r>
      </w:hyperlink>
      <w:r w:rsidRPr="000E0CEB">
        <w:rPr>
          <w:rFonts w:asciiTheme="minorHAnsi" w:hAnsiTheme="minorHAnsi"/>
          <w:szCs w:val="22"/>
        </w:rPr>
        <w:t xml:space="preserve"> oraz </w:t>
      </w:r>
      <w:hyperlink r:id="rId27">
        <w:r w:rsidRPr="000E0CEB">
          <w:rPr>
            <w:rStyle w:val="czeinternetowe"/>
            <w:rFonts w:asciiTheme="minorHAnsi" w:hAnsiTheme="minorHAnsi"/>
            <w:webHidden/>
            <w:szCs w:val="22"/>
          </w:rPr>
          <w:t>www.zitaj.jeleniagora.pl</w:t>
        </w:r>
      </w:hyperlink>
      <w:r w:rsidRPr="000E0CEB">
        <w:rPr>
          <w:rFonts w:asciiTheme="minorHAnsi" w:hAnsiTheme="minorHAnsi"/>
          <w:szCs w:val="22"/>
        </w:rPr>
        <w:t xml:space="preserve"> na bieżąco będą publikowane informacje o projektach, które zakwalifikowały się do kolejnego etapu i o rozstrzygnięciu konkursu.</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Calibri"/>
          <w:szCs w:val="22"/>
        </w:rPr>
        <w:t>IOK udziela wyjaśnień w kwestiach dotyczących konkursu i odpowiedzi na zapytania indywidualne kierowane:</w:t>
      </w:r>
    </w:p>
    <w:p w:rsidR="00471B61" w:rsidRPr="000E0CEB" w:rsidRDefault="00471B61">
      <w:pPr>
        <w:pStyle w:val="Akapitzlist"/>
        <w:numPr>
          <w:ilvl w:val="1"/>
          <w:numId w:val="2"/>
        </w:numPr>
        <w:spacing w:before="120" w:after="120" w:line="240" w:lineRule="auto"/>
        <w:jc w:val="both"/>
        <w:rPr>
          <w:rFonts w:asciiTheme="minorHAnsi" w:hAnsiTheme="minorHAnsi" w:cs="Calibri"/>
          <w:sz w:val="22"/>
          <w:szCs w:val="22"/>
        </w:rPr>
      </w:pP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Calibri"/>
          <w:szCs w:val="22"/>
        </w:rPr>
        <w:t>na adres poczty elektronicznej</w:t>
      </w:r>
      <w:r w:rsidRPr="000E0CEB">
        <w:rPr>
          <w:rFonts w:asciiTheme="minorHAnsi" w:hAnsiTheme="minorHAnsi"/>
          <w:szCs w:val="22"/>
        </w:rPr>
        <w:t>:</w:t>
      </w:r>
    </w:p>
    <w:p w:rsidR="00471B61" w:rsidRPr="000E0CEB" w:rsidRDefault="00C84E25">
      <w:pPr>
        <w:pStyle w:val="bodytext"/>
        <w:numPr>
          <w:ilvl w:val="0"/>
          <w:numId w:val="23"/>
        </w:numPr>
        <w:spacing w:before="120" w:beforeAutospacing="0" w:after="120" w:afterAutospacing="0"/>
        <w:jc w:val="both"/>
        <w:rPr>
          <w:rFonts w:asciiTheme="minorHAnsi" w:hAnsiTheme="minorHAnsi"/>
          <w:sz w:val="22"/>
          <w:szCs w:val="22"/>
        </w:rPr>
      </w:pPr>
      <w:hyperlink r:id="rId28">
        <w:r w:rsidR="00477DF1" w:rsidRPr="000E0CEB">
          <w:rPr>
            <w:rStyle w:val="czeinternetowe"/>
            <w:rFonts w:asciiTheme="minorHAnsi" w:hAnsiTheme="minorHAnsi"/>
            <w:webHidden/>
            <w:color w:val="00000A"/>
            <w:sz w:val="22"/>
            <w:szCs w:val="22"/>
          </w:rPr>
          <w:t>pife@dolnyslask.pl</w:t>
        </w:r>
      </w:hyperlink>
    </w:p>
    <w:p w:rsidR="00471B61" w:rsidRPr="000E0CEB" w:rsidRDefault="00477DF1">
      <w:pPr>
        <w:pStyle w:val="Akapitzlist"/>
        <w:numPr>
          <w:ilvl w:val="0"/>
          <w:numId w:val="23"/>
        </w:numPr>
        <w:spacing w:before="120" w:after="120" w:line="240" w:lineRule="auto"/>
        <w:jc w:val="both"/>
        <w:rPr>
          <w:rFonts w:asciiTheme="minorHAnsi" w:hAnsiTheme="minorHAnsi"/>
          <w:sz w:val="22"/>
          <w:szCs w:val="22"/>
        </w:rPr>
      </w:pPr>
      <w:r w:rsidRPr="000E0CEB">
        <w:rPr>
          <w:rFonts w:asciiTheme="minorHAnsi" w:hAnsiTheme="minorHAnsi"/>
          <w:sz w:val="22"/>
          <w:szCs w:val="22"/>
        </w:rPr>
        <w:t xml:space="preserve"> </w:t>
      </w:r>
      <w:hyperlink r:id="rId29">
        <w:r w:rsidRPr="000E0CEB">
          <w:rPr>
            <w:rStyle w:val="czeinternetowe"/>
            <w:rFonts w:asciiTheme="minorHAnsi" w:hAnsiTheme="minorHAnsi"/>
            <w:webHidden/>
            <w:sz w:val="22"/>
            <w:szCs w:val="22"/>
          </w:rPr>
          <w:t>pife.jeleniagora@dolnyslask.pl</w:t>
        </w:r>
      </w:hyperlink>
      <w:r w:rsidRPr="000E0CEB">
        <w:rPr>
          <w:rFonts w:asciiTheme="minorHAnsi" w:hAnsiTheme="minorHAnsi"/>
          <w:sz w:val="22"/>
          <w:szCs w:val="22"/>
        </w:rPr>
        <w:t xml:space="preserve"> </w:t>
      </w:r>
    </w:p>
    <w:p w:rsidR="00471B61" w:rsidRPr="000E0CEB" w:rsidRDefault="00C84E25">
      <w:pPr>
        <w:pStyle w:val="Akapitzlist"/>
        <w:numPr>
          <w:ilvl w:val="0"/>
          <w:numId w:val="23"/>
        </w:numPr>
        <w:spacing w:before="120" w:after="120" w:line="240" w:lineRule="auto"/>
        <w:jc w:val="both"/>
        <w:rPr>
          <w:rFonts w:asciiTheme="minorHAnsi" w:hAnsiTheme="minorHAnsi"/>
          <w:sz w:val="22"/>
          <w:szCs w:val="22"/>
        </w:rPr>
      </w:pPr>
      <w:hyperlink r:id="rId30">
        <w:r w:rsidR="00477DF1" w:rsidRPr="000E0CEB">
          <w:rPr>
            <w:rStyle w:val="czeinternetowe"/>
            <w:rFonts w:asciiTheme="minorHAnsi" w:hAnsiTheme="minorHAnsi"/>
            <w:webHidden/>
            <w:sz w:val="22"/>
            <w:szCs w:val="22"/>
          </w:rPr>
          <w:t>pife.legnica@dolnyslask.pl</w:t>
        </w:r>
      </w:hyperlink>
      <w:r w:rsidR="00477DF1" w:rsidRPr="000E0CEB">
        <w:rPr>
          <w:rFonts w:asciiTheme="minorHAnsi" w:hAnsiTheme="minorHAnsi"/>
          <w:sz w:val="22"/>
          <w:szCs w:val="22"/>
        </w:rPr>
        <w:t xml:space="preserve"> </w:t>
      </w:r>
    </w:p>
    <w:p w:rsidR="00471B61" w:rsidRPr="000E0CEB" w:rsidRDefault="00C84E25">
      <w:pPr>
        <w:pStyle w:val="Akapitzlist"/>
        <w:numPr>
          <w:ilvl w:val="0"/>
          <w:numId w:val="23"/>
        </w:numPr>
        <w:spacing w:before="120" w:after="120" w:line="240" w:lineRule="auto"/>
        <w:jc w:val="both"/>
        <w:rPr>
          <w:rFonts w:asciiTheme="minorHAnsi" w:hAnsiTheme="minorHAnsi"/>
          <w:sz w:val="22"/>
          <w:szCs w:val="22"/>
        </w:rPr>
      </w:pPr>
      <w:hyperlink r:id="rId31">
        <w:r w:rsidR="00477DF1" w:rsidRPr="000E0CEB">
          <w:rPr>
            <w:rStyle w:val="czeinternetowe"/>
            <w:rFonts w:asciiTheme="minorHAnsi" w:hAnsiTheme="minorHAnsi"/>
            <w:webHidden/>
            <w:sz w:val="22"/>
            <w:szCs w:val="22"/>
          </w:rPr>
          <w:t>pife.walbrzych@dolnyslask.pl</w:t>
        </w:r>
      </w:hyperlink>
      <w:r w:rsidR="00477DF1" w:rsidRPr="000E0CEB">
        <w:rPr>
          <w:rFonts w:asciiTheme="minorHAnsi" w:hAnsiTheme="minorHAnsi"/>
          <w:sz w:val="22"/>
          <w:szCs w:val="22"/>
        </w:rPr>
        <w:t xml:space="preserve"> </w:t>
      </w:r>
    </w:p>
    <w:p w:rsidR="00471B61" w:rsidRPr="000E0CEB" w:rsidRDefault="00477DF1">
      <w:pPr>
        <w:pStyle w:val="Akapitzlist"/>
        <w:numPr>
          <w:ilvl w:val="1"/>
          <w:numId w:val="2"/>
        </w:numPr>
        <w:jc w:val="both"/>
        <w:rPr>
          <w:rFonts w:asciiTheme="minorHAnsi" w:hAnsiTheme="minorHAnsi" w:cs="Calibri"/>
          <w:sz w:val="22"/>
          <w:szCs w:val="22"/>
        </w:rPr>
      </w:pPr>
      <w:r w:rsidRPr="000E0CEB">
        <w:rPr>
          <w:rFonts w:asciiTheme="minorHAnsi" w:hAnsiTheme="minorHAnsi" w:cs="Calibri"/>
          <w:b/>
          <w:sz w:val="22"/>
          <w:szCs w:val="22"/>
        </w:rPr>
        <w:t xml:space="preserve">do ZIT AJ </w:t>
      </w:r>
      <w:r w:rsidRPr="000E0CEB">
        <w:rPr>
          <w:rFonts w:asciiTheme="minorHAnsi" w:hAnsiTheme="minorHAnsi"/>
          <w:sz w:val="22"/>
          <w:szCs w:val="22"/>
          <w:u w:val="single"/>
        </w:rPr>
        <w:t>(w zakresie oceny zgodności projektu ze Strategią ZIT AJ)</w:t>
      </w:r>
    </w:p>
    <w:p w:rsidR="00471B61" w:rsidRPr="000E0CEB" w:rsidRDefault="00477DF1">
      <w:pPr>
        <w:ind w:firstLine="708"/>
        <w:jc w:val="both"/>
        <w:rPr>
          <w:rFonts w:asciiTheme="minorHAnsi" w:hAnsiTheme="minorHAnsi"/>
          <w:szCs w:val="22"/>
        </w:rPr>
      </w:pPr>
      <w:r w:rsidRPr="000E0CEB">
        <w:rPr>
          <w:rFonts w:asciiTheme="minorHAnsi" w:hAnsiTheme="minorHAnsi" w:cs="Calibri"/>
          <w:b/>
          <w:szCs w:val="22"/>
        </w:rPr>
        <w:t>- na adres poczty elektronicznej</w:t>
      </w:r>
      <w:r w:rsidRPr="000E0CEB">
        <w:rPr>
          <w:rFonts w:asciiTheme="minorHAnsi" w:hAnsiTheme="minorHAnsi" w:cs="Calibri"/>
          <w:szCs w:val="22"/>
        </w:rPr>
        <w:t xml:space="preserve">: </w:t>
      </w:r>
      <w:hyperlink r:id="rId32">
        <w:r w:rsidRPr="000E0CEB">
          <w:rPr>
            <w:rStyle w:val="czeinternetowe"/>
            <w:rFonts w:asciiTheme="minorHAnsi" w:hAnsiTheme="minorHAnsi"/>
            <w:webHidden/>
            <w:szCs w:val="22"/>
          </w:rPr>
          <w:t>zitaj@jeleniagora.pl</w:t>
        </w:r>
      </w:hyperlink>
      <w:r w:rsidRPr="000E0CEB">
        <w:rPr>
          <w:rFonts w:asciiTheme="minorHAnsi" w:hAnsiTheme="minorHAnsi"/>
          <w:szCs w:val="22"/>
        </w:rPr>
        <w:t>.</w:t>
      </w:r>
    </w:p>
    <w:p w:rsidR="00471B61" w:rsidRPr="000E0CEB" w:rsidRDefault="00471B61">
      <w:pPr>
        <w:spacing w:before="0" w:line="240" w:lineRule="auto"/>
        <w:ind w:left="709"/>
        <w:jc w:val="both"/>
        <w:rPr>
          <w:rFonts w:asciiTheme="minorHAnsi" w:hAnsiTheme="minorHAnsi"/>
          <w:bCs/>
          <w:szCs w:val="22"/>
        </w:rPr>
      </w:pP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Calibri"/>
          <w:szCs w:val="22"/>
        </w:rPr>
        <w:t xml:space="preserve">Odpowiedzi </w:t>
      </w:r>
      <w:r w:rsidRPr="000E0CEB">
        <w:rPr>
          <w:rFonts w:asciiTheme="minorHAnsi" w:hAnsiTheme="minorHAnsi"/>
          <w:szCs w:val="22"/>
        </w:rPr>
        <w:t>na najczęściej zadawane pytania będą</w:t>
      </w:r>
      <w:r w:rsidRPr="000E0CEB">
        <w:rPr>
          <w:rFonts w:asciiTheme="minorHAnsi" w:hAnsiTheme="minorHAnsi" w:cs="Calibri"/>
          <w:szCs w:val="22"/>
        </w:rPr>
        <w:t xml:space="preserve"> zamieszczane na stronie </w:t>
      </w:r>
      <w:hyperlink>
        <w:r w:rsidRPr="000E0CEB">
          <w:rPr>
            <w:rStyle w:val="Odwiedzoneczeinternetowe"/>
            <w:rFonts w:asciiTheme="minorHAnsi" w:hAnsiTheme="minorHAnsi" w:cs="Calibri"/>
            <w:webHidden/>
            <w:color w:val="00000A"/>
            <w:szCs w:val="22"/>
          </w:rPr>
          <w:t>www.rpo.dolnyslask.pl</w:t>
        </w:r>
      </w:hyperlink>
      <w:r w:rsidRPr="000E0CEB">
        <w:rPr>
          <w:rFonts w:asciiTheme="minorHAnsi" w:hAnsiTheme="minorHAnsi" w:cs="Calibri"/>
          <w:szCs w:val="22"/>
        </w:rPr>
        <w:t xml:space="preserve"> oraz </w:t>
      </w:r>
      <w:hyperlink r:id="rId33">
        <w:r w:rsidRPr="000E0CEB">
          <w:rPr>
            <w:rStyle w:val="czeinternetowe"/>
            <w:rFonts w:asciiTheme="minorHAnsi" w:hAnsiTheme="minorHAnsi"/>
            <w:webHidden/>
            <w:szCs w:val="22"/>
          </w:rPr>
          <w:t>www.zitaj.jeleniagora.pl</w:t>
        </w:r>
      </w:hyperlink>
      <w:r w:rsidRPr="000E0CEB">
        <w:rPr>
          <w:rFonts w:asciiTheme="minorHAnsi" w:hAnsiTheme="minorHAnsi"/>
          <w:szCs w:val="22"/>
        </w:rPr>
        <w:t xml:space="preserve"> </w:t>
      </w:r>
      <w:r w:rsidRPr="000E0CEB">
        <w:rPr>
          <w:rFonts w:asciiTheme="minorHAnsi" w:hAnsiTheme="minorHAnsi" w:cs="Calibri"/>
          <w:szCs w:val="22"/>
        </w:rPr>
        <w:t>w ramach informacji dotyczących procedury wyboru projektów oraz niezbędnych do przedłożenia wniosku o dofinansowanie.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Calibri"/>
          <w:szCs w:val="22"/>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sidRPr="000E0CEB">
          <w:rPr>
            <w:rStyle w:val="Odwiedzoneczeinternetowe"/>
            <w:rFonts w:asciiTheme="minorHAnsi" w:hAnsiTheme="minorHAnsi" w:cs="Calibri"/>
            <w:webHidden/>
            <w:color w:val="00000A"/>
            <w:szCs w:val="22"/>
          </w:rPr>
          <w:t>www.rpo.dolnyslask.pl</w:t>
        </w:r>
      </w:hyperlink>
      <w:r w:rsidRPr="000E0CEB">
        <w:rPr>
          <w:rFonts w:asciiTheme="minorHAnsi" w:hAnsiTheme="minorHAnsi"/>
          <w:szCs w:val="22"/>
        </w:rPr>
        <w:t xml:space="preserve"> </w:t>
      </w:r>
      <w:r w:rsidRPr="000E0CEB">
        <w:rPr>
          <w:rFonts w:asciiTheme="minorHAnsi" w:hAnsiTheme="minorHAnsi" w:cs="Calibri"/>
          <w:szCs w:val="22"/>
        </w:rPr>
        <w:t xml:space="preserve">oraz </w:t>
      </w:r>
      <w:hyperlink r:id="rId34">
        <w:r w:rsidRPr="000E0CEB">
          <w:rPr>
            <w:rStyle w:val="czeinternetowe"/>
            <w:rFonts w:asciiTheme="minorHAnsi" w:hAnsiTheme="minorHAnsi"/>
            <w:webHidden/>
            <w:szCs w:val="22"/>
          </w:rPr>
          <w:t>www.zitaj.jeleniagora.pl</w:t>
        </w:r>
      </w:hyperlink>
    </w:p>
    <w:p w:rsidR="00471B61" w:rsidRPr="000E0CEB" w:rsidRDefault="00477DF1">
      <w:pPr>
        <w:jc w:val="both"/>
        <w:rPr>
          <w:rFonts w:asciiTheme="minorHAnsi" w:hAnsiTheme="minorHAnsi" w:cs="Calibri"/>
          <w:szCs w:val="22"/>
        </w:rPr>
      </w:pPr>
      <w:r w:rsidRPr="000E0CEB">
        <w:rPr>
          <w:rFonts w:asciiTheme="minorHAnsi" w:hAnsiTheme="minorHAnsi" w:cs="Calibri"/>
          <w:szCs w:val="22"/>
        </w:rPr>
        <w:t>Wsparcie w ramach konkursu adresowane jest do obszarów Dolnego Śląska, które są objęte mechanizmem ZIT AJ, tj.:</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Jelenia Góra.</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Gmina Janowice Wielkie,</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Gmina Jeżów Sudecki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Miasto Karpacz,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Miasto Kowary,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Gmina Mysłakowice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Miasto Piechowice,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Gmina Podgórzyn,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Gmina Stara Kamienica,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Miasto Szklarska Poręba,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lastRenderedPageBreak/>
        <w:t xml:space="preserve">Gmina i Miasto Gryfów Śląski,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 xml:space="preserve">Gmina i Miasto Lubomierz, </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i Gmina Mirsk,</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i Gmina Wleń,</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Gmina Pielgrzymka,</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i Gmina Świerzawa,</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Wojcieszów,</w:t>
      </w:r>
    </w:p>
    <w:p w:rsidR="00471B61" w:rsidRPr="000E0CEB" w:rsidRDefault="00477DF1">
      <w:pPr>
        <w:numPr>
          <w:ilvl w:val="0"/>
          <w:numId w:val="44"/>
        </w:numPr>
        <w:jc w:val="both"/>
        <w:rPr>
          <w:rFonts w:asciiTheme="minorHAnsi" w:hAnsiTheme="minorHAnsi" w:cs="Calibri"/>
          <w:szCs w:val="22"/>
        </w:rPr>
      </w:pPr>
      <w:r w:rsidRPr="000E0CEB">
        <w:rPr>
          <w:rFonts w:asciiTheme="minorHAnsi" w:hAnsiTheme="minorHAnsi" w:cs="Calibri"/>
          <w:szCs w:val="22"/>
        </w:rPr>
        <w:t>Miasto Złotoryja.</w:t>
      </w:r>
    </w:p>
    <w:p w:rsidR="00471B61" w:rsidRPr="000E0CEB" w:rsidRDefault="00477DF1">
      <w:pPr>
        <w:jc w:val="both"/>
        <w:rPr>
          <w:rFonts w:asciiTheme="minorHAnsi" w:hAnsiTheme="minorHAnsi" w:cs="Calibri"/>
          <w:szCs w:val="22"/>
        </w:rPr>
      </w:pPr>
      <w:r w:rsidRPr="000E0CEB">
        <w:rPr>
          <w:rFonts w:asciiTheme="minorHAnsi" w:hAnsiTheme="minorHAnsi" w:cs="Calibri"/>
          <w:szCs w:val="22"/>
        </w:rPr>
        <w:t>Wsparciem w ramach ZIT AJ objęte są w całości powiaty: jeleniogórski, Jelenia Góra Miasto.</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Calibri"/>
          <w:szCs w:val="22"/>
        </w:rPr>
        <w:t>Częściowe zastosowanie wsparcia za pomocą mechanizmu ZIT zostało zaplanowane w celu osiągnięcia większej efektywności podejmowanej interwencji.</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Calibri"/>
          <w:szCs w:val="22"/>
        </w:rPr>
        <w:t>Konkurs przeprowadzany jest jawnie z zapewnieniem publicznego dostępu do informacji o zasadach jego przeprowadzania oraz do list projektów ocenionych w poszczególnych etapach oceny i listy projektów wybranych do dofinansowania.</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Calibri"/>
          <w:szCs w:val="22"/>
        </w:rPr>
        <w:t xml:space="preserve">IOK będzie wymagać od Wnioskodawcy wyłącznie informacji i dokumentów niezbędnych do oceny spełniania kryteriów obowiązujących w danym konkursie oraz umożliwiających identyfikację Wnioskodawcy i komunikowanie się z nim.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Calibri"/>
          <w:szCs w:val="22"/>
        </w:rPr>
        <w:t xml:space="preserve">Wnioski w ramach konkursu będą przyjmowane </w:t>
      </w:r>
      <w:r w:rsidRPr="000E0CEB">
        <w:rPr>
          <w:rFonts w:asciiTheme="minorHAnsi" w:hAnsiTheme="minorHAnsi" w:cs="Calibri"/>
          <w:b/>
          <w:szCs w:val="22"/>
        </w:rPr>
        <w:t xml:space="preserve">od </w:t>
      </w:r>
      <w:r w:rsidRPr="000E0CEB">
        <w:rPr>
          <w:rFonts w:asciiTheme="minorHAnsi" w:hAnsiTheme="minorHAnsi"/>
          <w:b/>
          <w:szCs w:val="22"/>
        </w:rPr>
        <w:t xml:space="preserve">03.02.2016 r. do 02.03.2016 r.  </w:t>
      </w:r>
      <w:r w:rsidRPr="000E0CEB">
        <w:rPr>
          <w:rFonts w:asciiTheme="minorHAnsi" w:hAnsiTheme="minorHAnsi"/>
          <w:szCs w:val="22"/>
        </w:rPr>
        <w:t xml:space="preserve">na warunkach opisanych w regulaminie konkursu. </w:t>
      </w:r>
    </w:p>
    <w:p w:rsidR="00471B61" w:rsidRPr="000E0CEB" w:rsidRDefault="00477DF1">
      <w:pPr>
        <w:spacing w:before="120" w:after="120" w:line="240" w:lineRule="auto"/>
        <w:ind w:left="709" w:hanging="709"/>
        <w:jc w:val="both"/>
        <w:rPr>
          <w:rFonts w:asciiTheme="minorHAnsi" w:hAnsiTheme="minorHAnsi" w:cs="Calibri"/>
          <w:szCs w:val="22"/>
        </w:rPr>
      </w:pPr>
      <w:r w:rsidRPr="000E0CEB">
        <w:rPr>
          <w:rFonts w:asciiTheme="minorHAnsi" w:hAnsiTheme="minorHAnsi" w:cs="Calibri"/>
          <w:szCs w:val="22"/>
        </w:rPr>
        <w:t>Procedura oceny w ramach konkursu składa się z:</w:t>
      </w:r>
    </w:p>
    <w:p w:rsidR="00471B61" w:rsidRPr="000E0CEB" w:rsidRDefault="00477DF1">
      <w:pPr>
        <w:pStyle w:val="Akapitzlist"/>
        <w:numPr>
          <w:ilvl w:val="2"/>
          <w:numId w:val="30"/>
        </w:numPr>
        <w:spacing w:before="120" w:after="120" w:line="240" w:lineRule="auto"/>
        <w:ind w:left="851" w:hanging="284"/>
        <w:jc w:val="both"/>
        <w:rPr>
          <w:rFonts w:asciiTheme="minorHAnsi" w:eastAsia="Calibri" w:hAnsiTheme="minorHAnsi" w:cs="Calibri"/>
          <w:sz w:val="22"/>
          <w:szCs w:val="22"/>
          <w:lang w:eastAsia="en-US"/>
        </w:rPr>
      </w:pPr>
      <w:r w:rsidRPr="000E0CEB">
        <w:rPr>
          <w:rFonts w:asciiTheme="minorHAnsi" w:eastAsia="Calibri" w:hAnsiTheme="minorHAnsi" w:cs="Calibri"/>
          <w:sz w:val="22"/>
          <w:szCs w:val="22"/>
          <w:lang w:eastAsia="en-US"/>
        </w:rPr>
        <w:t xml:space="preserve">etapu weryfikacji technicznej – etap obligatoryjny, odbywający się poza KOP. Etap obejmuje sprawdzenie oraz </w:t>
      </w:r>
      <w:r w:rsidRPr="000E0CEB">
        <w:rPr>
          <w:rFonts w:asciiTheme="minorHAnsi" w:hAnsiTheme="minorHAnsi"/>
          <w:sz w:val="22"/>
          <w:szCs w:val="22"/>
        </w:rPr>
        <w:t xml:space="preserve">ewentualne </w:t>
      </w:r>
      <w:r w:rsidRPr="000E0CEB">
        <w:rPr>
          <w:rFonts w:asciiTheme="minorHAnsi" w:eastAsia="Calibri" w:hAnsiTheme="minorHAnsi" w:cs="Calibri"/>
          <w:sz w:val="22"/>
          <w:szCs w:val="22"/>
          <w:lang w:eastAsia="en-US"/>
        </w:rPr>
        <w:t>wezwanie do uzupełnienia braków formalnych i oczywistych omyłek zgodnie z art. 43 ustawy.</w:t>
      </w:r>
      <w:r w:rsidRPr="000E0CEB">
        <w:rPr>
          <w:rFonts w:asciiTheme="minorHAnsi" w:hAnsiTheme="minorHAnsi" w:cs="Calibri"/>
          <w:sz w:val="22"/>
          <w:szCs w:val="22"/>
          <w:lang w:eastAsia="en-US"/>
        </w:rPr>
        <w:t xml:space="preserve"> Wniosek uzupełniony/skorygowany</w:t>
      </w:r>
      <w:r w:rsidRPr="000E0CEB">
        <w:rPr>
          <w:rFonts w:asciiTheme="minorHAnsi" w:eastAsia="Calibri" w:hAnsiTheme="minorHAnsi" w:cs="Calibri"/>
          <w:sz w:val="22"/>
          <w:szCs w:val="22"/>
          <w:lang w:eastAsia="en-US"/>
        </w:rPr>
        <w:t xml:space="preserve"> po terminie lub </w:t>
      </w:r>
      <w:r w:rsidRPr="000E0CEB">
        <w:rPr>
          <w:rFonts w:asciiTheme="minorHAnsi" w:hAnsiTheme="minorHAnsi" w:cs="Calibri"/>
          <w:sz w:val="22"/>
          <w:szCs w:val="22"/>
          <w:lang w:eastAsia="en-US"/>
        </w:rPr>
        <w:t>niepoprawiony/nieuzupełniony prawidłowo pozostaje</w:t>
      </w:r>
      <w:r w:rsidRPr="000E0CEB">
        <w:rPr>
          <w:rFonts w:asciiTheme="minorHAnsi" w:eastAsia="Calibri" w:hAnsiTheme="minorHAnsi" w:cs="Calibri"/>
          <w:sz w:val="22"/>
          <w:szCs w:val="22"/>
          <w:lang w:eastAsia="en-US"/>
        </w:rPr>
        <w:t xml:space="preserve"> bez rozpatrzenia i nie </w:t>
      </w:r>
      <w:r w:rsidRPr="000E0CEB">
        <w:rPr>
          <w:rFonts w:asciiTheme="minorHAnsi" w:hAnsiTheme="minorHAnsi" w:cs="Calibri"/>
          <w:sz w:val="22"/>
          <w:szCs w:val="22"/>
          <w:lang w:eastAsia="en-US"/>
        </w:rPr>
        <w:t>zostanie dopuszczony</w:t>
      </w:r>
      <w:r w:rsidRPr="000E0CEB">
        <w:rPr>
          <w:rFonts w:asciiTheme="minorHAnsi" w:eastAsia="Calibri" w:hAnsiTheme="minorHAnsi" w:cs="Calibri"/>
          <w:sz w:val="22"/>
          <w:szCs w:val="22"/>
          <w:lang w:eastAsia="en-US"/>
        </w:rPr>
        <w:t xml:space="preserve"> do oceny dokonywanej w ramach prac KOP. Wezwanie do poprawienia oczywistej omyłki lub uzupełnienia braku formalnego, o ile zostaną one stwierdzone, może następować również na każdym kolejnym etapie oceny;</w:t>
      </w:r>
    </w:p>
    <w:p w:rsidR="00471B61" w:rsidRPr="000E0CEB" w:rsidRDefault="00477DF1">
      <w:pPr>
        <w:pStyle w:val="Akapitzlist"/>
        <w:numPr>
          <w:ilvl w:val="2"/>
          <w:numId w:val="30"/>
        </w:numPr>
        <w:spacing w:before="120" w:after="120" w:line="240" w:lineRule="auto"/>
        <w:ind w:left="851" w:hanging="284"/>
        <w:jc w:val="both"/>
        <w:rPr>
          <w:rFonts w:asciiTheme="minorHAnsi" w:eastAsia="Calibri" w:hAnsiTheme="minorHAnsi" w:cs="Calibri"/>
          <w:sz w:val="22"/>
          <w:szCs w:val="22"/>
          <w:lang w:eastAsia="en-US"/>
        </w:rPr>
      </w:pPr>
      <w:r w:rsidRPr="000E0CEB">
        <w:rPr>
          <w:rFonts w:asciiTheme="minorHAnsi" w:hAnsiTheme="minorHAnsi" w:cs="Arial"/>
          <w:sz w:val="22"/>
          <w:szCs w:val="22"/>
        </w:rPr>
        <w:t xml:space="preserve"> etapu oceny zgodności ze Strategią ZIT AJ -</w:t>
      </w:r>
      <w:r w:rsidRPr="000E0CEB">
        <w:rPr>
          <w:rFonts w:asciiTheme="minorHAnsi" w:hAnsiTheme="minorHAnsi" w:cs="Arial"/>
          <w:bCs/>
          <w:sz w:val="22"/>
          <w:szCs w:val="22"/>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rsidR="00471B61" w:rsidRPr="000E0CEB" w:rsidRDefault="00477DF1">
      <w:pPr>
        <w:pStyle w:val="Akapitzlist"/>
        <w:numPr>
          <w:ilvl w:val="2"/>
          <w:numId w:val="30"/>
        </w:numPr>
        <w:spacing w:before="120" w:after="120" w:line="240" w:lineRule="auto"/>
        <w:ind w:left="851" w:hanging="284"/>
        <w:jc w:val="both"/>
        <w:rPr>
          <w:rFonts w:asciiTheme="minorHAnsi" w:eastAsia="Calibri" w:hAnsiTheme="minorHAnsi" w:cs="Calibri"/>
          <w:sz w:val="22"/>
          <w:szCs w:val="22"/>
          <w:lang w:eastAsia="en-US"/>
        </w:rPr>
      </w:pPr>
      <w:r w:rsidRPr="000E0CEB">
        <w:rPr>
          <w:rFonts w:asciiTheme="minorHAnsi" w:eastAsia="Calibri" w:hAnsiTheme="minorHAnsi" w:cs="Calibri"/>
          <w:sz w:val="22"/>
          <w:szCs w:val="22"/>
          <w:lang w:eastAsia="en-US"/>
        </w:rPr>
        <w:t xml:space="preserve">etapu oceny </w:t>
      </w:r>
      <w:r w:rsidRPr="000E0CEB">
        <w:rPr>
          <w:rFonts w:asciiTheme="minorHAnsi" w:hAnsiTheme="minorHAnsi"/>
          <w:sz w:val="22"/>
          <w:szCs w:val="22"/>
          <w:lang w:eastAsia="en-US"/>
        </w:rPr>
        <w:t>formalno – merytorycznej obejmującego ewentualne negocjacje</w:t>
      </w:r>
      <w:r w:rsidRPr="000E0CEB">
        <w:rPr>
          <w:rFonts w:asciiTheme="minorHAnsi" w:eastAsia="Calibri" w:hAnsiTheme="minorHAnsi" w:cs="Calibri"/>
          <w:sz w:val="22"/>
          <w:szCs w:val="22"/>
          <w:lang w:eastAsia="en-US"/>
        </w:rPr>
        <w:t xml:space="preserve"> - etap obligatoryjny, przeprowadzany w ramach KOP.</w:t>
      </w:r>
      <w:r w:rsidRPr="000E0CEB">
        <w:rPr>
          <w:rFonts w:asciiTheme="minorHAnsi" w:hAnsiTheme="minorHAnsi"/>
          <w:sz w:val="22"/>
          <w:szCs w:val="22"/>
          <w:lang w:eastAsia="en-US"/>
        </w:rPr>
        <w:t xml:space="preserve"> W pierwszej kolejności obejmuje on</w:t>
      </w:r>
      <w:r w:rsidRPr="000E0CEB">
        <w:rPr>
          <w:rFonts w:asciiTheme="minorHAnsi" w:eastAsia="Calibri" w:hAnsiTheme="minorHAnsi" w:cs="Calibri"/>
          <w:sz w:val="22"/>
          <w:szCs w:val="22"/>
          <w:lang w:eastAsia="en-US"/>
        </w:rPr>
        <w:t xml:space="preserve"> ocenę spełniania kryteriów formalnych</w:t>
      </w:r>
      <w:r w:rsidRPr="000E0CEB">
        <w:rPr>
          <w:rFonts w:asciiTheme="minorHAnsi" w:hAnsiTheme="minorHAnsi"/>
          <w:sz w:val="22"/>
          <w:szCs w:val="22"/>
          <w:lang w:eastAsia="en-US"/>
        </w:rPr>
        <w:t xml:space="preserve"> i dostępu</w:t>
      </w:r>
      <w:r w:rsidRPr="000E0CEB">
        <w:rPr>
          <w:rFonts w:asciiTheme="minorHAnsi" w:eastAsia="Calibri" w:hAnsiTheme="minorHAnsi" w:cs="Calibri"/>
          <w:sz w:val="22"/>
          <w:szCs w:val="22"/>
          <w:lang w:eastAsia="en-US"/>
        </w:rPr>
        <w:t>, polegającą na przypisaniu im wartości logicznych „tak”, „nie” albo stwierdzeniu, że kryterium nie dotyczy danego projektu.</w:t>
      </w:r>
      <w:r w:rsidRPr="000E0CEB">
        <w:rPr>
          <w:rFonts w:asciiTheme="minorHAnsi" w:hAnsiTheme="minorHAnsi"/>
          <w:sz w:val="22"/>
          <w:szCs w:val="22"/>
          <w:lang w:eastAsia="en-US"/>
        </w:rPr>
        <w:t xml:space="preserve"> Następnie projekt w przypadku gdy kryteria formalne i dostępu zostaną spełnione sprawdzany jest</w:t>
      </w:r>
      <w:r w:rsidRPr="000E0CEB">
        <w:rPr>
          <w:rFonts w:asciiTheme="minorHAnsi" w:eastAsia="Calibri" w:hAnsiTheme="minorHAnsi" w:cs="Calibri"/>
          <w:sz w:val="22"/>
          <w:szCs w:val="22"/>
          <w:lang w:eastAsia="en-US"/>
        </w:rPr>
        <w:t xml:space="preserve"> pod kątem spełniania pozostałych kryteriów, zgodnie z zasadami określonymi w regulaminie konkursu. Oceny na tym etapie dokonuje 2 członków KOP.</w:t>
      </w:r>
    </w:p>
    <w:tbl>
      <w:tblPr>
        <w:tblW w:w="5000" w:type="pct"/>
        <w:tblCellMar>
          <w:left w:w="0" w:type="dxa"/>
          <w:right w:w="0" w:type="dxa"/>
        </w:tblCellMar>
        <w:tblLook w:val="04A0"/>
      </w:tblPr>
      <w:tblGrid>
        <w:gridCol w:w="6"/>
        <w:gridCol w:w="9714"/>
      </w:tblGrid>
      <w:tr w:rsidR="00471B61" w:rsidRPr="000E0CEB">
        <w:tc>
          <w:tcPr>
            <w:tcW w:w="5" w:type="dxa"/>
            <w:shd w:val="clear" w:color="auto" w:fill="auto"/>
          </w:tcPr>
          <w:p w:rsidR="00471B61" w:rsidRPr="000E0CEB" w:rsidRDefault="00471B61">
            <w:pPr>
              <w:spacing w:before="0" w:line="240" w:lineRule="auto"/>
              <w:jc w:val="both"/>
              <w:rPr>
                <w:rFonts w:asciiTheme="minorHAnsi" w:hAnsiTheme="minorHAnsi"/>
                <w:szCs w:val="22"/>
              </w:rPr>
            </w:pPr>
          </w:p>
        </w:tc>
        <w:tc>
          <w:tcPr>
            <w:tcW w:w="9714" w:type="dxa"/>
            <w:shd w:val="clear" w:color="auto" w:fill="auto"/>
          </w:tcPr>
          <w:p w:rsidR="00471B61" w:rsidRPr="000E0CEB" w:rsidRDefault="00477DF1">
            <w:pPr>
              <w:spacing w:beforeAutospacing="1" w:afterAutospacing="1" w:line="240" w:lineRule="auto"/>
              <w:jc w:val="both"/>
              <w:rPr>
                <w:rFonts w:asciiTheme="minorHAnsi" w:hAnsiTheme="minorHAnsi"/>
                <w:szCs w:val="22"/>
              </w:rPr>
            </w:pPr>
            <w:r w:rsidRPr="000E0CEB">
              <w:rPr>
                <w:rFonts w:asciiTheme="minorHAnsi" w:hAnsiTheme="minorHAnsi"/>
                <w:szCs w:val="22"/>
              </w:rPr>
              <w:t>Kategorią interwencji dla niniejszego konkursu jest kategoria interwencji 115, która odpowiada bezpośrednio celowi dążącemu do ograniczania i zapobiegania przedwczesnemu kończeniu nauki, zapewnianiu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00471B61" w:rsidRPr="000E0CEB" w:rsidRDefault="00477DF1">
            <w:pPr>
              <w:spacing w:beforeAutospacing="1" w:afterAutospacing="1" w:line="240" w:lineRule="auto"/>
              <w:jc w:val="both"/>
              <w:rPr>
                <w:rFonts w:asciiTheme="minorHAnsi" w:hAnsiTheme="minorHAnsi"/>
                <w:szCs w:val="22"/>
              </w:rPr>
            </w:pPr>
            <w:r w:rsidRPr="000E0CEB">
              <w:rPr>
                <w:rFonts w:asciiTheme="minorHAnsi" w:hAnsiTheme="minorHAnsi"/>
                <w:szCs w:val="22"/>
              </w:rPr>
              <w:t>Wybór projektów do dofinansowania jest przeprowadzony w sposób przejrzysty, rzetelny i bezstronny. Wnioskodawcom zapewniony jest równy dostęp do informacji o warunkach i sposobie wyboru projektów do dofinansowania oraz równe traktowanie.</w:t>
            </w:r>
          </w:p>
          <w:p w:rsidR="00471B61" w:rsidRPr="000E0CEB" w:rsidRDefault="00477DF1">
            <w:pPr>
              <w:spacing w:beforeAutospacing="1" w:afterAutospacing="1" w:line="240" w:lineRule="auto"/>
              <w:jc w:val="both"/>
              <w:rPr>
                <w:rFonts w:asciiTheme="minorHAnsi" w:hAnsiTheme="minorHAnsi"/>
                <w:szCs w:val="22"/>
              </w:rPr>
            </w:pPr>
            <w:r w:rsidRPr="000E0CEB">
              <w:rPr>
                <w:rFonts w:asciiTheme="minorHAnsi" w:hAnsiTheme="minorHAnsi" w:cs="Calibri"/>
                <w:szCs w:val="22"/>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E0CEB">
              <w:rPr>
                <w:rFonts w:asciiTheme="minorHAnsi" w:hAnsiTheme="minorHAnsi"/>
                <w:szCs w:val="22"/>
              </w:rPr>
              <w:t>roboczy</w:t>
            </w:r>
            <w:r w:rsidRPr="000E0CEB">
              <w:rPr>
                <w:rFonts w:asciiTheme="minorHAnsi" w:hAnsiTheme="minorHAnsi" w:cs="Calibri"/>
                <w:szCs w:val="22"/>
              </w:rPr>
              <w:t>.</w:t>
            </w:r>
          </w:p>
        </w:tc>
      </w:tr>
    </w:tbl>
    <w:p w:rsidR="00B63284" w:rsidRPr="000E0CEB" w:rsidRDefault="004D576A">
      <w:pPr>
        <w:pStyle w:val="Nagwek2"/>
      </w:pPr>
      <w:bookmarkStart w:id="24" w:name="_Toc438125940"/>
      <w:bookmarkStart w:id="25" w:name="_Toc441241677"/>
      <w:r w:rsidRPr="000E0CEB">
        <w:t>4</w:t>
      </w:r>
      <w:r w:rsidR="00B06A11" w:rsidRPr="000E0CEB">
        <w:t>.</w:t>
      </w:r>
      <w:r w:rsidRPr="000E0CEB">
        <w:t xml:space="preserve">  Przedmiot konkursu</w:t>
      </w:r>
      <w:bookmarkEnd w:id="24"/>
      <w:bookmarkEnd w:id="25"/>
      <w:r w:rsidRPr="000E0CEB">
        <w:t xml:space="preserve"> </w:t>
      </w:r>
    </w:p>
    <w:p w:rsidR="00471B61" w:rsidRPr="000E0CEB" w:rsidRDefault="00477DF1">
      <w:pPr>
        <w:spacing w:before="120" w:after="120" w:line="240" w:lineRule="auto"/>
        <w:ind w:left="709" w:hanging="709"/>
        <w:jc w:val="both"/>
        <w:rPr>
          <w:rFonts w:asciiTheme="minorHAnsi" w:hAnsiTheme="minorHAnsi"/>
          <w:szCs w:val="22"/>
        </w:rPr>
      </w:pPr>
      <w:r w:rsidRPr="000E0CEB">
        <w:rPr>
          <w:rFonts w:asciiTheme="minorHAnsi" w:hAnsiTheme="minorHAnsi"/>
          <w:szCs w:val="22"/>
        </w:rPr>
        <w:t>W ramach niniejszego konkursu ogłoszony jest nabór na następujące typy projektów:</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hAnsiTheme="minorHAnsi" w:cs="Arial"/>
          <w:b/>
          <w:sz w:val="22"/>
          <w:szCs w:val="22"/>
        </w:rPr>
        <w:t xml:space="preserve">10.2.A. </w:t>
      </w:r>
      <w:r w:rsidRPr="000E0CEB">
        <w:rPr>
          <w:rFonts w:asciiTheme="minorHAnsi" w:eastAsia="Calibri" w:hAnsiTheme="minorHAnsi" w:cs="Calibri"/>
          <w:b/>
          <w:color w:val="000000"/>
          <w:sz w:val="22"/>
          <w:szCs w:val="22"/>
        </w:rPr>
        <w:t>Kształtowanie kompetencji kluczowych na rynku pracy, wsparcie nauki języków obcych, nauk matematyczno-przyrodniczych i TIK (ICT) oraz właściwych postaw: kreatywności, innowacyjność, pracy zespołowej.</w:t>
      </w:r>
      <w:r w:rsidRPr="000E0CEB">
        <w:rPr>
          <w:rFonts w:asciiTheme="minorHAnsi" w:eastAsia="Calibri" w:hAnsiTheme="minorHAnsi" w:cs="Calibri"/>
          <w:color w:val="000000"/>
          <w:sz w:val="22"/>
          <w:szCs w:val="22"/>
        </w:rPr>
        <w:t xml:space="preserve">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Wsparcie może objąć w szczególności: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a) realizację projektów edukacyjnych w szkołach lub placówkach systemu oświaty objętych wsparciem;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c) realizację różnych form rozwijających uzdolnienia;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d) wdrożenie nowych form i programów nauczania;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e) tworzenie i realizację zajęć w klasach o nowatorskich rozwiązaniach programowych, organizacyjnych lub metodycznych;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f) organizację kółek zainteresowań, warsztatów, laboratoriów dla uczniów lub słuchaczy;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g) nawiązywanie współpracy z otoczeniem zewnętrznym szkoły lub placówki systemu oświaty (w tym m. in.: przedsiębiorcami, zrzeszeniami przedsiębiorców) w celu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realizacji programów edukacyjnych;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h) wykorzystanie narzędzi, metod lub form pracy wypracowanych w ramach projektów, w tym pozytywnie zwalidowanych produktów projektów innowacyjnych, zrealizowanych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w latach 2007-2013 w ramach PO KL;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i) realizację zajęć organizowanych poza lekcjami lub poza szkołą.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j) wyposażenie szkół lub placówek systemu oświaty w pomoce dydaktyczne oraz narzędzie TIK w realizacji programów nauczania w szkołach lub placówkach systemu oświaty, w tym zapewnienie odpowiedniej infrastruktury sieciowo-usługowej; </w:t>
      </w:r>
    </w:p>
    <w:p w:rsidR="00471B61" w:rsidRPr="000E0CEB" w:rsidRDefault="00477DF1">
      <w:pPr>
        <w:pStyle w:val="Default"/>
        <w:jc w:val="both"/>
        <w:rPr>
          <w:rFonts w:asciiTheme="minorHAnsi" w:hAnsiTheme="minorHAnsi" w:cs="Arial"/>
          <w:b/>
          <w:bCs/>
          <w:sz w:val="22"/>
          <w:szCs w:val="22"/>
        </w:rPr>
      </w:pPr>
      <w:r w:rsidRPr="000E0CEB">
        <w:rPr>
          <w:rFonts w:asciiTheme="minorHAnsi" w:eastAsia="Calibri" w:hAnsiTheme="minorHAnsi" w:cs="Calibri"/>
          <w:color w:val="000000"/>
          <w:sz w:val="22"/>
          <w:szCs w:val="22"/>
        </w:rPr>
        <w:t xml:space="preserve">k) kształtowanie i rozwijanie cyfrowych umiejętności uczniów lub słuchaczy, min. poprzez naukę programowania, z uwzględnieniem bezpieczeństwa w cyberprzestrzeni i wynikających z tego tytułu zagrożeń. </w:t>
      </w:r>
    </w:p>
    <w:p w:rsidR="00471B61" w:rsidRPr="000E0CEB" w:rsidRDefault="00471B61">
      <w:pPr>
        <w:spacing w:before="0" w:line="240" w:lineRule="auto"/>
        <w:jc w:val="both"/>
        <w:rPr>
          <w:rFonts w:asciiTheme="minorHAnsi" w:hAnsiTheme="minorHAnsi" w:cs="Arial"/>
          <w:b/>
          <w:szCs w:val="22"/>
        </w:rPr>
      </w:pP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hAnsiTheme="minorHAnsi" w:cs="Arial"/>
          <w:sz w:val="22"/>
          <w:szCs w:val="22"/>
        </w:rPr>
        <w:t>Powyższe w</w:t>
      </w:r>
      <w:r w:rsidRPr="000E0CEB">
        <w:rPr>
          <w:rFonts w:asciiTheme="minorHAnsi" w:eastAsia="Calibri" w:hAnsiTheme="minorHAnsi" w:cs="Arial"/>
          <w:sz w:val="22"/>
          <w:szCs w:val="22"/>
          <w:lang w:eastAsia="en-US"/>
        </w:rPr>
        <w:t xml:space="preserve">sparcie  może </w:t>
      </w:r>
      <w:r w:rsidRPr="000E0CEB">
        <w:rPr>
          <w:rFonts w:asciiTheme="minorHAnsi" w:eastAsia="Calibri" w:hAnsiTheme="minorHAnsi" w:cs="Arial"/>
          <w:color w:val="000000"/>
          <w:sz w:val="22"/>
          <w:szCs w:val="22"/>
        </w:rPr>
        <w:t xml:space="preserve">stanowić jedynie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Ponadto realizacja powyższego wsparcia jest dokonywana na podstawie indywidualnie zdiagnozowanego zapotrzebowania szkół lub placówek systemu w tym zakresie oraz z uwzględnieniem indywidualnych potrzeb rozwojowych i edukacyjnych oraz możliwości psychofizycznych uczniów lub słuchaczy objętych wsparciem. </w:t>
      </w:r>
      <w:r w:rsidRPr="000E0CEB">
        <w:rPr>
          <w:rFonts w:asciiTheme="minorHAnsi" w:eastAsia="Calibri" w:hAnsiTheme="minorHAnsi" w:cs="Arial"/>
          <w:color w:val="000000"/>
          <w:sz w:val="22"/>
          <w:szCs w:val="22"/>
        </w:rPr>
        <w:lastRenderedPageBreak/>
        <w:t xml:space="preserve">Diagnoza powinna być przygotowana i przeprowadzona przez szkołę, placówkę systemu oświaty lub inny podmiot prowadzący działalność o charakterze edukacyjnym lub badawczym oraz zatwierdzona przez organ prowadzący. </w:t>
      </w:r>
    </w:p>
    <w:p w:rsidR="00471B61" w:rsidRPr="000E0CEB" w:rsidRDefault="00471B61">
      <w:pPr>
        <w:spacing w:before="0" w:line="240" w:lineRule="auto"/>
        <w:jc w:val="both"/>
        <w:rPr>
          <w:rFonts w:asciiTheme="minorHAnsi" w:eastAsia="Calibri" w:hAnsiTheme="minorHAnsi" w:cs="Arial"/>
          <w:szCs w:val="22"/>
          <w:highlight w:val="yellow"/>
          <w:lang w:eastAsia="en-US"/>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Wsparcie na rzecz zwiększenia wykorzystania TIK oraz rozwijania kompetencji informatycznych może objąć:</w:t>
      </w:r>
    </w:p>
    <w:p w:rsidR="00471B61" w:rsidRPr="000E0CEB" w:rsidRDefault="00477DF1">
      <w:pPr>
        <w:spacing w:before="0" w:after="144"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wyposażenie szkół lub placówek systemu oświaty w pomoce dydaktyczne oraz narzędzia TIK niezbędne do realizacji programów nauczania w szkołach lub placówkach systemu oświaty, w tym zapewnienie odpowiedniej infrastruktury sieciowo-usługowej; </w:t>
      </w:r>
    </w:p>
    <w:p w:rsidR="00471B61" w:rsidRPr="000E0CEB" w:rsidRDefault="00477DF1">
      <w:pPr>
        <w:spacing w:before="0" w:after="144"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kształtowanie i rozwijanie kompetencji cyfrowych uczniów lub słuchaczy, w tym z uwzględnieniem bezpieczeństwa w cyberprzestrzeni i wynikających z tego tytułu zagrożeń;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 programy rozwijania kompetencji cyfrowych uczniów lub słuchaczy poprzez naukę programowania.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Powyższe wsparcie musi być poprzedzone indywidualnie zdiagnozowanym zapotrzebowaniem szkoły lub placówki systemu oświaty w tym zakresie. Diagnoza powinna być przygotowana i przeprowadzona przez szkołę, placówkę systemu oświaty lub inny podmiot prowadzący działalność o charakterze edukacyjnym lub badawczym oraz zatwierdzona przez organ prowadzący.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Ze wsparcia, o którym mowa w a), mogą korzystać szkoły lub placówki systemu oświaty, w których w wyniku diagnozy, o której mowa powyżej, do realizacji działań wymienionych w b) stwierdzono zasadność podjęcia działań, o których mowa w a). </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Ponadto wsparcie w zakresie wyposażenia szkół lub placówek systemu oświaty w pomoce dydaktyczne oraz narzędzia TIK niezbędne do realizacji programów nauczania w szkołach lub placówkach systemu oświaty, w tym zapewnienie odpowiedniej infrastruktury sieciowo-usługowej  musi być zgodne z następującymi warunkami: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szczegółowy wykaz pomocy dydaktycznych oraz narzędzi TIK, na zakup których udziela się wsparcia finansowego został określony przez MEN i jest udostępniany za pośrednictwem strony internetowej www.men.gov.pl;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dopuszcza się możliwość sfinansowania w ramach projektów kosztów związanych z adaptacją pomieszczeń na potrzeby pracowni szkolnych, wynikających m. in. z konieczności montażu zakupionego wyposażenia oraz zagwarantowania bezpiecznego ich użytkowania;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pomoce dydaktyczne oraz narzędzia TIK powinny być dostosowane do potrzeb ich użytkowników, w tym wynikających z niepełnosprawności;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d) maksymalna wartość wsparcia finansowego na zakup pomocy dydaktycznych i narzędzi TIK w szkole</w:t>
      </w:r>
      <w:r w:rsidRPr="000E0CEB">
        <w:rPr>
          <w:rStyle w:val="Zakotwiczenieprzypisudolnego"/>
          <w:rFonts w:asciiTheme="minorHAnsi" w:eastAsia="Calibri" w:hAnsiTheme="minorHAnsi" w:cs="Arial"/>
          <w:color w:val="000000"/>
          <w:szCs w:val="22"/>
        </w:rPr>
        <w:footnoteReference w:id="1"/>
      </w:r>
      <w:r w:rsidRPr="000E0CEB">
        <w:rPr>
          <w:rFonts w:asciiTheme="minorHAnsi" w:eastAsia="Calibri" w:hAnsiTheme="minorHAnsi" w:cs="Arial"/>
          <w:color w:val="000000"/>
          <w:szCs w:val="22"/>
        </w:rPr>
        <w:t xml:space="preserve"> lub placówce systemu oświaty, objętej wsparciem wynosi: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dla szkół lub placówek systemu oświaty do 300 uczniów lub słuchaczy – 140 000 zł,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ii) dla szkół lub placówek systemu oświaty od 301 uczniów lub słuchaczy – 200 000 zł</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oraz  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funkcjonalności: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w zależności od liczby uczniów lub słuchaczy, tj. do 300 albo od 301, szkoła lub placówka systemu oświaty posiada odpowiednio, co najmniej, jeden albo dwa zestawy przenośnych komputerów albo innych </w:t>
      </w:r>
      <w:r w:rsidRPr="000E0CEB">
        <w:rPr>
          <w:rFonts w:asciiTheme="minorHAnsi" w:eastAsia="Calibri" w:hAnsiTheme="minorHAnsi" w:cs="Arial"/>
          <w:color w:val="000000"/>
          <w:szCs w:val="22"/>
        </w:rPr>
        <w:lastRenderedPageBreak/>
        <w:t xml:space="preserve">mobilnych urządzeń mających funkcje komputera oraz dedykowanego urządzenia umożliwiającego ładowanie oraz zarządzanie mobilnym sprzętem komputerowym z: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zainstalowanym systemem operacyjnym;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 dostępem do oprogramowania biurowego;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iii) oprogramowaniem antywirusowym, jeżeli istnieje dla danego urządzenia – opcjonalnie, jeżeli takie oprogramowanie nie jest zainstalowane na szkolnych urządzeniach sieciowych;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iv) oprogramowaniem zabezpieczającym komputer albo inne mobilne narzędzia mające funkcje komputera w przypadku kradzieży;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vi) oprogramowaniem zabezpieczającym uczniów przed dostępem do treści, które mogą stanowić zagrożenie dla ich prawidłowego rozwoju w rozumieniu art. 4a ustawy o systemie oświaty;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vii) oprogramowaniem zabezpieczającym szkolne urządzenia sieciowe</w:t>
      </w:r>
      <w:r w:rsidR="00107800" w:rsidRPr="000E0CEB">
        <w:rPr>
          <w:rFonts w:asciiTheme="minorHAnsi" w:eastAsia="Calibri" w:hAnsiTheme="minorHAnsi" w:cs="Arial"/>
          <w:color w:val="000000"/>
          <w:szCs w:val="22"/>
        </w:rPr>
        <w:t>.</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do Internetu; </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107800" w:rsidRPr="000E0CEB" w:rsidRDefault="00107800">
      <w:pPr>
        <w:pStyle w:val="Default"/>
        <w:jc w:val="both"/>
        <w:rPr>
          <w:rFonts w:asciiTheme="minorHAnsi" w:eastAsia="Calibri" w:hAnsiTheme="minorHAnsi" w:cs="Arial"/>
          <w:color w:val="000000"/>
          <w:sz w:val="22"/>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e) szkoła lub placówka systemu oświaty zapewnia komputery przenośne lub inne mobilne narzędzia mające funkcje komputera do indywidualnego użytku służbowego nauczycielom prowadzącym zajęcia edukacyjne z wykorzystaniem TIK;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Wsparcie udzielone na rzecz tworzenia wewnątrzszkolnych sieci komputerowych lub bezprzewodowych może objąć: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opracowanie projektów technicznych dla każdej ze szkół lub placówek systemu oświaty uczestniczących w projekcie w zakresie instalacji sieci i urządzeń niezbędnych do stworzenia wewnątrzszkolnych sieci komputerowych lub bezprzewodowych;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zakup urządzeń w ramach infrastruktury sieciowo-usługowej i wykonanie instalacji sieci zgodnie z opracowaną dokumentacją;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sfinansowanie usług administrowania zakupionym w ramach projektu sprzętem i urządzeniami przez okres nie dłuższy niż okres trwania projektu.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Szczegółowy wykaz urządzeń w ramach infrastruktury sieciowo-usługowej, na zakup których jest możliwość udzielenia wsparcia finansowego jest katalogiem zamkniętym, został on określony przez MEN i jest udostępniany za pośrednictwem strony internetowej www.men.gov.pl.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lastRenderedPageBreak/>
        <w:t xml:space="preserve">Ponadto powyższe wydatki są kwalifikowalne, jeżeli zostaną spełnione łącznie wszystkie poniższe warunki: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nie jest możliwe wykorzystanie istniejącej infrastruktury;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 potrzeba wydatkowania środków została potwierdzona analizą potrzeb; </w:t>
      </w:r>
    </w:p>
    <w:p w:rsidR="00471B61" w:rsidRPr="000E0CEB" w:rsidRDefault="00477DF1" w:rsidP="00107800">
      <w:pPr>
        <w:spacing w:before="0"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iii. infrastruktura została zaprojektowana zgodnie z koncepcją uniwersalnego projektowania.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Kształtowanie i rozwijanie kompetencji cyfrowych uczniów lub słuchaczy, w tym z uwzględnieniem bezpieczeństwa w cyberprzestrzeni i wynikających z tego tytułu zagrożeń jest realizowane poprzez:</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4"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realizację projektów edukacyjnych w szkołach lub placówkach systemu oświaty objętych wsparciem; </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realizację różnych form rozwijających uzdolnienia;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 wdrożenie nowych form i programów nauczania;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e) tworzenie i realizację zajęć w klasach o nowatorskich rozwiązaniach programowych, organizacyjnych lub metodycznych;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f) organizację kółek zainteresowań, warsztatów, laboratoriów dla uczniów lub słuchaczy;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pomoc stypendialną dla uczniów lub słuchaczy szczególnie uzdolnionych w zakresie przedmiotów przyrodniczych, informatycznych, języków obcych, matematyki lub przedsiębiorczości;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j) doradztwo edukacyjno–zawodowe dla uczniów lub słuchaczy, ze szczególnym uwzględnieniem uczniów ze specjalnymi potrzebami edukacyjnymi,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k) realizację zajęć organizowanych poza lekcjami lub poza szkołą.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hAnsiTheme="minorHAnsi" w:cs="Arial"/>
          <w:b/>
          <w:sz w:val="22"/>
          <w:szCs w:val="22"/>
        </w:rPr>
        <w:t xml:space="preserve">10.2.B. </w:t>
      </w:r>
      <w:r w:rsidRPr="000E0CEB">
        <w:rPr>
          <w:rFonts w:asciiTheme="minorHAnsi" w:eastAsia="Calibri" w:hAnsiTheme="minorHAnsi" w:cs="Calibri"/>
          <w:b/>
          <w:color w:val="000000"/>
          <w:sz w:val="22"/>
          <w:szCs w:val="22"/>
        </w:rPr>
        <w:t xml:space="preserve">Tworzenie w szkołach warunków do nauczania eksperymentalnego poprzez: </w:t>
      </w:r>
    </w:p>
    <w:p w:rsidR="00471B61" w:rsidRPr="000E0CEB" w:rsidRDefault="00477DF1">
      <w:pPr>
        <w:spacing w:before="0" w:line="240" w:lineRule="auto"/>
        <w:jc w:val="both"/>
        <w:rPr>
          <w:rFonts w:asciiTheme="minorHAnsi" w:eastAsia="Calibri" w:hAnsiTheme="minorHAnsi" w:cs="Calibri"/>
          <w:b/>
          <w:color w:val="000000"/>
          <w:szCs w:val="22"/>
        </w:rPr>
      </w:pPr>
      <w:r w:rsidRPr="000E0CEB">
        <w:rPr>
          <w:rFonts w:asciiTheme="minorHAnsi" w:eastAsia="Calibri" w:hAnsiTheme="minorHAnsi" w:cs="Calibri"/>
          <w:b/>
          <w:color w:val="000000"/>
          <w:szCs w:val="22"/>
        </w:rPr>
        <w:t xml:space="preserve">a) wyposażenie szkolnych pracowni w narzędzia do nauczania przedmiotów przyrodniczych lub matematyki; </w:t>
      </w:r>
    </w:p>
    <w:p w:rsidR="00471B61" w:rsidRPr="000E0CEB" w:rsidRDefault="00477DF1">
      <w:pPr>
        <w:pStyle w:val="Default"/>
        <w:ind w:hanging="1"/>
        <w:jc w:val="both"/>
        <w:rPr>
          <w:rFonts w:asciiTheme="minorHAnsi" w:eastAsia="Calibri" w:hAnsiTheme="minorHAnsi" w:cs="Arial"/>
          <w:b/>
          <w:sz w:val="22"/>
          <w:szCs w:val="22"/>
          <w:lang w:eastAsia="en-US"/>
        </w:rPr>
      </w:pPr>
      <w:r w:rsidRPr="000E0CEB">
        <w:rPr>
          <w:rFonts w:asciiTheme="minorHAnsi" w:eastAsia="Calibri" w:hAnsiTheme="minorHAnsi" w:cs="Calibri"/>
          <w:b/>
          <w:color w:val="000000"/>
          <w:sz w:val="22"/>
          <w:szCs w:val="22"/>
        </w:rPr>
        <w:t xml:space="preserve">b) kształtowanie i rozwijanie kompetencji uczniów lub słuchaczy w zakresie przedmiotów przyrodniczych lub matematyki.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Zaplanowane wsparcie w projekcie powinno obejmować przynajmniej  2 powyższe elementy  lub jeden z powyższych elementów połączony z doskonaleniem umiejętności i kompetencji zawodowych nauczycieli, w tym nauczycieli przedmiotów przyrodniczych lub matematyki, niezbędnych do prowadzenia procesu nauczania opartego na metodzie eksperymentu.</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Wyjątek stanowi sytuacja, gdy beneficjent zapewni, realizację jednego z tych działań poza projektem.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Realizacja powyższego wsparcia jest dokonywana na podstawie indywidualnie zdiagnozowanego zapotrzebowania szkół lub placówek systemu w tym zakresie. Diagnoza powinna być przygotowana i przeprowadzona przez szkołę lub placówkę systemu oświaty lub inny podmiot prowadzący działalność o charakterze edukacyjnym lub badawczym oraz zatwierdzona przez organ prowadzący.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lastRenderedPageBreak/>
        <w:t xml:space="preserve">Wyposażenie szkolnych pracowni w narzędzia do nauczania przedmiotów przyrodniczych lub matematyki musi spełniać poniższe warunki: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katalog wydatków kwalifikowalnych w ramach wyposażenia szkolnych pracowni przedmiotów przyrodniczych obejmuje: </w:t>
      </w:r>
    </w:p>
    <w:p w:rsidR="00471B61" w:rsidRPr="000E0CEB" w:rsidRDefault="00477DF1" w:rsidP="00107800">
      <w:pPr>
        <w:spacing w:before="0"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podstawowe wyposażenie pracowni (wagi, szafy laboratoryjne itp.); </w:t>
      </w:r>
    </w:p>
    <w:p w:rsidR="00471B61" w:rsidRPr="000E0CEB" w:rsidRDefault="00477DF1" w:rsidP="00107800">
      <w:pPr>
        <w:spacing w:before="0" w:line="240" w:lineRule="auto"/>
        <w:ind w:left="284"/>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 sprzęt niezbędny do przeprowadzania doświadczeń, eksperymentów, obserwacji (przyrządy pomiarowe, przyrządy optyczne, szkło laboratoryjne, szkiełka mikroskopowe itp.), w tym narzędzia TIK wraz z odpowiednimi aplikacjami tematycznymi; </w:t>
      </w:r>
    </w:p>
    <w:p w:rsidR="00471B61" w:rsidRPr="000E0CEB" w:rsidRDefault="00477DF1" w:rsidP="00107800">
      <w:pPr>
        <w:spacing w:before="0" w:line="240" w:lineRule="auto"/>
        <w:ind w:left="284"/>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iii) odczynniki lub substancje chemiczne; </w:t>
      </w:r>
    </w:p>
    <w:p w:rsidR="00471B61" w:rsidRPr="000E0CEB" w:rsidRDefault="00477DF1" w:rsidP="00107800">
      <w:pPr>
        <w:spacing w:before="0" w:line="240" w:lineRule="auto"/>
        <w:ind w:left="284"/>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iv) środki czystości; </w:t>
      </w:r>
    </w:p>
    <w:p w:rsidR="00471B61" w:rsidRPr="000E0CEB" w:rsidRDefault="00477DF1" w:rsidP="00107800">
      <w:pPr>
        <w:spacing w:before="0" w:line="240" w:lineRule="auto"/>
        <w:ind w:left="284"/>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v) pomoce dydaktyczne (środki trwałe, mapy, atlasy, roczniki statystyczne itp.);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szczegółowy katalog wyposażenia szkolnych pracowni przedmiotów przyrodniczych został opracowany przez MEN i jest udostępniany za pośrednictwem strony internetowej www.men.gov.pl; c) możliwe jest sfinansowanie w ramach projektu kosztów związanych z adaptacją pomieszczeń na potrzeby pracowni szkolnych, wynikających m. in. z konieczności montażu zakupionego wyposażenia oraz zagwarantowania bezpiecznego ich użytkowania;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 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e) możliwe jest wyposażenie szkolnych pracowni matematyki. Standard wyposażenia szkolnych pracowni matematycznych stanowi załącznik nr 17 do Regulaminu;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f) wyposażenie szkolnych pracowni przedmiotów przyrodniczych i matematyki powinno być dostosowane do potrzeb ich użytkowników, w tym wynikających z niepełnosprawności;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g) zakupione wyposażenie powinno być dostosowane do odpowiedniego etapu edukacyjnego i zakresu realizacji podstawy programowej kształcenia ogólnego w poszczególnych typach szkół (podstawowego lub rozszerzonego); </w:t>
      </w:r>
    </w:p>
    <w:p w:rsidR="00471B61" w:rsidRPr="000E0CEB" w:rsidRDefault="00477DF1">
      <w:pPr>
        <w:spacing w:before="0" w:after="142" w:line="240" w:lineRule="auto"/>
        <w:jc w:val="both"/>
        <w:rPr>
          <w:rFonts w:asciiTheme="minorHAnsi" w:eastAsia="Calibri" w:hAnsiTheme="minorHAnsi" w:cs="Arial"/>
          <w:b/>
          <w:color w:val="000000"/>
          <w:szCs w:val="22"/>
        </w:rPr>
      </w:pPr>
      <w:r w:rsidRPr="000E0CEB">
        <w:rPr>
          <w:rFonts w:asciiTheme="minorHAnsi" w:eastAsia="Calibri" w:hAnsiTheme="minorHAnsi" w:cs="Arial"/>
          <w:b/>
          <w:color w:val="000000"/>
          <w:szCs w:val="22"/>
        </w:rPr>
        <w:t>Wsparcie w zakresie wyposażenia szkół może być realizowane jedynie jako wsparcie uzupełniające.</w:t>
      </w:r>
    </w:p>
    <w:p w:rsidR="00471B61" w:rsidRPr="000E0CEB" w:rsidRDefault="00471B61">
      <w:pPr>
        <w:spacing w:before="0" w:line="240" w:lineRule="auto"/>
        <w:jc w:val="both"/>
        <w:rPr>
          <w:rFonts w:asciiTheme="minorHAnsi" w:eastAsia="Calibri" w:hAnsiTheme="minorHAnsi" w:cs="Arial"/>
          <w:szCs w:val="22"/>
          <w:highlight w:val="yellow"/>
          <w:lang w:eastAsia="en-US"/>
        </w:rPr>
      </w:pPr>
    </w:p>
    <w:p w:rsidR="00471B61" w:rsidRPr="000E0CEB" w:rsidRDefault="00477DF1">
      <w:pPr>
        <w:spacing w:before="0" w:line="240" w:lineRule="auto"/>
        <w:jc w:val="both"/>
        <w:rPr>
          <w:rFonts w:asciiTheme="minorHAnsi" w:eastAsia="Calibri" w:hAnsiTheme="minorHAnsi" w:cs="Arial"/>
          <w:szCs w:val="22"/>
          <w:highlight w:val="yellow"/>
          <w:lang w:eastAsia="en-US"/>
        </w:rPr>
      </w:pPr>
      <w:r w:rsidRPr="000E0CEB">
        <w:rPr>
          <w:rFonts w:asciiTheme="minorHAnsi" w:eastAsia="Calibri" w:hAnsiTheme="minorHAnsi" w:cs="Calibri"/>
          <w:color w:val="000000"/>
          <w:szCs w:val="22"/>
        </w:rPr>
        <w:t>Kształtowanie i rozwijanie kompetencji uczniów lub słuchaczy w zakresie przedmiotów przyrodniczych lub matematyki obejmuje:</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4"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realizację projektów edukacyjnych w szkołach lub placówkach systemu oświaty objętych wsparciem; </w:t>
      </w: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realizację różnych form rozwijających uzdolnienia;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 wdrożenie nowych form i programów nauczania;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e) tworzenie i realizacja zajęć w klasach o nowatorskich rozwiązaniach programowych, organizacyjnych lub metodycznych;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f) organizację kółek zainteresowań, warsztatów, laboratoriów dla uczniów lub słuchaczy;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lastRenderedPageBreak/>
        <w:t xml:space="preserve">i) realizację zajęć organizowanych poza lekcjami lub poza szkołą.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Powyższe działania mogą być tylko uzupełnieniem działań prowadzonych przed rozpoczęciem realizacji projektu przez szkoły lub placówki systemu oświaty. </w:t>
      </w:r>
      <w:r w:rsidRPr="000E0CEB">
        <w:rPr>
          <w:rFonts w:asciiTheme="minorHAnsi" w:eastAsia="Calibri" w:hAnsiTheme="minorHAnsi" w:cs="Arial"/>
          <w:b/>
          <w:color w:val="000000"/>
          <w:szCs w:val="22"/>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0E0CEB">
        <w:rPr>
          <w:rFonts w:asciiTheme="minorHAnsi" w:eastAsia="Calibri" w:hAnsiTheme="minorHAnsi" w:cs="Arial"/>
          <w:color w:val="000000"/>
          <w:szCs w:val="22"/>
        </w:rPr>
        <w:t xml:space="preserve"> Ponadto działania muszą być prowadzone z uwzględnieniem indywidualnych potrzeb rozwojowych i edukacyjnych oraz możliwości psychofizycznych uczniów lub słuchaczy objętych wsparciem. </w:t>
      </w:r>
    </w:p>
    <w:p w:rsidR="00471B61" w:rsidRPr="000E0CEB" w:rsidRDefault="00471B61">
      <w:pPr>
        <w:spacing w:before="0" w:line="240" w:lineRule="auto"/>
        <w:jc w:val="both"/>
        <w:rPr>
          <w:rFonts w:asciiTheme="minorHAnsi" w:eastAsia="Calibri" w:hAnsiTheme="minorHAnsi" w:cs="Arial"/>
          <w:szCs w:val="22"/>
          <w:highlight w:val="yellow"/>
          <w:lang w:eastAsia="en-US"/>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hAnsiTheme="minorHAnsi" w:cs="Arial"/>
          <w:b/>
          <w:sz w:val="22"/>
          <w:szCs w:val="22"/>
        </w:rPr>
        <w:t xml:space="preserve">10.2.C. </w:t>
      </w:r>
      <w:r w:rsidRPr="000E0CEB">
        <w:rPr>
          <w:rFonts w:asciiTheme="minorHAnsi" w:eastAsia="Calibri" w:hAnsiTheme="minorHAnsi" w:cs="Calibri"/>
          <w:b/>
          <w:color w:val="000000"/>
          <w:sz w:val="22"/>
          <w:szCs w:val="22"/>
        </w:rPr>
        <w:t xml:space="preserve">Realizacja programów pomocy stypendialnej dla uczniów lub słuchaczy szczególnie uzdolnionych w zakresie przedmiotów przyrodniczych, informatycznych, języków obcych, matematyki lub przedsiębiorczości, ze szczególnym uwzględnieniem uczniów i słuchaczy o specjalnych potrzebach edukacyjnych (m.in. uczniowie z niepełnosprawnościami, uczniowie zagrożeni przedwczesnym kończeniem nauki). </w:t>
      </w:r>
    </w:p>
    <w:p w:rsidR="00471B61" w:rsidRPr="000E0CEB" w:rsidRDefault="00471B61">
      <w:pPr>
        <w:spacing w:before="0" w:line="240" w:lineRule="auto"/>
        <w:jc w:val="both"/>
        <w:rPr>
          <w:rFonts w:asciiTheme="minorHAnsi" w:eastAsia="Calibri" w:hAnsiTheme="minorHAnsi" w:cs="Arial"/>
          <w:szCs w:val="22"/>
          <w:lang w:eastAsia="en-US"/>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Zakres pomocy stypendialnej, zaplanowanej w projekcie musi być zgodny  z następującymi warunkami: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a)pomoc stypendialna jest udzielana przez szkołę lub placówkę systemu oświaty, w której kształcą się uczniowie lub słuchacze albo przez organ prowadzący szkoły lub placówki systemu oświaty;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kryterium szczególnie uzdolnionych uczniów lub słuchaczy powinno obejmować co najmniej oceny klasyfikacyjne uzyskane przez uczniów lub słuchaczy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powinny zawierać regulaminy programów stypendialnych;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wysokość pomocy stypendialnej nie może przekroczyć 1000 zł brutto na jednego ucznia lub słuchacza;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d)minimalny okres na jaki jest przyznawana pomoc stypendialna wynosi 10 miesięcy i może być skrócony jedynie w przypadku naruszenia przez ucznia lub słuchacza regulaminu programu stypendialnego;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e) w trakcie otrzymywania pomocy stypendialnej uczeń lub słuchacz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osiągnięć edukacyjnych. </w:t>
      </w:r>
    </w:p>
    <w:p w:rsidR="00471B61" w:rsidRPr="000E0CEB" w:rsidRDefault="00471B61">
      <w:pPr>
        <w:pStyle w:val="Default"/>
        <w:jc w:val="both"/>
        <w:rPr>
          <w:rFonts w:asciiTheme="minorHAnsi" w:hAnsiTheme="minorHAnsi" w:cs="Arial"/>
          <w:b/>
          <w:sz w:val="22"/>
          <w:szCs w:val="22"/>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hAnsiTheme="minorHAnsi" w:cs="Arial"/>
          <w:b/>
          <w:sz w:val="22"/>
          <w:szCs w:val="22"/>
        </w:rPr>
        <w:t xml:space="preserve">10.2.D. </w:t>
      </w:r>
      <w:r w:rsidRPr="000E0CEB">
        <w:rPr>
          <w:rFonts w:asciiTheme="minorHAnsi" w:eastAsia="Calibri" w:hAnsiTheme="minorHAnsi" w:cs="Calibri"/>
          <w:b/>
          <w:color w:val="000000"/>
          <w:sz w:val="22"/>
          <w:szCs w:val="22"/>
        </w:rPr>
        <w:t xml:space="preserve">Wsparcie w zakresie indywidualizacji pracy z uczniem ze specjalnymi potrzebami edukacyjnymi, w tym wsparcie ucznia młodszego przy jego przechodzeniu na kolejny etap kształcenia, w szczególności poprzez: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a) 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b) wsparcie uczniów ze specjalnymi potrzebami edukacyjnymi, w tym uczniów młodszych w ramach zajęć uzupełniających ofertę szkoły lub placówki systemu oświaty.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line="240" w:lineRule="auto"/>
        <w:jc w:val="both"/>
        <w:rPr>
          <w:rFonts w:asciiTheme="minorHAnsi" w:eastAsia="Calibri" w:hAnsiTheme="minorHAnsi" w:cs="Arial"/>
          <w:b/>
          <w:color w:val="000000"/>
          <w:szCs w:val="22"/>
        </w:rPr>
      </w:pPr>
      <w:r w:rsidRPr="000E0CEB">
        <w:rPr>
          <w:rFonts w:asciiTheme="minorHAnsi" w:eastAsia="Calibri" w:hAnsiTheme="minorHAnsi" w:cs="Arial"/>
          <w:b/>
          <w:color w:val="000000"/>
          <w:szCs w:val="22"/>
        </w:rPr>
        <w:t xml:space="preserve">Działania w zakresie indywidualizacji pracy z uczniem ze specjalnymi potrzebami edukacyjnymi, z wyłączeniem wsparcia udzielanego na rzecz ucznia młodszego lub ucznia z niepełnosprawnością, obejmą II </w:t>
      </w:r>
      <w:r w:rsidRPr="000E0CEB">
        <w:rPr>
          <w:rFonts w:asciiTheme="minorHAnsi" w:eastAsia="Calibri" w:hAnsiTheme="minorHAnsi" w:cs="Arial"/>
          <w:b/>
          <w:color w:val="000000"/>
          <w:szCs w:val="22"/>
        </w:rPr>
        <w:lastRenderedPageBreak/>
        <w:t xml:space="preserve">etap edukacyjny (klasy IV-VI szkoły podstawowej) oraz III etap edukacyjny (gimnazjum). Wsparcie ucznia młodszego oraz ucznia z niepełnosprawnością może być realizowane na wszystkich etapach edukacyjnych. </w:t>
      </w:r>
    </w:p>
    <w:p w:rsidR="00471B61" w:rsidRPr="000E0CEB" w:rsidRDefault="00471B61">
      <w:pPr>
        <w:spacing w:before="0" w:after="142"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Powyższe wsparcie jest możliwe jedynie na podstawie indywidualnie zdiagnozowanego zapotrzebowania szkół lub placówek systemu oświaty w tym zakresie. Diagnoza powinna być przygotowana i przeprowadzona przez szkołę lub placówkę systemu oświaty lub inny podmiot prowadzący działalność o charakterze edukacyjnym lub badawczym oraz zatwierdzona przez organ prowadzący. Podmiot przeprowadzający diagnozę ma możliwość skorzystania ze wsparcia instytucji systemu wspomagania pracy szkół, tj. placówki doskonalenia nauczycieli, poradni psychologiczno-pedagogicznej, biblioteki pedagogicznej.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Ponadto powyższe wsparcie powinno być zgodne z następującymi warunkami: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 specjalistycznego oprogramowania;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 materiałów do diagnozy, wspomagania rozwoju i korygowania deficytów takich jak: wady wymowy, dysleksja, wady postawy, zaburzenia koordynacji wzrokowo-ruchowej;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iii) materiałów do diagnozy i terapii specyficznych trudności w uczeniu się, również takich, które wynikają z potrzeb ucznia młodszego;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iv) sprzętu specjalistycznego, wspierającego funkcjonowanie uczniów z niepełnosprawnością w szkole lub placówce; </w:t>
      </w:r>
    </w:p>
    <w:p w:rsidR="00471B61" w:rsidRPr="000E0CEB" w:rsidRDefault="00477DF1" w:rsidP="00107800">
      <w:pPr>
        <w:spacing w:before="0"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v) podręczników szkolnych i materiałów dydaktycznych dostosowanych do potrzeb uczniów z niepełnosprawnością</w:t>
      </w:r>
      <w:r w:rsidR="00107800" w:rsidRPr="000E0CEB">
        <w:rPr>
          <w:rFonts w:asciiTheme="minorHAnsi" w:eastAsia="Calibri" w:hAnsiTheme="minorHAnsi" w:cs="Arial"/>
          <w:color w:val="000000"/>
          <w:szCs w:val="22"/>
        </w:rPr>
        <w:t>.</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Beneficjent ma obowiązek zapewnić, że zakupione pomoce, sprzęt specjalistyczny lub podręczniki, będą wykorzystywane w ramach działań prowadzonych przez szkoły lub placówki systemu oświaty, odpowiednio do: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opracowania i realizacji w trakcie bieżącej pracy z uczniem indywidualnych programów edukacyjno-terapeutycznych dla uczniów posiadających orzeczenie o potrzebie kształcenia specjalnego zgodnie z przepisami odpowiednio rozporządzenia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 lub rozporządzenia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 </w:t>
      </w:r>
    </w:p>
    <w:p w:rsidR="00471B61" w:rsidRPr="000E0CEB" w:rsidRDefault="00471B61">
      <w:pPr>
        <w:pStyle w:val="Default"/>
        <w:jc w:val="both"/>
        <w:rPr>
          <w:rFonts w:asciiTheme="minorHAnsi" w:eastAsia="Calibri" w:hAnsiTheme="minorHAnsi" w:cs="Calibri"/>
          <w:color w:val="000000"/>
          <w:sz w:val="22"/>
          <w:szCs w:val="22"/>
        </w:rPr>
      </w:pPr>
    </w:p>
    <w:p w:rsidR="00471B61" w:rsidRPr="000E0CEB" w:rsidRDefault="00477DF1">
      <w:pPr>
        <w:pStyle w:val="Default"/>
        <w:jc w:val="both"/>
        <w:rPr>
          <w:rFonts w:asciiTheme="minorHAnsi" w:eastAsia="Calibri" w:hAnsiTheme="minorHAnsi" w:cs="Arial"/>
          <w:color w:val="000000"/>
          <w:sz w:val="22"/>
          <w:szCs w:val="22"/>
        </w:rPr>
      </w:pPr>
      <w:r w:rsidRPr="000E0CEB">
        <w:rPr>
          <w:rFonts w:asciiTheme="minorHAnsi" w:eastAsia="Calibri" w:hAnsiTheme="minorHAnsi" w:cs="Calibri"/>
          <w:color w:val="000000"/>
          <w:sz w:val="22"/>
          <w:szCs w:val="22"/>
        </w:rPr>
        <w:t xml:space="preserve">Wsparcie uczniów ze specjalnymi potrzebami edukacyjnymi, w tym uczniów młodszych w ramach zajęć uzupełniających ofertę szkoły lub placówki systemu oświaty powinno uwzględniać współpracę z rodzicami i musi spełniać  </w:t>
      </w:r>
      <w:r w:rsidRPr="000E0CEB">
        <w:rPr>
          <w:rFonts w:asciiTheme="minorHAnsi" w:eastAsia="Calibri" w:hAnsiTheme="minorHAnsi" w:cs="Arial"/>
          <w:color w:val="000000"/>
          <w:sz w:val="22"/>
          <w:szCs w:val="22"/>
        </w:rPr>
        <w:t xml:space="preserve">następujące warunki: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środki mogą zostać wykorzystane na realizację w szczególności: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lastRenderedPageBreak/>
        <w:t xml:space="preserve">i) 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 zajęć dydaktyczno – wyrównawczych, organizowanych dla uczniów ze specjalnymi potrzebami edukacyjnymi, w tym uczniów młodszych, mających trudności w spełnianiu wymagań edukacyjnych wynikających z podstawy programowej kształcenia ogólnego dla danego etapu edukacyjnego;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iii) warsztatów;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iv) porad i konsultacji; </w:t>
      </w:r>
    </w:p>
    <w:p w:rsidR="00471B61" w:rsidRPr="000E0CEB" w:rsidRDefault="00477DF1" w:rsidP="00107800">
      <w:pPr>
        <w:spacing w:before="0" w:after="142" w:line="240" w:lineRule="auto"/>
        <w:ind w:left="426"/>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v) zajęć rewalidacyjno-wychowawczych, o których mowa w rozporządzeniu Ministra Edukacji Narodowej z dnia 23 kwietnia 2013 r. w sprawie warunków i sposobu organizowania zajęć rewalidacyjno-wychowawczych dla dzieci i młodzieży z upośledzeniem umysłowym w stopniu głębokim;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do realizacji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rekomenduje się wykorzystanie narzędzi, metod lub form pracy wypracowanych w ramach projektów, w tym pozytywnie zwalidowanych produktów projektów innowacyjnych, zrealizowanych w latach 2007-2013 w ramach PO KL. Ponadto realizacja powyższych form wsparcia musi wynikać z diagnozy indywidualnych potrzeb i możliwości uczniów i stanowić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471B61" w:rsidRPr="000E0CEB" w:rsidRDefault="00471B61">
      <w:pPr>
        <w:spacing w:before="0" w:after="142" w:line="240" w:lineRule="auto"/>
        <w:jc w:val="both"/>
        <w:rPr>
          <w:rFonts w:asciiTheme="minorHAnsi" w:eastAsia="Calibri" w:hAnsiTheme="minorHAnsi" w:cs="Arial"/>
          <w:color w:val="000000"/>
          <w:szCs w:val="22"/>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hAnsiTheme="minorHAnsi" w:cs="Arial"/>
          <w:b/>
          <w:sz w:val="22"/>
          <w:szCs w:val="22"/>
        </w:rPr>
        <w:t xml:space="preserve">10.2.E. </w:t>
      </w:r>
      <w:r w:rsidRPr="000E0CEB">
        <w:rPr>
          <w:rFonts w:asciiTheme="minorHAnsi" w:eastAsia="Calibri" w:hAnsiTheme="minorHAnsi" w:cs="Calibri"/>
          <w:b/>
          <w:color w:val="000000"/>
          <w:sz w:val="22"/>
          <w:szCs w:val="22"/>
        </w:rPr>
        <w:t xml:space="preserve">Doradztwo i opieka psychologiczno-pedagogiczna, dla uczniów, ze szczególnym uwzględnieniem problematyki ucznia o specjalnych potrzebach edukacyjnych (m.in. uczniowie z niepełnosprawnościami, uczniowie uzdolnieni, zagrożeni przedwczesnym kończeniem nauki). </w:t>
      </w:r>
    </w:p>
    <w:p w:rsidR="0028019E" w:rsidRPr="000E0CEB" w:rsidRDefault="00477DF1">
      <w:pPr>
        <w:pStyle w:val="Default"/>
        <w:jc w:val="both"/>
        <w:rPr>
          <w:rFonts w:asciiTheme="minorHAnsi" w:eastAsia="Calibri" w:hAnsiTheme="minorHAnsi" w:cs="Calibri"/>
          <w:b/>
          <w:color w:val="000000"/>
          <w:sz w:val="22"/>
          <w:szCs w:val="22"/>
        </w:rPr>
      </w:pPr>
      <w:r w:rsidRPr="000E0CEB">
        <w:rPr>
          <w:rFonts w:asciiTheme="minorHAnsi" w:eastAsia="Calibri" w:hAnsiTheme="minorHAnsi" w:cs="TimesNewRomanPS-BoldMT"/>
          <w:bCs/>
          <w:sz w:val="22"/>
          <w:szCs w:val="22"/>
        </w:rPr>
        <w:t xml:space="preserve">Pomoc  psychologiczno-pedagogiczna powinna być realizowana zgodnie z </w:t>
      </w:r>
      <w:r w:rsidR="00FB512D" w:rsidRPr="000E0CEB">
        <w:rPr>
          <w:rFonts w:asciiTheme="minorHAnsi" w:eastAsia="Calibri" w:hAnsiTheme="minorHAnsi" w:cs="TimesNewRomanPS-BoldMT"/>
          <w:bCs/>
          <w:sz w:val="22"/>
          <w:szCs w:val="22"/>
        </w:rPr>
        <w:t>Rozporządzeniem</w:t>
      </w:r>
      <w:r w:rsidRPr="000E0CEB">
        <w:rPr>
          <w:rFonts w:asciiTheme="minorHAnsi" w:eastAsia="Calibri" w:hAnsiTheme="minorHAnsi" w:cs="TimesNewRomanPS-BoldMT"/>
          <w:bCs/>
          <w:sz w:val="22"/>
          <w:szCs w:val="22"/>
        </w:rPr>
        <w:t xml:space="preserve"> Ministra Edukacji Narodowej </w:t>
      </w:r>
      <w:r w:rsidRPr="000E0CEB">
        <w:rPr>
          <w:rFonts w:asciiTheme="minorHAnsi" w:eastAsia="Calibri" w:hAnsiTheme="minorHAnsi" w:cs="TimesNewRomanPSMT"/>
          <w:sz w:val="22"/>
          <w:szCs w:val="22"/>
        </w:rPr>
        <w:t xml:space="preserve">z dnia 30 kwietnia 2013 r. </w:t>
      </w:r>
      <w:r w:rsidRPr="000E0CEB">
        <w:rPr>
          <w:rFonts w:asciiTheme="minorHAnsi" w:eastAsia="Calibri" w:hAnsiTheme="minorHAnsi" w:cs="TimesNewRomanPS-BoldMT"/>
          <w:bCs/>
          <w:sz w:val="22"/>
          <w:szCs w:val="22"/>
        </w:rPr>
        <w:t xml:space="preserve">w sprawie zasad udzielania i organizacji pomocy psychologiczno-pedagogicznej w publicznych przedszkolach, szkołach i placówkach i uwzględniać etap </w:t>
      </w:r>
      <w:r w:rsidRPr="000E0CEB">
        <w:rPr>
          <w:rFonts w:asciiTheme="minorHAnsi" w:eastAsia="Calibri" w:hAnsiTheme="minorHAnsi" w:cs="Helvetica"/>
          <w:sz w:val="22"/>
          <w:szCs w:val="22"/>
        </w:rPr>
        <w:t xml:space="preserve"> </w:t>
      </w:r>
      <w:r w:rsidRPr="000E0CEB">
        <w:rPr>
          <w:rFonts w:asciiTheme="minorHAnsi" w:eastAsia="Calibri" w:hAnsiTheme="minorHAnsi" w:cs="Helvetica-Bold"/>
          <w:bCs/>
          <w:sz w:val="22"/>
          <w:szCs w:val="22"/>
        </w:rPr>
        <w:t xml:space="preserve">rozpoznawania </w:t>
      </w:r>
      <w:r w:rsidR="00FB512D" w:rsidRPr="000E0CEB">
        <w:rPr>
          <w:rFonts w:asciiTheme="minorHAnsi" w:eastAsia="Calibri" w:hAnsiTheme="minorHAnsi" w:cs="Helvetica-Bold"/>
          <w:bCs/>
          <w:sz w:val="22"/>
          <w:szCs w:val="22"/>
        </w:rPr>
        <w:t>mo</w:t>
      </w:r>
      <w:r w:rsidR="00FB512D" w:rsidRPr="000E0CEB">
        <w:rPr>
          <w:rFonts w:asciiTheme="minorHAnsi" w:eastAsia="Calibri" w:hAnsiTheme="minorHAnsi" w:cs="TTE1AAA328t00"/>
          <w:sz w:val="22"/>
          <w:szCs w:val="22"/>
        </w:rPr>
        <w:t>ż</w:t>
      </w:r>
      <w:r w:rsidR="00FB512D" w:rsidRPr="000E0CEB">
        <w:rPr>
          <w:rFonts w:asciiTheme="minorHAnsi" w:eastAsia="Calibri" w:hAnsiTheme="minorHAnsi" w:cs="Helvetica-Bold"/>
          <w:bCs/>
          <w:sz w:val="22"/>
          <w:szCs w:val="22"/>
        </w:rPr>
        <w:t>liwo</w:t>
      </w:r>
      <w:r w:rsidR="00FB512D" w:rsidRPr="000E0CEB">
        <w:rPr>
          <w:rFonts w:asciiTheme="minorHAnsi" w:eastAsia="Calibri" w:hAnsiTheme="minorHAnsi" w:cs="TTE1AAA328t00"/>
          <w:sz w:val="22"/>
          <w:szCs w:val="22"/>
        </w:rPr>
        <w:t>ś</w:t>
      </w:r>
      <w:r w:rsidR="00FB512D" w:rsidRPr="000E0CEB">
        <w:rPr>
          <w:rFonts w:asciiTheme="minorHAnsi" w:eastAsia="Calibri" w:hAnsiTheme="minorHAnsi" w:cs="Helvetica-Bold"/>
          <w:bCs/>
          <w:sz w:val="22"/>
          <w:szCs w:val="22"/>
        </w:rPr>
        <w:t>ci</w:t>
      </w:r>
      <w:r w:rsidRPr="000E0CEB">
        <w:rPr>
          <w:rFonts w:asciiTheme="minorHAnsi" w:eastAsia="Calibri" w:hAnsiTheme="minorHAnsi" w:cs="Helvetica-Bold"/>
          <w:bCs/>
          <w:sz w:val="22"/>
          <w:szCs w:val="22"/>
        </w:rPr>
        <w:t xml:space="preserve"> psychofizycznych uczniów oraz </w:t>
      </w:r>
      <w:r w:rsidRPr="000E0CEB">
        <w:rPr>
          <w:rFonts w:asciiTheme="minorHAnsi" w:eastAsia="Calibri" w:hAnsiTheme="minorHAnsi" w:cs="Helvetica"/>
          <w:sz w:val="22"/>
          <w:szCs w:val="22"/>
        </w:rPr>
        <w:t xml:space="preserve"> </w:t>
      </w:r>
      <w:r w:rsidRPr="000E0CEB">
        <w:rPr>
          <w:rFonts w:asciiTheme="minorHAnsi" w:eastAsia="Calibri" w:hAnsiTheme="minorHAnsi" w:cs="Helvetica-Bold"/>
          <w:bCs/>
          <w:sz w:val="22"/>
          <w:szCs w:val="22"/>
        </w:rPr>
        <w:t>rozpoznawania i zaspokajania indywidualnych potrzeb rozwojowych i edukacyjnych uczniów.</w:t>
      </w:r>
    </w:p>
    <w:p w:rsidR="00471B61" w:rsidRPr="000E0CEB" w:rsidRDefault="00471B61">
      <w:pPr>
        <w:pStyle w:val="Default"/>
        <w:jc w:val="both"/>
        <w:rPr>
          <w:rFonts w:asciiTheme="minorHAnsi" w:eastAsia="Calibri" w:hAnsiTheme="minorHAnsi" w:cs="Calibri"/>
          <w:b/>
          <w:color w:val="000000"/>
          <w:sz w:val="22"/>
          <w:szCs w:val="22"/>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eastAsia="Calibri" w:hAnsiTheme="minorHAnsi" w:cs="Calibri"/>
          <w:b/>
          <w:color w:val="000000"/>
          <w:sz w:val="22"/>
          <w:szCs w:val="22"/>
        </w:rPr>
        <w:t xml:space="preserve"> </w:t>
      </w:r>
      <w:r w:rsidRPr="000E0CEB">
        <w:rPr>
          <w:rFonts w:asciiTheme="minorHAnsi" w:hAnsiTheme="minorHAnsi" w:cs="Arial"/>
          <w:b/>
          <w:sz w:val="22"/>
          <w:szCs w:val="22"/>
        </w:rPr>
        <w:t xml:space="preserve">10.2.F. </w:t>
      </w:r>
      <w:r w:rsidRPr="000E0CEB">
        <w:rPr>
          <w:rFonts w:asciiTheme="minorHAnsi" w:eastAsia="Calibri" w:hAnsiTheme="minorHAnsi" w:cs="Calibri"/>
          <w:b/>
          <w:color w:val="000000"/>
          <w:sz w:val="22"/>
          <w:szCs w:val="22"/>
        </w:rPr>
        <w:t xml:space="preserve">Rozszerzanie oferty szkół o zagadnienia związane z poradnictwem i doradztwem edukacyjno-zawodowym. </w:t>
      </w:r>
    </w:p>
    <w:p w:rsidR="0028019E" w:rsidRPr="000E0CEB" w:rsidRDefault="00477DF1" w:rsidP="0028019E">
      <w:pPr>
        <w:spacing w:before="0" w:line="240" w:lineRule="auto"/>
        <w:rPr>
          <w:rFonts w:asciiTheme="minorHAnsi" w:hAnsiTheme="minorHAnsi"/>
          <w:szCs w:val="22"/>
        </w:rPr>
      </w:pPr>
      <w:r w:rsidRPr="000E0CEB">
        <w:rPr>
          <w:rFonts w:asciiTheme="minorHAnsi" w:hAnsiTheme="minorHAnsi"/>
          <w:szCs w:val="22"/>
        </w:rPr>
        <w:t>Powyższe wsparcie obejmuje m.in.:</w:t>
      </w:r>
    </w:p>
    <w:p w:rsidR="0028019E" w:rsidRPr="000E0CEB" w:rsidRDefault="00477DF1" w:rsidP="0028019E">
      <w:pPr>
        <w:spacing w:before="0" w:line="240" w:lineRule="auto"/>
        <w:rPr>
          <w:rFonts w:asciiTheme="minorHAnsi" w:hAnsiTheme="minorHAnsi"/>
          <w:szCs w:val="22"/>
        </w:rPr>
      </w:pPr>
      <w:r w:rsidRPr="000E0CEB">
        <w:rPr>
          <w:rFonts w:asciiTheme="minorHAnsi" w:hAnsiTheme="minorHAnsi"/>
          <w:szCs w:val="22"/>
        </w:rPr>
        <w:t>- systematyczne diagnozowanie zapotrzebowania uczniów na informacje edukacyjne i zawodowe oraz pomoc w planowaniu kształcenia i kariery zawodowej,</w:t>
      </w:r>
    </w:p>
    <w:p w:rsidR="0028019E" w:rsidRPr="000E0CEB" w:rsidRDefault="00477DF1" w:rsidP="0028019E">
      <w:pPr>
        <w:spacing w:before="0" w:line="240" w:lineRule="auto"/>
        <w:rPr>
          <w:rFonts w:asciiTheme="minorHAnsi" w:hAnsiTheme="minorHAnsi"/>
          <w:szCs w:val="22"/>
        </w:rPr>
      </w:pPr>
      <w:r w:rsidRPr="000E0CEB">
        <w:rPr>
          <w:rFonts w:asciiTheme="minorHAnsi" w:hAnsiTheme="minorHAnsi"/>
          <w:szCs w:val="22"/>
        </w:rPr>
        <w:t>- gromadzenie, aktualizacja i udostępnianie informacji edukacyjnych i zawodowych właściwych dla danego poziomu kształcenia,</w:t>
      </w:r>
    </w:p>
    <w:p w:rsidR="0028019E" w:rsidRPr="000E0CEB" w:rsidRDefault="00477DF1" w:rsidP="0028019E">
      <w:pPr>
        <w:spacing w:before="0" w:line="240" w:lineRule="auto"/>
        <w:rPr>
          <w:rFonts w:asciiTheme="minorHAnsi" w:hAnsiTheme="minorHAnsi"/>
          <w:szCs w:val="22"/>
        </w:rPr>
      </w:pPr>
      <w:r w:rsidRPr="000E0CEB">
        <w:rPr>
          <w:rFonts w:asciiTheme="minorHAnsi" w:hAnsiTheme="minorHAnsi"/>
          <w:szCs w:val="22"/>
        </w:rPr>
        <w:t>- udzielanie indywidualnych konsultacji uczniom i rodzicom,</w:t>
      </w:r>
    </w:p>
    <w:p w:rsidR="0028019E" w:rsidRPr="000E0CEB" w:rsidRDefault="00477DF1" w:rsidP="0028019E">
      <w:pPr>
        <w:spacing w:before="0" w:line="240" w:lineRule="auto"/>
        <w:rPr>
          <w:rFonts w:asciiTheme="minorHAnsi" w:hAnsiTheme="minorHAnsi"/>
          <w:szCs w:val="22"/>
        </w:rPr>
      </w:pPr>
      <w:r w:rsidRPr="000E0CEB">
        <w:rPr>
          <w:rFonts w:asciiTheme="minorHAnsi" w:hAnsiTheme="minorHAnsi"/>
          <w:szCs w:val="22"/>
        </w:rPr>
        <w:t>- prowadzenie zajęć przygotowujących uczniów do świadomego planowania kariery i podjęcia roli zawodowej.</w:t>
      </w:r>
    </w:p>
    <w:p w:rsidR="0028019E" w:rsidRPr="000E0CEB" w:rsidRDefault="0028019E">
      <w:pPr>
        <w:pStyle w:val="Default"/>
        <w:jc w:val="both"/>
        <w:rPr>
          <w:rFonts w:asciiTheme="minorHAnsi" w:eastAsia="Calibri" w:hAnsiTheme="minorHAnsi" w:cs="Calibri"/>
          <w:b/>
          <w:color w:val="000000"/>
          <w:sz w:val="22"/>
          <w:szCs w:val="22"/>
        </w:rPr>
      </w:pPr>
    </w:p>
    <w:p w:rsidR="00471B61" w:rsidRPr="000E0CEB" w:rsidRDefault="00471B61">
      <w:pPr>
        <w:pStyle w:val="Default"/>
        <w:jc w:val="both"/>
        <w:rPr>
          <w:rFonts w:asciiTheme="minorHAnsi" w:eastAsia="Calibri" w:hAnsiTheme="minorHAnsi" w:cs="Calibri"/>
          <w:b/>
          <w:color w:val="000000"/>
          <w:sz w:val="22"/>
          <w:szCs w:val="22"/>
        </w:rPr>
      </w:pPr>
    </w:p>
    <w:p w:rsidR="00471B61" w:rsidRPr="000E0CEB" w:rsidRDefault="00477DF1">
      <w:pPr>
        <w:pStyle w:val="Default"/>
        <w:jc w:val="both"/>
        <w:rPr>
          <w:rFonts w:asciiTheme="minorHAnsi" w:eastAsia="Calibri" w:hAnsiTheme="minorHAnsi" w:cs="Calibri"/>
          <w:b/>
          <w:color w:val="000000"/>
          <w:sz w:val="22"/>
          <w:szCs w:val="22"/>
        </w:rPr>
      </w:pPr>
      <w:r w:rsidRPr="000E0CEB">
        <w:rPr>
          <w:rFonts w:asciiTheme="minorHAnsi" w:hAnsiTheme="minorHAnsi" w:cs="Arial"/>
          <w:b/>
          <w:sz w:val="22"/>
          <w:szCs w:val="22"/>
        </w:rPr>
        <w:t xml:space="preserve">10.2.G. </w:t>
      </w:r>
      <w:r w:rsidRPr="000E0CEB">
        <w:rPr>
          <w:rFonts w:asciiTheme="minorHAnsi" w:eastAsia="Calibri" w:hAnsiTheme="minorHAnsi" w:cs="Calibri"/>
          <w:b/>
          <w:color w:val="000000"/>
          <w:sz w:val="22"/>
          <w:szCs w:val="22"/>
        </w:rPr>
        <w:t xml:space="preserve">Szkolenie, doradztwo oraz inne formy podwyższania kwalifikacji dla nauczycieli i pracowników pedagogicznych pod kątem kompetencji kluczowych uczniów niezbędnych do poruszania się po rynku </w:t>
      </w:r>
      <w:r w:rsidRPr="000E0CEB">
        <w:rPr>
          <w:rFonts w:asciiTheme="minorHAnsi" w:eastAsia="Calibri" w:hAnsiTheme="minorHAnsi" w:cs="Calibri"/>
          <w:b/>
          <w:color w:val="000000"/>
          <w:sz w:val="22"/>
          <w:szCs w:val="22"/>
        </w:rPr>
        <w:lastRenderedPageBreak/>
        <w:t xml:space="preserve">pracy (TIK, matematyczno-przyrodniczych, języki obce), nauczania eksperymentalnego, właściwych postaw uczniów (m.in. kreatywności, innowacyjności, pracy zespołowej) oraz metod zindywidualizowanego podejścia do ucznia, m.in.: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a) kursy i szkolenia doskonalące (w tym z wykorzystaniem pracy trenerów przeszkolonych w ramach PO WER),studia podyplomowe;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b) wspieranie istniejących, budowanie nowych i moderowanie sieci współpracy i samokształcenia nauczycieli;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c) realizacja w szkole lub placówce systemu oświaty programów wspomagania;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d) staże i praktyki nauczycieli realizowane we współpracy z podmiotami z otoczenia szkoły lub placówki systemu oświaty;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e) wykorzystanie narzędzi, metod lub form pracy wypracowanych w ramach projektów, w tym pozytywnie zwalidowanych produktów projektów innowacyjnych, zrealizowanych w latach 2007-2013 w ramach PO KL;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 f) podnoszenie kompetencji cyfrowych nauczycieli wszystkich przedmiotów, w tym w zakresie korzystania narzędzi TIK zakupionych do szkół lub placówek systemu oświaty oraz włączania narzędzi TIK do nauczania przedmiotowego. </w:t>
      </w:r>
    </w:p>
    <w:p w:rsidR="00471B61" w:rsidRPr="000E0CEB" w:rsidRDefault="00477DF1">
      <w:pPr>
        <w:spacing w:before="0" w:line="240" w:lineRule="auto"/>
        <w:jc w:val="both"/>
        <w:rPr>
          <w:rFonts w:asciiTheme="minorHAnsi" w:eastAsia="Calibri" w:hAnsiTheme="minorHAnsi" w:cs="Calibri"/>
          <w:color w:val="000000"/>
          <w:szCs w:val="22"/>
        </w:rPr>
      </w:pPr>
      <w:r w:rsidRPr="000E0CEB">
        <w:rPr>
          <w:rFonts w:asciiTheme="minorHAnsi" w:eastAsia="Calibri" w:hAnsiTheme="minorHAnsi" w:cs="Calibri"/>
          <w:color w:val="000000"/>
          <w:szCs w:val="22"/>
        </w:rPr>
        <w:t xml:space="preserve">g) doskonalenie umiejętności i kompetencji zawodowych nauczycieli, w tym nauczycieli przedmiotów przyrodniczych lub matematyki, niezbędnych do prowadzenia procesu nauczania opartego na metodzie eksperymentu; </w:t>
      </w: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eastAsia="Calibri" w:hAnsiTheme="minorHAnsi" w:cs="Calibri"/>
          <w:color w:val="000000"/>
          <w:sz w:val="22"/>
          <w:szCs w:val="22"/>
        </w:rPr>
        <w:t xml:space="preserve">h)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 </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Podnoszenie kompetencji nauczycieli w zakresie programowania obejmuje m.in.:</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szkolenia lub inne formy podnoszenia kompetencji nauczycieli w zakresie programowania;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rozwój albo budowanie i moderowanie sieci współpracy i samokształcenia nauczycieli;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opracowanie scenariuszy zajęć nauki programowania, które będą realizowane w pracy z uczniami lub słuchaczami;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d) warsztaty metodyczne</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oraz są realizowane według jednego z poniższych schematów:</w:t>
      </w:r>
    </w:p>
    <w:p w:rsidR="00471B61" w:rsidRPr="000E0CEB" w:rsidRDefault="00471B61">
      <w:pPr>
        <w:spacing w:before="0" w:line="240" w:lineRule="auto"/>
        <w:jc w:val="both"/>
        <w:rPr>
          <w:rFonts w:asciiTheme="minorHAnsi" w:eastAsia="Calibri" w:hAnsiTheme="minorHAnsi" w:cs="Arial"/>
          <w:color w:val="000000"/>
          <w:szCs w:val="22"/>
        </w:rPr>
      </w:pP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a) szkolenia lub inne formy podnoszenia kompetencji nauczycieli prowadzone przez trenerów przygotowanych w ramach PO WER do realizacji programów szkoleniowych dla nauczycieli;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b) studia podyplomowe; </w:t>
      </w:r>
    </w:p>
    <w:p w:rsidR="00471B61" w:rsidRPr="000E0CEB" w:rsidRDefault="00477DF1">
      <w:pPr>
        <w:spacing w:before="0" w:after="142"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c) szkolenia lub inne formy podnoszenia kompetencji nauczycieli prowadzone przez ekspertów z dziedziny programowania; </w:t>
      </w:r>
    </w:p>
    <w:p w:rsidR="00471B61" w:rsidRPr="000E0CEB" w:rsidRDefault="00477DF1">
      <w:pPr>
        <w:spacing w:before="0" w:line="240" w:lineRule="auto"/>
        <w:jc w:val="both"/>
        <w:rPr>
          <w:rFonts w:asciiTheme="minorHAnsi" w:eastAsia="Calibri" w:hAnsiTheme="minorHAnsi" w:cs="Arial"/>
          <w:color w:val="000000"/>
          <w:szCs w:val="22"/>
        </w:rPr>
      </w:pPr>
      <w:r w:rsidRPr="000E0CEB">
        <w:rPr>
          <w:rFonts w:asciiTheme="minorHAnsi" w:eastAsia="Calibri" w:hAnsiTheme="minorHAnsi" w:cs="Arial"/>
          <w:color w:val="000000"/>
          <w:szCs w:val="22"/>
        </w:rPr>
        <w:t xml:space="preserve">d) szkolenia z wykorzystaniem wiedzy i umiejętności nauczycieli szkół lub placówek systemu oświaty, które uczestniczyły w podobnych przedsięwzięciach. </w:t>
      </w:r>
    </w:p>
    <w:p w:rsidR="00471B61" w:rsidRPr="000E0CEB" w:rsidRDefault="00471B61">
      <w:pPr>
        <w:pStyle w:val="Default"/>
        <w:jc w:val="both"/>
        <w:rPr>
          <w:rFonts w:asciiTheme="minorHAnsi" w:eastAsia="Calibri" w:hAnsiTheme="minorHAnsi" w:cs="Calibri"/>
          <w:color w:val="000000"/>
          <w:sz w:val="22"/>
          <w:szCs w:val="22"/>
        </w:rPr>
      </w:pPr>
    </w:p>
    <w:p w:rsidR="00471B61" w:rsidRPr="000E0CEB" w:rsidRDefault="00477DF1">
      <w:pPr>
        <w:spacing w:before="0" w:line="240" w:lineRule="auto"/>
        <w:jc w:val="both"/>
        <w:rPr>
          <w:rFonts w:asciiTheme="minorHAnsi" w:eastAsia="Calibri" w:hAnsiTheme="minorHAnsi" w:cs="Calibri"/>
          <w:b/>
          <w:color w:val="000000"/>
          <w:szCs w:val="22"/>
        </w:rPr>
      </w:pPr>
      <w:r w:rsidRPr="000E0CEB">
        <w:rPr>
          <w:rFonts w:asciiTheme="minorHAnsi" w:eastAsia="Calibri" w:hAnsiTheme="minorHAnsi" w:cs="Calibri"/>
          <w:b/>
          <w:bCs/>
          <w:color w:val="000000"/>
          <w:szCs w:val="22"/>
        </w:rPr>
        <w:t xml:space="preserve">10.2.H. </w:t>
      </w:r>
      <w:r w:rsidRPr="000E0CEB">
        <w:rPr>
          <w:rFonts w:asciiTheme="minorHAnsi" w:eastAsia="Calibri" w:hAnsiTheme="minorHAnsi" w:cs="Calibri"/>
          <w:b/>
          <w:color w:val="000000"/>
          <w:szCs w:val="22"/>
        </w:rPr>
        <w:t xml:space="preserve">Szkolenie, doradztwo oraz inne formy podwyższania kwalifikacji dla nauczycieli i pracowników pedagogicznych pod kątem wykorzystania narzędzi wspierających pomoc psychologiczno- pedagogiczną na każdym etapie edukacyjnym, ze szczególnym uwzględnieniem problematyki ucznia o szczególnych potrzebach edukacyjnych (m.in. uczniów z niepełnosprawnościami, uczniów uzdolnionych, zagrożonych przedwczesnym kończeniem nauki). </w:t>
      </w:r>
    </w:p>
    <w:p w:rsidR="00471B61" w:rsidRPr="000E0CEB" w:rsidRDefault="00471B61">
      <w:pPr>
        <w:spacing w:before="0" w:line="240" w:lineRule="auto"/>
        <w:jc w:val="both"/>
        <w:rPr>
          <w:rFonts w:asciiTheme="minorHAnsi" w:eastAsia="Calibri" w:hAnsiTheme="minorHAnsi" w:cs="Calibri"/>
          <w:color w:val="000000"/>
          <w:szCs w:val="22"/>
        </w:rPr>
      </w:pPr>
    </w:p>
    <w:p w:rsidR="00471B61" w:rsidRPr="000E0CEB" w:rsidRDefault="00477DF1">
      <w:pPr>
        <w:pStyle w:val="Default"/>
        <w:jc w:val="both"/>
        <w:rPr>
          <w:rFonts w:asciiTheme="minorHAnsi" w:eastAsia="Calibri" w:hAnsiTheme="minorHAnsi" w:cs="Calibri"/>
          <w:color w:val="000000"/>
          <w:sz w:val="22"/>
          <w:szCs w:val="22"/>
        </w:rPr>
      </w:pPr>
      <w:r w:rsidRPr="000E0CEB">
        <w:rPr>
          <w:rFonts w:asciiTheme="minorHAnsi" w:hAnsiTheme="minorHAnsi" w:cs="Calibri"/>
          <w:sz w:val="22"/>
          <w:szCs w:val="22"/>
        </w:rPr>
        <w:t xml:space="preserve">Projekty składane w odpowiedzi na konkurs powinny przyczyniać się do realizacji celów RPO WD, w szczególności muszą wpisywać się w realizację celu szczegółowego Poddziałania 10.2.3 </w:t>
      </w:r>
      <w:r w:rsidRPr="000E0CEB">
        <w:rPr>
          <w:rFonts w:asciiTheme="minorHAnsi" w:hAnsiTheme="minorHAnsi" w:cs="Arial"/>
          <w:sz w:val="22"/>
          <w:szCs w:val="22"/>
        </w:rPr>
        <w:t>„</w:t>
      </w:r>
      <w:r w:rsidRPr="000E0CEB">
        <w:rPr>
          <w:rFonts w:asciiTheme="minorHAnsi" w:eastAsia="Calibri" w:hAnsiTheme="minorHAnsi" w:cs="Calibri"/>
          <w:color w:val="000000"/>
          <w:sz w:val="22"/>
          <w:szCs w:val="22"/>
        </w:rPr>
        <w:t xml:space="preserve">Podniesienie u </w:t>
      </w:r>
      <w:r w:rsidRPr="000E0CEB">
        <w:rPr>
          <w:rFonts w:asciiTheme="minorHAnsi" w:eastAsia="Calibri" w:hAnsiTheme="minorHAnsi" w:cs="Calibri"/>
          <w:color w:val="000000"/>
          <w:sz w:val="22"/>
          <w:szCs w:val="22"/>
        </w:rPr>
        <w:lastRenderedPageBreak/>
        <w:t xml:space="preserve">uczniów kompetencji kluczowych oraz właściwych postaw i umiejętności niezbędnych na rynku pracy, oraz rozwijanie indywidualnego podejścia do ucznia, szczególnie ze specjalnymi potrzebami edukacyjnymi”. </w:t>
      </w:r>
    </w:p>
    <w:p w:rsidR="00471B61" w:rsidRPr="000E0CEB" w:rsidRDefault="00471B61">
      <w:pPr>
        <w:spacing w:before="0" w:line="240" w:lineRule="auto"/>
        <w:jc w:val="both"/>
        <w:rPr>
          <w:rFonts w:asciiTheme="minorHAnsi" w:eastAsia="Calibri" w:hAnsiTheme="minorHAnsi" w:cs="Arial"/>
          <w:szCs w:val="22"/>
          <w:lang w:eastAsia="en-US"/>
        </w:rPr>
      </w:pP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Wsparcie udzielane w ramach RPO na rzecz </w:t>
      </w:r>
      <w:r w:rsidRPr="000E0CEB">
        <w:rPr>
          <w:rFonts w:asciiTheme="minorHAnsi" w:eastAsia="Calibri" w:hAnsiTheme="minorHAnsi" w:cs="Calibri"/>
          <w:szCs w:val="22"/>
        </w:rPr>
        <w:t>edukacji podstawowej, gimnazjalnej i ponadgimnazjalnej</w:t>
      </w:r>
      <w:r w:rsidRPr="000E0CEB">
        <w:rPr>
          <w:rFonts w:asciiTheme="minorHAnsi" w:eastAsia="Calibri" w:hAnsiTheme="minorHAnsi" w:cs="Arial"/>
          <w:szCs w:val="22"/>
          <w:lang w:eastAsia="en-US"/>
        </w:rPr>
        <w:t xml:space="preserve"> </w:t>
      </w:r>
      <w:r w:rsidRPr="000E0CEB">
        <w:rPr>
          <w:rFonts w:asciiTheme="minorHAnsi" w:eastAsia="Calibri" w:hAnsiTheme="minorHAnsi" w:cs="Calibri"/>
          <w:szCs w:val="22"/>
        </w:rPr>
        <w:t xml:space="preserve">poprzez realizację działań edukacyjnych skierowanych do uczniów </w:t>
      </w:r>
      <w:r w:rsidRPr="000E0CEB">
        <w:rPr>
          <w:rFonts w:asciiTheme="minorHAnsi" w:eastAsia="Calibri" w:hAnsiTheme="minorHAnsi" w:cs="Arial"/>
          <w:szCs w:val="22"/>
          <w:lang w:eastAsia="en-US"/>
        </w:rPr>
        <w:t>powinno powodować:</w:t>
      </w:r>
    </w:p>
    <w:p w:rsidR="00B63284" w:rsidRPr="000E0CEB" w:rsidRDefault="00477DF1">
      <w:pPr>
        <w:pStyle w:val="Akapitzlist"/>
        <w:numPr>
          <w:ilvl w:val="0"/>
          <w:numId w:val="58"/>
        </w:numPr>
        <w:spacing w:before="0" w:line="240" w:lineRule="auto"/>
        <w:ind w:left="284" w:hanging="284"/>
        <w:jc w:val="both"/>
        <w:rPr>
          <w:rFonts w:asciiTheme="minorHAnsi" w:eastAsia="Calibri" w:hAnsiTheme="minorHAnsi" w:cs="Calibri"/>
          <w:sz w:val="22"/>
          <w:szCs w:val="22"/>
        </w:rPr>
      </w:pPr>
      <w:r w:rsidRPr="000E0CEB">
        <w:rPr>
          <w:rFonts w:asciiTheme="minorHAnsi" w:eastAsia="Calibri" w:hAnsiTheme="minorHAnsi" w:cs="Calibri"/>
          <w:sz w:val="22"/>
          <w:szCs w:val="22"/>
        </w:rPr>
        <w:t>realizację inicjatyw związanych z kształtowaniem kompetencji kluczowych na rynku pracy,</w:t>
      </w:r>
    </w:p>
    <w:p w:rsidR="00B63284" w:rsidRPr="000E0CEB" w:rsidRDefault="00477DF1">
      <w:pPr>
        <w:pStyle w:val="Akapitzlist"/>
        <w:numPr>
          <w:ilvl w:val="0"/>
          <w:numId w:val="58"/>
        </w:numPr>
        <w:spacing w:before="0" w:line="240" w:lineRule="auto"/>
        <w:ind w:left="284" w:hanging="284"/>
        <w:jc w:val="both"/>
        <w:rPr>
          <w:rFonts w:asciiTheme="minorHAnsi" w:eastAsia="Calibri" w:hAnsiTheme="minorHAnsi" w:cs="Calibri"/>
          <w:sz w:val="22"/>
          <w:szCs w:val="22"/>
        </w:rPr>
      </w:pPr>
      <w:r w:rsidRPr="000E0CEB">
        <w:rPr>
          <w:rFonts w:asciiTheme="minorHAnsi" w:eastAsia="Calibri" w:hAnsiTheme="minorHAnsi" w:cs="Calibri"/>
          <w:sz w:val="22"/>
          <w:szCs w:val="22"/>
        </w:rPr>
        <w:t xml:space="preserve"> wsparcie nauki języków obcych, nauk matematyczno‐przyrodniczych i ICT oraz właściwych postaw: kreatywności, innowacyjności, pracy zespołowej, </w:t>
      </w:r>
    </w:p>
    <w:p w:rsidR="00B63284" w:rsidRPr="000E0CEB" w:rsidRDefault="00477DF1">
      <w:pPr>
        <w:pStyle w:val="Akapitzlist"/>
        <w:numPr>
          <w:ilvl w:val="0"/>
          <w:numId w:val="58"/>
        </w:numPr>
        <w:spacing w:before="0" w:line="240" w:lineRule="auto"/>
        <w:ind w:left="284" w:hanging="284"/>
        <w:jc w:val="both"/>
        <w:rPr>
          <w:rFonts w:asciiTheme="minorHAnsi" w:eastAsia="Calibri" w:hAnsiTheme="minorHAnsi" w:cs="Calibri"/>
          <w:sz w:val="22"/>
          <w:szCs w:val="22"/>
        </w:rPr>
      </w:pPr>
      <w:r w:rsidRPr="000E0CEB">
        <w:rPr>
          <w:rFonts w:asciiTheme="minorHAnsi" w:eastAsia="Calibri" w:hAnsiTheme="minorHAnsi" w:cs="Calibri"/>
          <w:sz w:val="22"/>
          <w:szCs w:val="22"/>
        </w:rPr>
        <w:t>tworzenie w szkołach warunków do nauczania eksperymentalnego,</w:t>
      </w:r>
    </w:p>
    <w:p w:rsidR="00B63284" w:rsidRPr="000E0CEB" w:rsidRDefault="00477DF1">
      <w:pPr>
        <w:pStyle w:val="Akapitzlist"/>
        <w:numPr>
          <w:ilvl w:val="0"/>
          <w:numId w:val="58"/>
        </w:numPr>
        <w:spacing w:before="0" w:line="240" w:lineRule="auto"/>
        <w:ind w:left="284" w:hanging="284"/>
        <w:jc w:val="both"/>
        <w:rPr>
          <w:rFonts w:asciiTheme="minorHAnsi" w:hAnsiTheme="minorHAnsi" w:cs="Calibri"/>
          <w:sz w:val="22"/>
          <w:szCs w:val="22"/>
        </w:rPr>
      </w:pPr>
      <w:r w:rsidRPr="000E0CEB">
        <w:rPr>
          <w:rFonts w:asciiTheme="minorHAnsi" w:eastAsia="Calibri" w:hAnsiTheme="minorHAnsi" w:cs="Calibri"/>
          <w:sz w:val="22"/>
          <w:szCs w:val="22"/>
        </w:rPr>
        <w:t>zapewnienie lepszej opieki pedagogiczno psychologicznej oraz rozwoju doradztwa zawodowego dla młodzieży.</w:t>
      </w:r>
    </w:p>
    <w:p w:rsidR="00B63284" w:rsidRPr="000E0CEB" w:rsidRDefault="004D576A">
      <w:pPr>
        <w:pStyle w:val="Nagwek2"/>
      </w:pPr>
      <w:bookmarkStart w:id="26" w:name="_Toc430826819"/>
      <w:bookmarkStart w:id="27" w:name="_Toc438125941"/>
      <w:bookmarkStart w:id="28" w:name="_Toc441241678"/>
      <w:r w:rsidRPr="000E0CEB">
        <w:t>5. Kwota środków przeznaczona na dofinansowanie projektów</w:t>
      </w:r>
      <w:bookmarkEnd w:id="26"/>
      <w:r w:rsidRPr="000E0CEB">
        <w:t xml:space="preserve"> w ramach konkursu</w:t>
      </w:r>
      <w:bookmarkEnd w:id="27"/>
      <w:bookmarkEnd w:id="28"/>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Ogółem kwota dofinansowania przeznaczona na konkurs  dla ZIT AJ wynosi: </w:t>
      </w:r>
      <w:r w:rsidRPr="000E0CEB">
        <w:rPr>
          <w:rFonts w:asciiTheme="minorHAnsi" w:hAnsiTheme="minorHAnsi"/>
          <w:b/>
          <w:szCs w:val="22"/>
        </w:rPr>
        <w:t>6 472 557 PLN</w:t>
      </w:r>
      <w:r w:rsidRPr="000E0CEB">
        <w:rPr>
          <w:rStyle w:val="Odwoanieprzypisudolnego"/>
          <w:rFonts w:asciiTheme="minorHAnsi" w:hAnsiTheme="minorHAnsi"/>
          <w:b/>
          <w:szCs w:val="22"/>
        </w:rPr>
        <w:footnoteReference w:id="2"/>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w tym budżet środków europejskich: 5 791 235 PLN</w:t>
      </w:r>
    </w:p>
    <w:p w:rsidR="00471B61" w:rsidRPr="000E0CEB" w:rsidRDefault="00477DF1">
      <w:pPr>
        <w:jc w:val="both"/>
        <w:rPr>
          <w:rFonts w:asciiTheme="minorHAnsi" w:hAnsiTheme="minorHAnsi" w:cs="Arial"/>
          <w:color w:val="000000"/>
          <w:szCs w:val="22"/>
        </w:rPr>
      </w:pPr>
      <w:r w:rsidRPr="000E0CEB">
        <w:rPr>
          <w:rFonts w:asciiTheme="minorHAnsi" w:hAnsiTheme="minorHAnsi"/>
          <w:szCs w:val="22"/>
        </w:rPr>
        <w:t xml:space="preserve">- w tym budżet państwa: </w:t>
      </w:r>
      <w:r w:rsidRPr="000E0CEB">
        <w:rPr>
          <w:rFonts w:asciiTheme="minorHAnsi" w:hAnsiTheme="minorHAnsi" w:cs="Arial"/>
          <w:color w:val="000000"/>
          <w:szCs w:val="22"/>
        </w:rPr>
        <w:t>681 322 PLN.</w:t>
      </w:r>
    </w:p>
    <w:p w:rsidR="00471B61" w:rsidRPr="000E0CEB" w:rsidRDefault="00471B61">
      <w:pPr>
        <w:spacing w:before="0" w:line="240" w:lineRule="auto"/>
        <w:jc w:val="both"/>
        <w:rPr>
          <w:rFonts w:asciiTheme="minorHAnsi" w:hAnsiTheme="minorHAnsi"/>
          <w:color w:val="000000"/>
          <w:szCs w:val="22"/>
        </w:rPr>
      </w:pPr>
    </w:p>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b/>
          <w:szCs w:val="22"/>
        </w:rPr>
        <w:t>Minimalny udział wkładu własnego Beneficjenta w ramach konkursu wynosi  5% wydatków kwalifikowalnych projektu.</w:t>
      </w:r>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Powyższa kwota może zostać zwiększona między innymi w celu </w:t>
      </w:r>
      <w:r w:rsidRPr="000E0CEB">
        <w:rPr>
          <w:rFonts w:asciiTheme="minorHAnsi" w:eastAsia="Calibri" w:hAnsiTheme="minorHAnsi"/>
          <w:szCs w:val="22"/>
        </w:rPr>
        <w:t>dofinansowania projektów wyłonionych w procedurze odwoławczej.</w:t>
      </w:r>
      <w:r w:rsidRPr="000E0CEB">
        <w:rPr>
          <w:rFonts w:asciiTheme="minorHAnsi" w:eastAsia="Calibri" w:hAnsiTheme="minorHAnsi" w:cs="Arial"/>
          <w:szCs w:val="22"/>
          <w:lang w:eastAsia="en-US"/>
        </w:rPr>
        <w:t xml:space="preserve"> </w:t>
      </w:r>
    </w:p>
    <w:p w:rsidR="00B63284" w:rsidRPr="000E0CEB" w:rsidRDefault="004D576A">
      <w:pPr>
        <w:pStyle w:val="Nagwek2"/>
      </w:pPr>
      <w:bookmarkStart w:id="29" w:name="_Toc438125942"/>
      <w:bookmarkStart w:id="30" w:name="_Toc441241679"/>
      <w:r w:rsidRPr="000E0CEB">
        <w:t>6.</w:t>
      </w:r>
      <w:r w:rsidR="00B06A11" w:rsidRPr="000E0CEB">
        <w:t xml:space="preserve"> </w:t>
      </w:r>
      <w:r w:rsidRPr="000E0CEB">
        <w:t>Realizacja zasad horyzontalnych</w:t>
      </w:r>
      <w:bookmarkEnd w:id="29"/>
      <w:bookmarkEnd w:id="30"/>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Calibri"/>
          <w:color w:val="000000"/>
          <w:szCs w:val="22"/>
          <w:lang w:eastAsia="en-US"/>
        </w:rPr>
        <w:t xml:space="preserve">Zasada </w:t>
      </w:r>
      <w:r w:rsidRPr="000E0CEB">
        <w:rPr>
          <w:rFonts w:asciiTheme="minorHAnsi" w:eastAsia="Calibri" w:hAnsiTheme="minorHAnsi" w:cs="Calibri"/>
          <w:bCs/>
          <w:color w:val="000000"/>
          <w:szCs w:val="22"/>
          <w:lang w:eastAsia="en-US"/>
        </w:rPr>
        <w:t xml:space="preserve">zrównoważonego rozwoju </w:t>
      </w:r>
      <w:r w:rsidRPr="000E0CEB">
        <w:rPr>
          <w:rFonts w:asciiTheme="minorHAnsi" w:eastAsia="Calibri" w:hAnsiTheme="minorHAnsi" w:cs="Calibri"/>
          <w:color w:val="000000"/>
          <w:szCs w:val="22"/>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28019E" w:rsidRPr="000E0CEB" w:rsidRDefault="00477DF1" w:rsidP="0028019E">
      <w:pPr>
        <w:spacing w:before="120" w:after="120" w:line="240" w:lineRule="auto"/>
        <w:jc w:val="both"/>
        <w:rPr>
          <w:rFonts w:asciiTheme="minorHAnsi" w:eastAsia="Calibri" w:hAnsiTheme="minorHAnsi" w:cs="Helvetica"/>
          <w:szCs w:val="22"/>
          <w:lang w:eastAsia="en-US"/>
        </w:rPr>
      </w:pPr>
      <w:r w:rsidRPr="000E0CEB">
        <w:rPr>
          <w:rFonts w:asciiTheme="minorHAnsi" w:eastAsia="Calibri" w:hAnsiTheme="minorHAnsi" w:cs="Helvetica"/>
          <w:szCs w:val="22"/>
          <w:lang w:eastAsia="en-US"/>
        </w:rPr>
        <w:t>Zasada równo</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ci szans i niedyskryminacji polega na umo</w:t>
      </w:r>
      <w:r w:rsidRPr="000E0CEB">
        <w:rPr>
          <w:rFonts w:asciiTheme="minorHAnsi" w:eastAsia="Calibri" w:hAnsiTheme="minorHAnsi" w:cs="Arial"/>
          <w:szCs w:val="22"/>
          <w:lang w:eastAsia="en-US"/>
        </w:rPr>
        <w:t>ż</w:t>
      </w:r>
      <w:r w:rsidRPr="000E0CEB">
        <w:rPr>
          <w:rFonts w:asciiTheme="minorHAnsi" w:eastAsia="Calibri" w:hAnsiTheme="minorHAnsi" w:cs="Helvetica"/>
          <w:szCs w:val="22"/>
          <w:lang w:eastAsia="en-US"/>
        </w:rPr>
        <w:t>liwieniu wszystkim osobom – bez wzgl</w:t>
      </w:r>
      <w:r w:rsidRPr="000E0CEB">
        <w:rPr>
          <w:rFonts w:asciiTheme="minorHAnsi" w:eastAsia="Calibri" w:hAnsiTheme="minorHAnsi" w:cs="Arial"/>
          <w:szCs w:val="22"/>
          <w:lang w:eastAsia="en-US"/>
        </w:rPr>
        <w:t>ę</w:t>
      </w:r>
      <w:r w:rsidRPr="000E0CEB">
        <w:rPr>
          <w:rFonts w:asciiTheme="minorHAnsi" w:eastAsia="Calibri" w:hAnsiTheme="minorHAnsi" w:cs="Helvetica"/>
          <w:szCs w:val="22"/>
          <w:lang w:eastAsia="en-US"/>
        </w:rPr>
        <w:t>du na płe</w:t>
      </w:r>
      <w:r w:rsidRPr="000E0CEB">
        <w:rPr>
          <w:rFonts w:asciiTheme="minorHAnsi" w:eastAsia="Calibri" w:hAnsiTheme="minorHAnsi" w:cs="Arial"/>
          <w:szCs w:val="22"/>
          <w:lang w:eastAsia="en-US"/>
        </w:rPr>
        <w:t>ć</w:t>
      </w:r>
      <w:r w:rsidRPr="000E0CEB">
        <w:rPr>
          <w:rFonts w:asciiTheme="minorHAnsi" w:eastAsia="Calibri" w:hAnsiTheme="minorHAnsi" w:cs="Helvetica"/>
          <w:szCs w:val="22"/>
          <w:lang w:eastAsia="en-US"/>
        </w:rPr>
        <w:t>, wiek, niepełnosprawno</w:t>
      </w:r>
      <w:r w:rsidRPr="000E0CEB">
        <w:rPr>
          <w:rFonts w:asciiTheme="minorHAnsi" w:eastAsia="Calibri" w:hAnsiTheme="minorHAnsi" w:cs="Arial"/>
          <w:szCs w:val="22"/>
          <w:lang w:eastAsia="en-US"/>
        </w:rPr>
        <w:t>ść</w:t>
      </w:r>
      <w:r w:rsidRPr="000E0CEB">
        <w:rPr>
          <w:rFonts w:asciiTheme="minorHAnsi" w:eastAsia="Calibri" w:hAnsiTheme="minorHAnsi" w:cs="Helvetica"/>
          <w:szCs w:val="22"/>
          <w:lang w:eastAsia="en-US"/>
        </w:rPr>
        <w:t>, ras</w:t>
      </w:r>
      <w:r w:rsidRPr="000E0CEB">
        <w:rPr>
          <w:rFonts w:asciiTheme="minorHAnsi" w:eastAsia="Calibri" w:hAnsiTheme="minorHAnsi" w:cs="Arial"/>
          <w:szCs w:val="22"/>
          <w:lang w:eastAsia="en-US"/>
        </w:rPr>
        <w:t xml:space="preserve">ę </w:t>
      </w:r>
      <w:r w:rsidRPr="000E0CEB">
        <w:rPr>
          <w:rFonts w:asciiTheme="minorHAnsi" w:eastAsia="Calibri" w:hAnsiTheme="minorHAnsi" w:cs="Helvetica"/>
          <w:szCs w:val="22"/>
          <w:lang w:eastAsia="en-US"/>
        </w:rPr>
        <w:t>lub pochodzenie etniczne, wyznawan</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religi</w:t>
      </w:r>
      <w:r w:rsidRPr="000E0CEB">
        <w:rPr>
          <w:rFonts w:asciiTheme="minorHAnsi" w:eastAsia="Calibri" w:hAnsiTheme="minorHAnsi" w:cs="Arial"/>
          <w:szCs w:val="22"/>
          <w:lang w:eastAsia="en-US"/>
        </w:rPr>
        <w:t xml:space="preserve">ę </w:t>
      </w:r>
      <w:r w:rsidRPr="000E0CEB">
        <w:rPr>
          <w:rFonts w:asciiTheme="minorHAnsi" w:eastAsia="Calibri" w:hAnsiTheme="minorHAnsi" w:cs="Helvetica"/>
          <w:szCs w:val="22"/>
          <w:lang w:eastAsia="en-US"/>
        </w:rPr>
        <w:t xml:space="preserve">lub </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wiatopogl</w:t>
      </w:r>
      <w:r w:rsidRPr="000E0CEB">
        <w:rPr>
          <w:rFonts w:asciiTheme="minorHAnsi" w:eastAsia="Calibri" w:hAnsiTheme="minorHAnsi" w:cs="Arial"/>
          <w:szCs w:val="22"/>
          <w:lang w:eastAsia="en-US"/>
        </w:rPr>
        <w:t>ą</w:t>
      </w:r>
      <w:r w:rsidRPr="000E0CEB">
        <w:rPr>
          <w:rFonts w:asciiTheme="minorHAnsi" w:eastAsia="Calibri" w:hAnsiTheme="minorHAnsi" w:cs="Helvetica"/>
          <w:szCs w:val="22"/>
          <w:lang w:eastAsia="en-US"/>
        </w:rPr>
        <w:t>d, orientacj</w:t>
      </w:r>
      <w:r w:rsidRPr="000E0CEB">
        <w:rPr>
          <w:rFonts w:asciiTheme="minorHAnsi" w:eastAsia="Calibri" w:hAnsiTheme="minorHAnsi" w:cs="Arial"/>
          <w:szCs w:val="22"/>
          <w:lang w:eastAsia="en-US"/>
        </w:rPr>
        <w:t xml:space="preserve">ę </w:t>
      </w:r>
      <w:r w:rsidRPr="000E0CEB">
        <w:rPr>
          <w:rFonts w:asciiTheme="minorHAnsi" w:eastAsia="Calibri" w:hAnsiTheme="minorHAnsi" w:cs="Helvetica"/>
          <w:szCs w:val="22"/>
          <w:lang w:eastAsia="en-US"/>
        </w:rPr>
        <w:t>seksualn</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 xml:space="preserve">– sprawiedliwego, pełnego uczestnictwa we wszystkich dziedzinach </w:t>
      </w:r>
      <w:r w:rsidRPr="000E0CEB">
        <w:rPr>
          <w:rFonts w:asciiTheme="minorHAnsi" w:eastAsia="Calibri" w:hAnsiTheme="minorHAnsi" w:cs="Arial"/>
          <w:szCs w:val="22"/>
          <w:lang w:eastAsia="en-US"/>
        </w:rPr>
        <w:t>ż</w:t>
      </w:r>
      <w:r w:rsidRPr="000E0CEB">
        <w:rPr>
          <w:rFonts w:asciiTheme="minorHAnsi" w:eastAsia="Calibri" w:hAnsiTheme="minorHAnsi" w:cs="Helvetica"/>
          <w:szCs w:val="22"/>
          <w:lang w:eastAsia="en-US"/>
        </w:rPr>
        <w:t>ycia na jednakowych zasadach.</w:t>
      </w:r>
    </w:p>
    <w:p w:rsidR="0028019E" w:rsidRPr="000E0CEB" w:rsidRDefault="00477DF1" w:rsidP="0028019E">
      <w:pPr>
        <w:spacing w:before="120" w:after="120" w:line="240" w:lineRule="auto"/>
        <w:jc w:val="both"/>
        <w:rPr>
          <w:rFonts w:asciiTheme="minorHAnsi" w:hAnsiTheme="minorHAnsi"/>
          <w:szCs w:val="22"/>
        </w:rPr>
      </w:pPr>
      <w:r w:rsidRPr="000E0CEB">
        <w:rPr>
          <w:rFonts w:asciiTheme="minorHAnsi" w:hAnsiTheme="minorHAnsi"/>
          <w:szCs w:val="22"/>
        </w:rPr>
        <w:t>Wnioskodawca zobowiązany jest przedstawić we wniosku o dofinansowanie projektu sposób realizacji zasady równości szans i niedyskryminacji, w tym dostępności dla osób z niepełnosprawnościami w ramach projektu. Projekt musi być co najmniej neutralny.</w:t>
      </w:r>
    </w:p>
    <w:p w:rsidR="00471B61" w:rsidRPr="000E0CEB" w:rsidRDefault="00477DF1" w:rsidP="0028019E">
      <w:pPr>
        <w:spacing w:before="120" w:after="120" w:line="240" w:lineRule="auto"/>
        <w:jc w:val="both"/>
        <w:rPr>
          <w:rFonts w:asciiTheme="minorHAnsi" w:eastAsia="Calibri" w:hAnsiTheme="minorHAnsi" w:cs="Helvetica"/>
          <w:szCs w:val="22"/>
          <w:lang w:eastAsia="en-US"/>
        </w:rPr>
      </w:pPr>
      <w:r w:rsidRPr="000E0CEB">
        <w:rPr>
          <w:rFonts w:asciiTheme="minorHAnsi" w:eastAsia="Calibri" w:hAnsiTheme="minorHAnsi" w:cs="Helvetica"/>
          <w:szCs w:val="22"/>
          <w:lang w:eastAsia="en-US"/>
        </w:rPr>
        <w:t>Zasada równo</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ci szans kobiet i m</w:t>
      </w:r>
      <w:r w:rsidRPr="000E0CEB">
        <w:rPr>
          <w:rFonts w:asciiTheme="minorHAnsi" w:eastAsia="Calibri" w:hAnsiTheme="minorHAnsi" w:cs="Arial"/>
          <w:szCs w:val="22"/>
          <w:lang w:eastAsia="en-US"/>
        </w:rPr>
        <w:t>ęż</w:t>
      </w:r>
      <w:r w:rsidRPr="000E0CEB">
        <w:rPr>
          <w:rFonts w:asciiTheme="minorHAnsi" w:eastAsia="Calibri" w:hAnsiTheme="minorHAnsi" w:cs="Helvetica"/>
          <w:szCs w:val="22"/>
          <w:lang w:eastAsia="en-US"/>
        </w:rPr>
        <w:t>czyzn, to zasada, która ma prowadzi</w:t>
      </w:r>
      <w:r w:rsidRPr="000E0CEB">
        <w:rPr>
          <w:rFonts w:asciiTheme="minorHAnsi" w:eastAsia="Calibri" w:hAnsiTheme="minorHAnsi" w:cs="Arial"/>
          <w:szCs w:val="22"/>
          <w:lang w:eastAsia="en-US"/>
        </w:rPr>
        <w:t xml:space="preserve">ć </w:t>
      </w:r>
      <w:r w:rsidRPr="000E0CEB">
        <w:rPr>
          <w:rFonts w:asciiTheme="minorHAnsi" w:eastAsia="Calibri" w:hAnsiTheme="minorHAnsi" w:cs="Helvetica"/>
          <w:szCs w:val="22"/>
          <w:lang w:eastAsia="en-US"/>
        </w:rPr>
        <w:t>do podejmowania działa</w:t>
      </w:r>
      <w:r w:rsidRPr="000E0CEB">
        <w:rPr>
          <w:rFonts w:asciiTheme="minorHAnsi" w:eastAsia="Calibri" w:hAnsiTheme="minorHAnsi" w:cs="Arial"/>
          <w:szCs w:val="22"/>
          <w:lang w:eastAsia="en-US"/>
        </w:rPr>
        <w:t xml:space="preserve">ń </w:t>
      </w:r>
      <w:r w:rsidRPr="000E0CEB">
        <w:rPr>
          <w:rFonts w:asciiTheme="minorHAnsi" w:eastAsia="Calibri" w:hAnsiTheme="minorHAnsi" w:cs="Helvetica"/>
          <w:szCs w:val="22"/>
          <w:lang w:eastAsia="en-US"/>
        </w:rPr>
        <w:t>na rzecz osi</w:t>
      </w:r>
      <w:r w:rsidRPr="000E0CEB">
        <w:rPr>
          <w:rFonts w:asciiTheme="minorHAnsi" w:eastAsia="Calibri" w:hAnsiTheme="minorHAnsi" w:cs="Arial"/>
          <w:szCs w:val="22"/>
          <w:lang w:eastAsia="en-US"/>
        </w:rPr>
        <w:t>ą</w:t>
      </w:r>
      <w:r w:rsidRPr="000E0CEB">
        <w:rPr>
          <w:rFonts w:asciiTheme="minorHAnsi" w:eastAsia="Calibri" w:hAnsiTheme="minorHAnsi" w:cs="Helvetica"/>
          <w:szCs w:val="22"/>
          <w:lang w:eastAsia="en-US"/>
        </w:rPr>
        <w:t>gni</w:t>
      </w:r>
      <w:r w:rsidRPr="000E0CEB">
        <w:rPr>
          <w:rFonts w:asciiTheme="minorHAnsi" w:eastAsia="Calibri" w:hAnsiTheme="minorHAnsi" w:cs="Arial"/>
          <w:szCs w:val="22"/>
          <w:lang w:eastAsia="en-US"/>
        </w:rPr>
        <w:t>ę</w:t>
      </w:r>
      <w:r w:rsidRPr="000E0CEB">
        <w:rPr>
          <w:rFonts w:asciiTheme="minorHAnsi" w:eastAsia="Calibri" w:hAnsiTheme="minorHAnsi" w:cs="Helvetica"/>
          <w:szCs w:val="22"/>
          <w:lang w:eastAsia="en-US"/>
        </w:rPr>
        <w:t>cia stanu, w którym kobietom i m</w:t>
      </w:r>
      <w:r w:rsidRPr="000E0CEB">
        <w:rPr>
          <w:rFonts w:asciiTheme="minorHAnsi" w:eastAsia="Calibri" w:hAnsiTheme="minorHAnsi" w:cs="Arial"/>
          <w:szCs w:val="22"/>
          <w:lang w:eastAsia="en-US"/>
        </w:rPr>
        <w:t>ęż</w:t>
      </w:r>
      <w:r w:rsidRPr="000E0CEB">
        <w:rPr>
          <w:rFonts w:asciiTheme="minorHAnsi" w:eastAsia="Calibri" w:hAnsiTheme="minorHAnsi" w:cs="Helvetica"/>
          <w:szCs w:val="22"/>
          <w:lang w:eastAsia="en-US"/>
        </w:rPr>
        <w:t>czyznom przypisuje si</w:t>
      </w:r>
      <w:r w:rsidRPr="000E0CEB">
        <w:rPr>
          <w:rFonts w:asciiTheme="minorHAnsi" w:eastAsia="Calibri" w:hAnsiTheme="minorHAnsi" w:cs="Arial"/>
          <w:szCs w:val="22"/>
          <w:lang w:eastAsia="en-US"/>
        </w:rPr>
        <w:t xml:space="preserve">ę </w:t>
      </w:r>
      <w:r w:rsidRPr="000E0CEB">
        <w:rPr>
          <w:rFonts w:asciiTheme="minorHAnsi" w:eastAsia="Calibri" w:hAnsiTheme="minorHAnsi" w:cs="Helvetica"/>
          <w:szCs w:val="22"/>
          <w:lang w:eastAsia="en-US"/>
        </w:rPr>
        <w:t>tak</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sam</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warto</w:t>
      </w:r>
      <w:r w:rsidRPr="000E0CEB">
        <w:rPr>
          <w:rFonts w:asciiTheme="minorHAnsi" w:eastAsia="Calibri" w:hAnsiTheme="minorHAnsi" w:cs="Arial"/>
          <w:szCs w:val="22"/>
          <w:lang w:eastAsia="en-US"/>
        </w:rPr>
        <w:t>ść s</w:t>
      </w:r>
      <w:r w:rsidRPr="000E0CEB">
        <w:rPr>
          <w:rFonts w:asciiTheme="minorHAnsi" w:eastAsia="Calibri" w:hAnsiTheme="minorHAnsi" w:cs="Helvetica"/>
          <w:szCs w:val="22"/>
          <w:lang w:eastAsia="en-US"/>
        </w:rPr>
        <w:t>połeczn</w:t>
      </w:r>
      <w:r w:rsidRPr="000E0CEB">
        <w:rPr>
          <w:rFonts w:asciiTheme="minorHAnsi" w:eastAsia="Calibri" w:hAnsiTheme="minorHAnsi" w:cs="Arial"/>
          <w:szCs w:val="22"/>
          <w:lang w:eastAsia="en-US"/>
        </w:rPr>
        <w:t>ą</w:t>
      </w:r>
      <w:r w:rsidRPr="000E0CEB">
        <w:rPr>
          <w:rFonts w:asciiTheme="minorHAnsi" w:eastAsia="Calibri" w:hAnsiTheme="minorHAnsi" w:cs="Helvetica"/>
          <w:szCs w:val="22"/>
          <w:lang w:eastAsia="en-US"/>
        </w:rPr>
        <w:t>, równe prawa i równe obowi</w:t>
      </w:r>
      <w:r w:rsidRPr="000E0CEB">
        <w:rPr>
          <w:rFonts w:asciiTheme="minorHAnsi" w:eastAsia="Calibri" w:hAnsiTheme="minorHAnsi" w:cs="Arial"/>
          <w:szCs w:val="22"/>
          <w:lang w:eastAsia="en-US"/>
        </w:rPr>
        <w:t>ą</w:t>
      </w:r>
      <w:r w:rsidRPr="000E0CEB">
        <w:rPr>
          <w:rFonts w:asciiTheme="minorHAnsi" w:eastAsia="Calibri" w:hAnsiTheme="minorHAnsi" w:cs="Helvetica"/>
          <w:szCs w:val="22"/>
          <w:lang w:eastAsia="en-US"/>
        </w:rPr>
        <w:t>zki oraz gdy maj</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oni równy dost</w:t>
      </w:r>
      <w:r w:rsidRPr="000E0CEB">
        <w:rPr>
          <w:rFonts w:asciiTheme="minorHAnsi" w:eastAsia="Calibri" w:hAnsiTheme="minorHAnsi" w:cs="Arial"/>
          <w:szCs w:val="22"/>
          <w:lang w:eastAsia="en-US"/>
        </w:rPr>
        <w:t>ę</w:t>
      </w:r>
      <w:r w:rsidRPr="000E0CEB">
        <w:rPr>
          <w:rFonts w:asciiTheme="minorHAnsi" w:eastAsia="Calibri" w:hAnsiTheme="minorHAnsi" w:cs="Helvetica"/>
          <w:szCs w:val="22"/>
          <w:lang w:eastAsia="en-US"/>
        </w:rPr>
        <w:t>p do zasobów (</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rodki finansowe, szanse rozwoju), z których mog</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korzysta</w:t>
      </w:r>
      <w:r w:rsidRPr="000E0CEB">
        <w:rPr>
          <w:rFonts w:asciiTheme="minorHAnsi" w:eastAsia="Calibri" w:hAnsiTheme="minorHAnsi" w:cs="Arial"/>
          <w:szCs w:val="22"/>
          <w:lang w:eastAsia="en-US"/>
        </w:rPr>
        <w:t>ć</w:t>
      </w:r>
      <w:r w:rsidRPr="000E0CEB">
        <w:rPr>
          <w:rFonts w:asciiTheme="minorHAnsi" w:eastAsia="Calibri" w:hAnsiTheme="minorHAnsi" w:cs="Helvetica"/>
          <w:szCs w:val="22"/>
          <w:lang w:eastAsia="en-US"/>
        </w:rPr>
        <w:t>. Zasada ta ma gwarantowa</w:t>
      </w:r>
      <w:r w:rsidRPr="000E0CEB">
        <w:rPr>
          <w:rFonts w:asciiTheme="minorHAnsi" w:eastAsia="Calibri" w:hAnsiTheme="minorHAnsi" w:cs="Arial"/>
          <w:szCs w:val="22"/>
          <w:lang w:eastAsia="en-US"/>
        </w:rPr>
        <w:t xml:space="preserve">ć </w:t>
      </w:r>
      <w:r w:rsidRPr="000E0CEB">
        <w:rPr>
          <w:rFonts w:asciiTheme="minorHAnsi" w:eastAsia="Calibri" w:hAnsiTheme="minorHAnsi" w:cs="Helvetica"/>
          <w:szCs w:val="22"/>
          <w:lang w:eastAsia="en-US"/>
        </w:rPr>
        <w:t>mo</w:t>
      </w:r>
      <w:r w:rsidRPr="000E0CEB">
        <w:rPr>
          <w:rFonts w:asciiTheme="minorHAnsi" w:eastAsia="Calibri" w:hAnsiTheme="minorHAnsi" w:cs="Arial"/>
          <w:szCs w:val="22"/>
          <w:lang w:eastAsia="en-US"/>
        </w:rPr>
        <w:t>ż</w:t>
      </w:r>
      <w:r w:rsidRPr="000E0CEB">
        <w:rPr>
          <w:rFonts w:asciiTheme="minorHAnsi" w:eastAsia="Calibri" w:hAnsiTheme="minorHAnsi" w:cs="Helvetica"/>
          <w:szCs w:val="22"/>
          <w:lang w:eastAsia="en-US"/>
        </w:rPr>
        <w:t>liwo</w:t>
      </w:r>
      <w:r w:rsidRPr="000E0CEB">
        <w:rPr>
          <w:rFonts w:asciiTheme="minorHAnsi" w:eastAsia="Calibri" w:hAnsiTheme="minorHAnsi" w:cs="Arial"/>
          <w:szCs w:val="22"/>
          <w:lang w:eastAsia="en-US"/>
        </w:rPr>
        <w:t xml:space="preserve">ść </w:t>
      </w:r>
      <w:r w:rsidRPr="000E0CEB">
        <w:rPr>
          <w:rFonts w:asciiTheme="minorHAnsi" w:eastAsia="Calibri" w:hAnsiTheme="minorHAnsi" w:cs="Helvetica"/>
          <w:szCs w:val="22"/>
          <w:lang w:eastAsia="en-US"/>
        </w:rPr>
        <w:t xml:space="preserve">wyboru drogi </w:t>
      </w:r>
      <w:r w:rsidRPr="000E0CEB">
        <w:rPr>
          <w:rFonts w:asciiTheme="minorHAnsi" w:eastAsia="Calibri" w:hAnsiTheme="minorHAnsi" w:cs="Arial"/>
          <w:szCs w:val="22"/>
          <w:lang w:eastAsia="en-US"/>
        </w:rPr>
        <w:t>ż</w:t>
      </w:r>
      <w:r w:rsidRPr="000E0CEB">
        <w:rPr>
          <w:rFonts w:asciiTheme="minorHAnsi" w:eastAsia="Calibri" w:hAnsiTheme="minorHAnsi" w:cs="Helvetica"/>
          <w:szCs w:val="22"/>
          <w:lang w:eastAsia="en-US"/>
        </w:rPr>
        <w:t>yciowej bez ogranicze</w:t>
      </w:r>
      <w:r w:rsidRPr="000E0CEB">
        <w:rPr>
          <w:rFonts w:asciiTheme="minorHAnsi" w:eastAsia="Calibri" w:hAnsiTheme="minorHAnsi" w:cs="Arial"/>
          <w:szCs w:val="22"/>
          <w:lang w:eastAsia="en-US"/>
        </w:rPr>
        <w:t xml:space="preserve">ń </w:t>
      </w:r>
      <w:r w:rsidRPr="000E0CEB">
        <w:rPr>
          <w:rFonts w:asciiTheme="minorHAnsi" w:eastAsia="Calibri" w:hAnsiTheme="minorHAnsi" w:cs="Helvetica"/>
          <w:szCs w:val="22"/>
          <w:lang w:eastAsia="en-US"/>
        </w:rPr>
        <w:t>wynikaj</w:t>
      </w:r>
      <w:r w:rsidRPr="000E0CEB">
        <w:rPr>
          <w:rFonts w:asciiTheme="minorHAnsi" w:eastAsia="Calibri" w:hAnsiTheme="minorHAnsi" w:cs="Arial"/>
          <w:szCs w:val="22"/>
          <w:lang w:eastAsia="en-US"/>
        </w:rPr>
        <w:t>ą</w:t>
      </w:r>
      <w:r w:rsidRPr="000E0CEB">
        <w:rPr>
          <w:rFonts w:asciiTheme="minorHAnsi" w:eastAsia="Calibri" w:hAnsiTheme="minorHAnsi" w:cs="Helvetica"/>
          <w:szCs w:val="22"/>
          <w:lang w:eastAsia="en-US"/>
        </w:rPr>
        <w:t>cych ze stereotypów płci.</w:t>
      </w:r>
    </w:p>
    <w:p w:rsidR="00471B61" w:rsidRPr="000E0CEB" w:rsidRDefault="00477DF1">
      <w:pPr>
        <w:spacing w:before="120" w:after="120" w:line="240" w:lineRule="auto"/>
        <w:jc w:val="both"/>
        <w:rPr>
          <w:rFonts w:asciiTheme="minorHAnsi" w:eastAsia="Calibri" w:hAnsiTheme="minorHAnsi" w:cs="Helvetica"/>
          <w:szCs w:val="22"/>
          <w:lang w:eastAsia="en-US"/>
        </w:rPr>
      </w:pPr>
      <w:r w:rsidRPr="000E0CEB">
        <w:rPr>
          <w:rFonts w:asciiTheme="minorHAnsi" w:eastAsia="Calibri" w:hAnsiTheme="minorHAnsi" w:cs="Helvetica"/>
          <w:szCs w:val="22"/>
          <w:lang w:eastAsia="en-US"/>
        </w:rPr>
        <w:lastRenderedPageBreak/>
        <w:t>Ocena zgodno</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ci projektów współfinansowanych z EFS z zasad</w:t>
      </w:r>
      <w:r w:rsidRPr="000E0CEB">
        <w:rPr>
          <w:rFonts w:asciiTheme="minorHAnsi" w:eastAsia="Calibri" w:hAnsiTheme="minorHAnsi" w:cs="Arial"/>
          <w:szCs w:val="22"/>
          <w:lang w:eastAsia="en-US"/>
        </w:rPr>
        <w:t xml:space="preserve">ą </w:t>
      </w:r>
      <w:r w:rsidRPr="000E0CEB">
        <w:rPr>
          <w:rFonts w:asciiTheme="minorHAnsi" w:eastAsia="Calibri" w:hAnsiTheme="minorHAnsi" w:cs="Helvetica"/>
          <w:szCs w:val="22"/>
          <w:lang w:eastAsia="en-US"/>
        </w:rPr>
        <w:t>równo</w:t>
      </w:r>
      <w:r w:rsidRPr="000E0CEB">
        <w:rPr>
          <w:rFonts w:asciiTheme="minorHAnsi" w:eastAsia="Calibri" w:hAnsiTheme="minorHAnsi" w:cs="Arial"/>
          <w:szCs w:val="22"/>
          <w:lang w:eastAsia="en-US"/>
        </w:rPr>
        <w:t>ś</w:t>
      </w:r>
      <w:r w:rsidRPr="000E0CEB">
        <w:rPr>
          <w:rFonts w:asciiTheme="minorHAnsi" w:eastAsia="Calibri" w:hAnsiTheme="minorHAnsi" w:cs="Helvetica"/>
          <w:szCs w:val="22"/>
          <w:lang w:eastAsia="en-US"/>
        </w:rPr>
        <w:t>ci szans kobiet i m</w:t>
      </w:r>
      <w:r w:rsidRPr="000E0CEB">
        <w:rPr>
          <w:rFonts w:asciiTheme="minorHAnsi" w:eastAsia="Calibri" w:hAnsiTheme="minorHAnsi" w:cs="Arial"/>
          <w:szCs w:val="22"/>
          <w:lang w:eastAsia="en-US"/>
        </w:rPr>
        <w:t>ęż</w:t>
      </w:r>
      <w:r w:rsidRPr="000E0CEB">
        <w:rPr>
          <w:rFonts w:asciiTheme="minorHAnsi" w:eastAsia="Calibri" w:hAnsiTheme="minorHAnsi" w:cs="Helvetica"/>
          <w:szCs w:val="22"/>
          <w:lang w:eastAsia="en-US"/>
        </w:rPr>
        <w:t>czyzn odbywa si</w:t>
      </w:r>
      <w:r w:rsidRPr="000E0CEB">
        <w:rPr>
          <w:rFonts w:asciiTheme="minorHAnsi" w:eastAsia="Calibri" w:hAnsiTheme="minorHAnsi" w:cs="Arial"/>
          <w:szCs w:val="22"/>
          <w:lang w:eastAsia="en-US"/>
        </w:rPr>
        <w:t xml:space="preserve">ę </w:t>
      </w:r>
      <w:r w:rsidRPr="000E0CEB">
        <w:rPr>
          <w:rFonts w:asciiTheme="minorHAnsi" w:eastAsia="Calibri" w:hAnsiTheme="minorHAnsi" w:cs="Helvetica"/>
          <w:szCs w:val="22"/>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załącznik nr </w:t>
      </w:r>
      <w:r w:rsidR="00D21A0C">
        <w:rPr>
          <w:rFonts w:asciiTheme="minorHAnsi" w:eastAsia="Calibri" w:hAnsiTheme="minorHAnsi" w:cs="Helvetica"/>
          <w:szCs w:val="22"/>
          <w:lang w:eastAsia="en-US"/>
        </w:rPr>
        <w:t>4</w:t>
      </w:r>
      <w:r w:rsidR="00D21A0C" w:rsidRPr="000E0CEB">
        <w:rPr>
          <w:rFonts w:asciiTheme="minorHAnsi" w:eastAsia="Calibri" w:hAnsiTheme="minorHAnsi" w:cs="Helvetica"/>
          <w:szCs w:val="22"/>
          <w:lang w:eastAsia="en-US"/>
        </w:rPr>
        <w:t xml:space="preserve"> </w:t>
      </w:r>
      <w:r w:rsidRPr="000E0CEB">
        <w:rPr>
          <w:rFonts w:asciiTheme="minorHAnsi" w:eastAsia="Calibri" w:hAnsiTheme="minorHAnsi" w:cs="Helvetica"/>
          <w:szCs w:val="22"/>
          <w:lang w:eastAsia="en-US"/>
        </w:rPr>
        <w:t xml:space="preserve">do regulaminu.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szCs w:val="22"/>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0E0CEB">
        <w:rPr>
          <w:rFonts w:asciiTheme="minorHAnsi" w:hAnsiTheme="minorHAnsi" w:cs="Arial"/>
          <w:szCs w:val="22"/>
        </w:rPr>
        <w:t xml:space="preserve">. </w:t>
      </w:r>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0E0CEB">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471B61" w:rsidRPr="000E0CEB" w:rsidRDefault="00477DF1">
      <w:pPr>
        <w:pStyle w:val="Akapitzlist"/>
        <w:numPr>
          <w:ilvl w:val="0"/>
          <w:numId w:val="23"/>
        </w:numPr>
        <w:spacing w:before="0" w:line="240" w:lineRule="auto"/>
        <w:ind w:left="993" w:hanging="284"/>
        <w:jc w:val="both"/>
        <w:rPr>
          <w:rFonts w:asciiTheme="minorHAnsi" w:hAnsiTheme="minorHAnsi" w:cs="Arial"/>
          <w:sz w:val="22"/>
          <w:szCs w:val="22"/>
        </w:rPr>
      </w:pPr>
      <w:r w:rsidRPr="000E0CEB">
        <w:rPr>
          <w:rFonts w:asciiTheme="minorHAnsi" w:hAnsiTheme="minorHAnsi" w:cs="Arial"/>
          <w:sz w:val="22"/>
          <w:szCs w:val="22"/>
        </w:rPr>
        <w:t>dysfunkcje związane z danym uczestnikiem projektu;</w:t>
      </w:r>
    </w:p>
    <w:p w:rsidR="00471B61" w:rsidRPr="000E0CEB" w:rsidRDefault="00477DF1">
      <w:pPr>
        <w:pStyle w:val="Akapitzlist"/>
        <w:numPr>
          <w:ilvl w:val="0"/>
          <w:numId w:val="23"/>
        </w:numPr>
        <w:spacing w:before="0" w:line="240" w:lineRule="auto"/>
        <w:ind w:left="993" w:hanging="284"/>
        <w:jc w:val="both"/>
        <w:rPr>
          <w:rFonts w:asciiTheme="minorHAnsi" w:hAnsiTheme="minorHAnsi" w:cs="Arial"/>
          <w:sz w:val="22"/>
          <w:szCs w:val="22"/>
        </w:rPr>
      </w:pPr>
      <w:r w:rsidRPr="000E0CEB">
        <w:rPr>
          <w:rFonts w:asciiTheme="minorHAnsi" w:hAnsiTheme="minorHAnsi" w:cs="Arial"/>
          <w:sz w:val="22"/>
          <w:szCs w:val="22"/>
        </w:rPr>
        <w:t xml:space="preserve">bariery otoczenia; </w:t>
      </w:r>
    </w:p>
    <w:p w:rsidR="00471B61" w:rsidRPr="000E0CEB" w:rsidRDefault="00477DF1">
      <w:pPr>
        <w:pStyle w:val="Akapitzlist"/>
        <w:numPr>
          <w:ilvl w:val="0"/>
          <w:numId w:val="23"/>
        </w:numPr>
        <w:spacing w:before="0" w:line="240" w:lineRule="auto"/>
        <w:ind w:left="993" w:hanging="284"/>
        <w:jc w:val="both"/>
        <w:rPr>
          <w:rFonts w:asciiTheme="minorHAnsi" w:hAnsiTheme="minorHAnsi" w:cs="Arial"/>
          <w:sz w:val="22"/>
          <w:szCs w:val="22"/>
        </w:rPr>
      </w:pPr>
      <w:r w:rsidRPr="000E0CEB">
        <w:rPr>
          <w:rFonts w:asciiTheme="minorHAnsi" w:hAnsiTheme="minorHAnsi" w:cs="Arial"/>
          <w:sz w:val="22"/>
          <w:szCs w:val="22"/>
        </w:rPr>
        <w:t>charakter usługi realizowanej w ramach projektu.</w:t>
      </w:r>
    </w:p>
    <w:p w:rsidR="00471B61" w:rsidRPr="000E0CEB" w:rsidRDefault="00477DF1">
      <w:pPr>
        <w:spacing w:before="120" w:after="120" w:line="240" w:lineRule="auto"/>
        <w:contextualSpacing/>
        <w:jc w:val="both"/>
        <w:rPr>
          <w:rFonts w:asciiTheme="minorHAnsi" w:hAnsiTheme="minorHAnsi" w:cs="Arial"/>
          <w:szCs w:val="22"/>
        </w:rPr>
      </w:pPr>
      <w:r w:rsidRPr="000E0CEB">
        <w:rPr>
          <w:rFonts w:asciiTheme="minorHAnsi" w:hAnsiTheme="minorHAnsi" w:cs="Arial"/>
          <w:szCs w:val="22"/>
        </w:rPr>
        <w:t>W ramach przykładowego katalogu kosztów racjonalnych usprawnień możliwe jest sfinansowanie:</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kosztów specjalistycznego transportu na miejsce realizacji wsparcia;</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 xml:space="preserve">dostosowania infrastruktury komputerowej (np. wynajęcie lub zakup i instalacja programów powiększających, mówiących, kamer do kontaktu z osobą posługującą się językiem migowym, drukarek materiałów w alfabecie Braille’a); </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dostosowania akustycznego (wynajęcie lub zakup i montaż systemów wspomagających słyszenie, np. pętli indukcyjnych, systemów FM);</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asystenta tłumaczącego na język łatwy;</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asystenta osoby z niepełnosprawnością;</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tłumacza języka migowego lub tłumacza-przewodnika;</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przewodnika dla osoby mającej trudności w widzeniu;</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lastRenderedPageBreak/>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zmiany procedur;</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wydłużonego czasu wsparcia (wynikającego np. z konieczności wolniejszego tłumaczenia na język migowy, wolnego mówienia, odczytywania komunikatów z ust, stosowania języka łatwego itp.);</w:t>
      </w:r>
    </w:p>
    <w:p w:rsidR="00471B61" w:rsidRPr="000E0CEB" w:rsidRDefault="00477DF1">
      <w:pPr>
        <w:pStyle w:val="Akapitzlist"/>
        <w:numPr>
          <w:ilvl w:val="1"/>
          <w:numId w:val="37"/>
        </w:numPr>
        <w:spacing w:before="0" w:line="240" w:lineRule="auto"/>
        <w:ind w:left="426"/>
        <w:jc w:val="both"/>
        <w:rPr>
          <w:rFonts w:asciiTheme="minorHAnsi" w:hAnsiTheme="minorHAnsi" w:cs="Arial"/>
          <w:sz w:val="22"/>
          <w:szCs w:val="22"/>
        </w:rPr>
      </w:pPr>
      <w:r w:rsidRPr="000E0CEB">
        <w:rPr>
          <w:rFonts w:asciiTheme="minorHAnsi" w:hAnsiTheme="minorHAnsi" w:cs="Arial"/>
          <w:sz w:val="22"/>
          <w:szCs w:val="22"/>
        </w:rPr>
        <w:t>dostosowania posiłków, uwzględniania specyficznych potrzeb żywieniowych wynikających z niepełnosprawności.</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471B61" w:rsidRPr="000E0CEB" w:rsidRDefault="00477DF1">
      <w:pPr>
        <w:spacing w:before="120" w:after="120" w:line="240" w:lineRule="auto"/>
        <w:jc w:val="both"/>
        <w:rPr>
          <w:rFonts w:asciiTheme="minorHAnsi" w:hAnsiTheme="minorHAnsi" w:cs="Arial"/>
          <w:b/>
          <w:szCs w:val="22"/>
        </w:rPr>
      </w:pPr>
      <w:r w:rsidRPr="000E0CEB">
        <w:rPr>
          <w:rFonts w:asciiTheme="minorHAnsi" w:hAnsiTheme="minorHAnsi" w:cs="Arial"/>
          <w:b/>
          <w:szCs w:val="22"/>
        </w:rPr>
        <w:t xml:space="preserve">Łączny koszt racjonalnych usprawnień na jednego uczestnika w projekcie nie może przekroczyć 12 tys. PLN.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B63284" w:rsidRPr="000E0CEB" w:rsidRDefault="004D576A">
      <w:pPr>
        <w:pStyle w:val="Nagwek2"/>
      </w:pPr>
      <w:bookmarkStart w:id="31" w:name="_Toc438125943"/>
      <w:bookmarkStart w:id="32" w:name="_Toc441241680"/>
      <w:r w:rsidRPr="000E0CEB">
        <w:t>7. Zmiana regulaminu lub anulowanie konkursu</w:t>
      </w:r>
      <w:bookmarkEnd w:id="31"/>
      <w:bookmarkEnd w:id="32"/>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IOK zastrzega sobie prawo do anulowania konkursu w następujących przypadkach do momentu zatwierdzenia listy rankingowej:</w:t>
      </w:r>
    </w:p>
    <w:p w:rsidR="00471B61" w:rsidRPr="000E0CEB" w:rsidRDefault="00477DF1" w:rsidP="000C3423">
      <w:pPr>
        <w:pStyle w:val="Akapitzlist"/>
        <w:numPr>
          <w:ilvl w:val="0"/>
          <w:numId w:val="24"/>
        </w:numPr>
        <w:spacing w:before="0" w:line="240" w:lineRule="auto"/>
        <w:ind w:left="851" w:hanging="284"/>
        <w:jc w:val="both"/>
        <w:rPr>
          <w:rFonts w:asciiTheme="minorHAnsi" w:hAnsiTheme="minorHAnsi"/>
          <w:sz w:val="22"/>
          <w:szCs w:val="22"/>
        </w:rPr>
      </w:pPr>
      <w:r w:rsidRPr="000E0CEB">
        <w:rPr>
          <w:rFonts w:asciiTheme="minorHAnsi" w:hAnsiTheme="minorHAnsi"/>
          <w:sz w:val="22"/>
          <w:szCs w:val="22"/>
        </w:rPr>
        <w:t>naruszenie przez IOK w toku procedury konkursowej przepisów prawa i/lub zasad regulaminu konkursowego, które są istotne i niemożliwe do naprawienia,</w:t>
      </w:r>
    </w:p>
    <w:p w:rsidR="00471B61" w:rsidRPr="000E0CEB" w:rsidRDefault="00477DF1" w:rsidP="000C3423">
      <w:pPr>
        <w:pStyle w:val="Akapitzlist"/>
        <w:numPr>
          <w:ilvl w:val="0"/>
          <w:numId w:val="24"/>
        </w:numPr>
        <w:spacing w:before="0" w:line="240" w:lineRule="auto"/>
        <w:ind w:left="851" w:hanging="284"/>
        <w:jc w:val="both"/>
        <w:rPr>
          <w:rFonts w:asciiTheme="minorHAnsi" w:hAnsiTheme="minorHAnsi"/>
          <w:sz w:val="22"/>
          <w:szCs w:val="22"/>
        </w:rPr>
      </w:pPr>
      <w:r w:rsidRPr="000E0CEB">
        <w:rPr>
          <w:rFonts w:asciiTheme="minorHAnsi" w:hAnsiTheme="minorHAnsi"/>
          <w:sz w:val="22"/>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471B61" w:rsidRPr="000E0CEB" w:rsidRDefault="00477DF1" w:rsidP="000C3423">
      <w:pPr>
        <w:pStyle w:val="Akapitzlist"/>
        <w:numPr>
          <w:ilvl w:val="0"/>
          <w:numId w:val="24"/>
        </w:numPr>
        <w:spacing w:before="0" w:line="240" w:lineRule="auto"/>
        <w:ind w:left="851" w:hanging="284"/>
        <w:jc w:val="both"/>
        <w:rPr>
          <w:rFonts w:asciiTheme="minorHAnsi" w:hAnsiTheme="minorHAnsi"/>
          <w:sz w:val="22"/>
          <w:szCs w:val="22"/>
        </w:rPr>
      </w:pPr>
      <w:r w:rsidRPr="000E0CEB">
        <w:rPr>
          <w:rFonts w:asciiTheme="minorHAnsi" w:hAnsiTheme="minorHAnsi"/>
          <w:sz w:val="22"/>
          <w:szCs w:val="22"/>
        </w:rPr>
        <w:t>ogłoszenie aktów prawnych lub wytycznych horyzontalnych w istotny sposób sprzecznych z postanowieniami niniejszego regulaminu,</w:t>
      </w:r>
    </w:p>
    <w:p w:rsidR="00471B61" w:rsidRPr="000E0CEB" w:rsidRDefault="00477DF1" w:rsidP="000C3423">
      <w:pPr>
        <w:pStyle w:val="Akapitzlist"/>
        <w:numPr>
          <w:ilvl w:val="0"/>
          <w:numId w:val="24"/>
        </w:numPr>
        <w:spacing w:before="0" w:line="240" w:lineRule="auto"/>
        <w:ind w:left="851" w:hanging="284"/>
        <w:jc w:val="both"/>
        <w:rPr>
          <w:rFonts w:asciiTheme="minorHAnsi" w:hAnsiTheme="minorHAnsi"/>
          <w:sz w:val="22"/>
          <w:szCs w:val="22"/>
        </w:rPr>
      </w:pPr>
      <w:r w:rsidRPr="000E0CEB">
        <w:rPr>
          <w:rFonts w:asciiTheme="minorHAnsi" w:hAnsiTheme="minorHAnsi"/>
          <w:sz w:val="22"/>
          <w:szCs w:val="22"/>
        </w:rPr>
        <w:t>awaria lub brak dostępności Generatora.</w:t>
      </w:r>
    </w:p>
    <w:p w:rsidR="00B06A11" w:rsidRPr="000E0CEB" w:rsidRDefault="00477DF1">
      <w:pPr>
        <w:spacing w:before="0" w:line="240" w:lineRule="auto"/>
        <w:rPr>
          <w:rFonts w:asciiTheme="minorHAnsi" w:hAnsiTheme="minorHAnsi"/>
          <w:szCs w:val="22"/>
        </w:rPr>
      </w:pPr>
      <w:r w:rsidRPr="000E0CEB">
        <w:rPr>
          <w:rFonts w:asciiTheme="minorHAnsi" w:eastAsia="Calibri" w:hAnsiTheme="minorHAnsi" w:cs="Arial"/>
          <w:szCs w:val="22"/>
          <w:lang w:eastAsia="en-US"/>
        </w:rPr>
        <w:t xml:space="preserve">IOK </w:t>
      </w:r>
      <w:r w:rsidRPr="000E0CEB">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0E0CEB">
        <w:rPr>
          <w:rFonts w:asciiTheme="minorHAnsi" w:eastAsia="Calibri" w:hAnsiTheme="minorHAnsi" w:cs="Arial"/>
          <w:szCs w:val="22"/>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0E0CEB">
        <w:rPr>
          <w:rFonts w:asciiTheme="minorHAnsi" w:hAnsiTheme="minorHAnsi" w:cs="Calibri"/>
          <w:szCs w:val="22"/>
        </w:rPr>
        <w:t xml:space="preserve"> W związku z tym zaleca się, aby Wnioskodawcy zainteresowani aplikowaniem o środki w ramach niniejszego konkursu na bieżąco zapoznawali się z informacjami zamieszczanymi na </w:t>
      </w:r>
      <w:r w:rsidRPr="000E0CEB">
        <w:rPr>
          <w:rFonts w:asciiTheme="minorHAnsi" w:hAnsiTheme="minorHAnsi"/>
          <w:szCs w:val="22"/>
        </w:rPr>
        <w:t>stronie</w:t>
      </w:r>
      <w:r w:rsidRPr="000E0CEB">
        <w:rPr>
          <w:rFonts w:asciiTheme="minorHAnsi" w:hAnsiTheme="minorHAnsi" w:cs="Calibri"/>
          <w:szCs w:val="22"/>
        </w:rPr>
        <w:t xml:space="preserve"> </w:t>
      </w:r>
      <w:r w:rsidRPr="000E0CEB">
        <w:rPr>
          <w:rFonts w:asciiTheme="minorHAnsi" w:hAnsiTheme="minorHAnsi"/>
          <w:szCs w:val="22"/>
        </w:rPr>
        <w:t xml:space="preserve">internetowej </w:t>
      </w:r>
      <w:hyperlink>
        <w:r w:rsidRPr="000E0CEB">
          <w:rPr>
            <w:rStyle w:val="Odwiedzoneczeinternetowe"/>
            <w:rFonts w:asciiTheme="minorHAnsi" w:hAnsiTheme="minorHAnsi" w:cs="Calibri"/>
            <w:webHidden/>
            <w:color w:val="00000A"/>
            <w:szCs w:val="22"/>
          </w:rPr>
          <w:t>www.rpo.dolnyslask.pl</w:t>
        </w:r>
      </w:hyperlink>
      <w:r w:rsidRPr="000E0CEB">
        <w:rPr>
          <w:rFonts w:asciiTheme="minorHAnsi" w:hAnsiTheme="minorHAnsi"/>
          <w:szCs w:val="22"/>
        </w:rPr>
        <w:t>.</w:t>
      </w:r>
      <w:r w:rsidRPr="000E0CEB">
        <w:rPr>
          <w:rFonts w:asciiTheme="minorHAnsi" w:hAnsiTheme="minorHAnsi"/>
          <w:szCs w:val="22"/>
        </w:rPr>
        <w:br w:type="page"/>
      </w:r>
    </w:p>
    <w:p w:rsidR="00471B61" w:rsidRPr="000E0CEB" w:rsidRDefault="00471B61">
      <w:pPr>
        <w:spacing w:before="120" w:after="120" w:line="240" w:lineRule="auto"/>
        <w:jc w:val="both"/>
        <w:rPr>
          <w:rFonts w:asciiTheme="minorHAnsi" w:hAnsiTheme="minorHAnsi"/>
        </w:rPr>
      </w:pP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33" w:name="_Toc425494883"/>
      <w:bookmarkStart w:id="34" w:name="_Toc429130677"/>
      <w:bookmarkStart w:id="35" w:name="_Toc429130212"/>
      <w:bookmarkStart w:id="36" w:name="_Toc429130676"/>
      <w:bookmarkStart w:id="37" w:name="_Toc429130211"/>
      <w:bookmarkStart w:id="38" w:name="_Toc429130675"/>
      <w:bookmarkStart w:id="39" w:name="_Toc429130210"/>
      <w:bookmarkStart w:id="40" w:name="_Toc430826822"/>
      <w:bookmarkStart w:id="41" w:name="_Toc426632917"/>
      <w:bookmarkStart w:id="42" w:name="_Toc438125944"/>
      <w:bookmarkStart w:id="43" w:name="_Toc441241681"/>
      <w:bookmarkEnd w:id="33"/>
      <w:bookmarkEnd w:id="34"/>
      <w:bookmarkEnd w:id="35"/>
      <w:bookmarkEnd w:id="36"/>
      <w:bookmarkEnd w:id="37"/>
      <w:bookmarkEnd w:id="38"/>
      <w:bookmarkEnd w:id="39"/>
      <w:bookmarkEnd w:id="40"/>
      <w:bookmarkEnd w:id="41"/>
      <w:r w:rsidRPr="000E0CEB">
        <w:rPr>
          <w:sz w:val="22"/>
          <w:szCs w:val="22"/>
        </w:rPr>
        <w:t>II.  Wymagania konkursowe</w:t>
      </w:r>
      <w:bookmarkEnd w:id="42"/>
      <w:bookmarkEnd w:id="43"/>
    </w:p>
    <w:p w:rsidR="00B63284" w:rsidRPr="000E0CEB" w:rsidRDefault="004D576A">
      <w:pPr>
        <w:pStyle w:val="Nagwek2"/>
        <w:numPr>
          <w:ilvl w:val="3"/>
          <w:numId w:val="24"/>
        </w:numPr>
        <w:ind w:left="284" w:hanging="284"/>
      </w:pPr>
      <w:bookmarkStart w:id="44" w:name="_Toc438125945"/>
      <w:bookmarkStart w:id="45" w:name="_Toc441241682"/>
      <w:r w:rsidRPr="000E0CEB">
        <w:t>Podmioty uprawnione do ubiegania się o dofinansowanie projektu</w:t>
      </w:r>
      <w:bookmarkEnd w:id="44"/>
      <w:bookmarkEnd w:id="45"/>
    </w:p>
    <w:p w:rsidR="00471B61" w:rsidRPr="000E0CEB" w:rsidRDefault="00477DF1">
      <w:pPr>
        <w:pStyle w:val="Default"/>
        <w:ind w:right="113"/>
        <w:jc w:val="both"/>
        <w:rPr>
          <w:rFonts w:asciiTheme="minorHAnsi" w:hAnsiTheme="minorHAnsi" w:cs="Arial"/>
          <w:sz w:val="22"/>
          <w:szCs w:val="22"/>
        </w:rPr>
      </w:pPr>
      <w:r w:rsidRPr="000E0CEB">
        <w:rPr>
          <w:rFonts w:asciiTheme="minorHAnsi" w:hAnsiTheme="minorHAnsi" w:cs="Arial"/>
          <w:sz w:val="22"/>
          <w:szCs w:val="22"/>
        </w:rPr>
        <w:t xml:space="preserve">W ramach konkursu o dofinansowanie realizacji projektu mogą ubiegać się podmioty </w:t>
      </w:r>
      <w:r w:rsidRPr="000E0CEB">
        <w:rPr>
          <w:rFonts w:asciiTheme="minorHAnsi" w:hAnsiTheme="minorHAnsi"/>
          <w:sz w:val="22"/>
          <w:szCs w:val="22"/>
        </w:rPr>
        <w:t>wyszczególnione w SzOOP RPO WD, tj.:</w:t>
      </w:r>
    </w:p>
    <w:p w:rsidR="00471B61" w:rsidRPr="000E0CEB" w:rsidRDefault="00477DF1">
      <w:pPr>
        <w:pStyle w:val="Default"/>
        <w:numPr>
          <w:ilvl w:val="0"/>
          <w:numId w:val="43"/>
        </w:numPr>
        <w:ind w:right="113" w:hanging="284"/>
        <w:jc w:val="both"/>
        <w:rPr>
          <w:rFonts w:asciiTheme="minorHAnsi" w:hAnsiTheme="minorHAnsi" w:cs="Arial"/>
          <w:sz w:val="22"/>
          <w:szCs w:val="22"/>
        </w:rPr>
      </w:pPr>
      <w:r w:rsidRPr="000E0CEB">
        <w:rPr>
          <w:rFonts w:asciiTheme="minorHAnsi" w:hAnsiTheme="minorHAnsi" w:cs="Arial"/>
          <w:sz w:val="22"/>
          <w:szCs w:val="22"/>
        </w:rPr>
        <w:t xml:space="preserve">jednostki samorządu terytorialnego, ich związki i stowarzyszenia; </w:t>
      </w:r>
    </w:p>
    <w:p w:rsidR="00471B61" w:rsidRPr="000E0CEB" w:rsidRDefault="00477DF1">
      <w:pPr>
        <w:pStyle w:val="Default"/>
        <w:numPr>
          <w:ilvl w:val="0"/>
          <w:numId w:val="43"/>
        </w:numPr>
        <w:ind w:right="113" w:hanging="284"/>
        <w:jc w:val="both"/>
        <w:rPr>
          <w:rFonts w:asciiTheme="minorHAnsi" w:hAnsiTheme="minorHAnsi" w:cs="Arial"/>
          <w:sz w:val="22"/>
          <w:szCs w:val="22"/>
        </w:rPr>
      </w:pPr>
      <w:r w:rsidRPr="000E0CEB">
        <w:rPr>
          <w:rFonts w:asciiTheme="minorHAnsi" w:hAnsiTheme="minorHAnsi" w:cs="Arial"/>
          <w:sz w:val="22"/>
          <w:szCs w:val="22"/>
        </w:rPr>
        <w:t xml:space="preserve">jednostki organizacyjne jst; </w:t>
      </w:r>
    </w:p>
    <w:p w:rsidR="00471B61" w:rsidRPr="000E0CEB" w:rsidRDefault="00477DF1">
      <w:pPr>
        <w:pStyle w:val="Default"/>
        <w:numPr>
          <w:ilvl w:val="0"/>
          <w:numId w:val="43"/>
        </w:numPr>
        <w:ind w:right="113" w:hanging="284"/>
        <w:jc w:val="both"/>
        <w:rPr>
          <w:rFonts w:asciiTheme="minorHAnsi" w:hAnsiTheme="minorHAnsi" w:cs="Arial"/>
          <w:sz w:val="22"/>
          <w:szCs w:val="22"/>
        </w:rPr>
      </w:pPr>
      <w:r w:rsidRPr="000E0CEB">
        <w:rPr>
          <w:rFonts w:asciiTheme="minorHAnsi" w:hAnsiTheme="minorHAnsi" w:cs="Arial"/>
          <w:sz w:val="22"/>
          <w:szCs w:val="22"/>
        </w:rPr>
        <w:t xml:space="preserve">organizacje pozarządowe; </w:t>
      </w:r>
    </w:p>
    <w:p w:rsidR="00471B61" w:rsidRPr="000E0CEB" w:rsidRDefault="00477DF1">
      <w:pPr>
        <w:pStyle w:val="Default"/>
        <w:numPr>
          <w:ilvl w:val="0"/>
          <w:numId w:val="43"/>
        </w:numPr>
        <w:ind w:right="113" w:hanging="284"/>
        <w:jc w:val="both"/>
        <w:rPr>
          <w:rFonts w:asciiTheme="minorHAnsi" w:hAnsiTheme="minorHAnsi" w:cs="Arial"/>
          <w:sz w:val="22"/>
          <w:szCs w:val="22"/>
        </w:rPr>
      </w:pPr>
      <w:r w:rsidRPr="000E0CEB">
        <w:rPr>
          <w:rFonts w:asciiTheme="minorHAnsi" w:hAnsiTheme="minorHAnsi" w:cs="Arial"/>
          <w:sz w:val="22"/>
          <w:szCs w:val="22"/>
        </w:rPr>
        <w:t>organy prowadzące publiczne i niepubliczne szkoły podstawowe, gimnazjalne i ponadgimnazjalne.;</w:t>
      </w:r>
    </w:p>
    <w:p w:rsidR="00471B61" w:rsidRPr="000E0CEB" w:rsidRDefault="00471B61">
      <w:pPr>
        <w:pStyle w:val="Default"/>
        <w:ind w:left="17" w:right="113"/>
        <w:jc w:val="both"/>
        <w:rPr>
          <w:rFonts w:asciiTheme="minorHAnsi" w:hAnsiTheme="minorHAnsi" w:cs="Arial"/>
          <w:sz w:val="22"/>
          <w:szCs w:val="22"/>
        </w:rPr>
      </w:pPr>
    </w:p>
    <w:p w:rsidR="00471B61" w:rsidRPr="000E0CEB" w:rsidRDefault="00477DF1">
      <w:pPr>
        <w:pStyle w:val="Default"/>
        <w:ind w:left="17" w:right="113"/>
        <w:jc w:val="both"/>
        <w:rPr>
          <w:rFonts w:asciiTheme="minorHAnsi" w:hAnsiTheme="minorHAnsi" w:cs="Arial"/>
          <w:sz w:val="22"/>
          <w:szCs w:val="22"/>
        </w:rPr>
      </w:pPr>
      <w:r w:rsidRPr="000E0CEB">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471B61" w:rsidRPr="000E0CEB" w:rsidRDefault="00477DF1">
      <w:pPr>
        <w:pStyle w:val="Default"/>
        <w:spacing w:before="120" w:after="120"/>
        <w:jc w:val="both"/>
        <w:rPr>
          <w:rFonts w:asciiTheme="minorHAnsi" w:hAnsiTheme="minorHAnsi" w:cs="Arial"/>
          <w:sz w:val="22"/>
          <w:szCs w:val="22"/>
        </w:rPr>
      </w:pPr>
      <w:r w:rsidRPr="000E0CEB">
        <w:rPr>
          <w:rFonts w:asciiTheme="minorHAnsi" w:hAnsiTheme="minorHAnsi" w:cs="Arial"/>
          <w:sz w:val="22"/>
          <w:szCs w:val="22"/>
        </w:rPr>
        <w:t>Ponadto, w projektach realizowanych w partnerstwie, decyzja lub umowa o dofinansowanie jest zawierana z Beneficjentem, który działa „w imieniu i na rzecz partnerów” należy</w:t>
      </w:r>
      <w:r w:rsidRPr="000E0CEB">
        <w:rPr>
          <w:rFonts w:asciiTheme="minorHAnsi" w:hAnsiTheme="minorHAnsi"/>
          <w:sz w:val="22"/>
          <w:szCs w:val="22"/>
        </w:rPr>
        <w:t>, więc</w:t>
      </w:r>
      <w:r w:rsidRPr="000E0CEB">
        <w:rPr>
          <w:rFonts w:asciiTheme="minorHAnsi" w:hAnsiTheme="minorHAnsi" w:cs="Arial"/>
          <w:sz w:val="22"/>
          <w:szCs w:val="22"/>
        </w:rPr>
        <w:t xml:space="preserve"> uznać, że o ile umowa partnerska nie reguluje tej kwestii odmiennie podmiotem „otrzymującym dofinansowanie / wsparcie” jest każdy z partnerów. Oznacza to, że wykluczenie danego podmiotu z możliwości otrzymania środków uniemożliwia mu uzyskanie statusu partnera w projekcie.</w:t>
      </w:r>
    </w:p>
    <w:p w:rsidR="00B63284" w:rsidRPr="000E0CEB" w:rsidRDefault="004D576A">
      <w:pPr>
        <w:pStyle w:val="Nagwek2"/>
        <w:numPr>
          <w:ilvl w:val="3"/>
          <w:numId w:val="24"/>
        </w:numPr>
        <w:ind w:left="284" w:hanging="284"/>
      </w:pPr>
      <w:bookmarkStart w:id="46" w:name="_Toc438125946"/>
      <w:bookmarkStart w:id="47" w:name="_Toc441241683"/>
      <w:r w:rsidRPr="000E0CEB">
        <w:t>Uczestnicy projektu</w:t>
      </w:r>
      <w:bookmarkEnd w:id="46"/>
      <w:bookmarkEnd w:id="47"/>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hAnsiTheme="minorHAnsi"/>
          <w:szCs w:val="22"/>
        </w:rPr>
        <w:t>Zgodnie z zapisami SZOOP RPO WD 2014-2020</w:t>
      </w:r>
      <w:r w:rsidRPr="000E0CEB">
        <w:rPr>
          <w:rFonts w:asciiTheme="minorHAnsi" w:eastAsia="Calibri" w:hAnsiTheme="minorHAnsi" w:cs="Arial"/>
          <w:szCs w:val="22"/>
          <w:lang w:eastAsia="en-US"/>
        </w:rPr>
        <w:t>, środki EFS zostaną przeznaczone na wsparcie udzielane na rzecz zapewnienia równego dostępu do wysokiej jakości edukacji podstawowej, gimnazjalnej i ponadgimnazjalnej i kierowane do:</w:t>
      </w:r>
    </w:p>
    <w:p w:rsidR="00471B61" w:rsidRPr="000E0CEB" w:rsidRDefault="00477DF1">
      <w:pPr>
        <w:pStyle w:val="Default"/>
        <w:numPr>
          <w:ilvl w:val="0"/>
          <w:numId w:val="56"/>
        </w:numPr>
        <w:ind w:left="851" w:hanging="425"/>
        <w:jc w:val="both"/>
        <w:rPr>
          <w:rFonts w:asciiTheme="minorHAnsi" w:hAnsiTheme="minorHAnsi" w:cs="Arial"/>
          <w:sz w:val="22"/>
          <w:szCs w:val="22"/>
        </w:rPr>
      </w:pPr>
      <w:r w:rsidRPr="000E0CEB">
        <w:rPr>
          <w:rFonts w:asciiTheme="minorHAnsi" w:hAnsiTheme="minorHAnsi" w:cs="Arial"/>
          <w:sz w:val="22"/>
          <w:szCs w:val="22"/>
        </w:rPr>
        <w:t>uczniów i wychowanków szkół i placówek (w rozumieniu Ustawy o systemie oświaty) prowadzących kształcenie ogólne (z wyłączeniem słuchaczy szkół dla dorosłych);</w:t>
      </w:r>
    </w:p>
    <w:p w:rsidR="00471B61" w:rsidRPr="000E0CEB" w:rsidRDefault="00477DF1">
      <w:pPr>
        <w:pStyle w:val="Default"/>
        <w:numPr>
          <w:ilvl w:val="0"/>
          <w:numId w:val="56"/>
        </w:numPr>
        <w:ind w:left="851" w:hanging="425"/>
        <w:jc w:val="both"/>
        <w:rPr>
          <w:rFonts w:asciiTheme="minorHAnsi" w:hAnsiTheme="minorHAnsi" w:cs="Arial"/>
          <w:sz w:val="22"/>
          <w:szCs w:val="22"/>
        </w:rPr>
      </w:pPr>
      <w:r w:rsidRPr="000E0CEB">
        <w:rPr>
          <w:rFonts w:asciiTheme="minorHAnsi" w:hAnsiTheme="minorHAnsi" w:cs="Arial"/>
          <w:sz w:val="22"/>
          <w:szCs w:val="22"/>
        </w:rPr>
        <w:t>rodziców/opiekunów prawnych uczniów;</w:t>
      </w:r>
    </w:p>
    <w:p w:rsidR="00471B61" w:rsidRPr="000E0CEB" w:rsidRDefault="00477DF1">
      <w:pPr>
        <w:pStyle w:val="Default"/>
        <w:numPr>
          <w:ilvl w:val="0"/>
          <w:numId w:val="56"/>
        </w:numPr>
        <w:spacing w:before="120" w:after="120"/>
        <w:ind w:left="851" w:hanging="425"/>
        <w:jc w:val="both"/>
        <w:rPr>
          <w:rFonts w:asciiTheme="minorHAnsi" w:hAnsiTheme="minorHAnsi"/>
          <w:sz w:val="22"/>
          <w:szCs w:val="22"/>
        </w:rPr>
      </w:pPr>
      <w:r w:rsidRPr="000E0CEB">
        <w:rPr>
          <w:rFonts w:asciiTheme="minorHAnsi" w:hAnsiTheme="minorHAnsi" w:cs="Arial"/>
          <w:sz w:val="22"/>
          <w:szCs w:val="22"/>
        </w:rPr>
        <w:t>publicznych i niepublicznych szkół podstawowych, gimnazjalnych, ponadgimnazjalnych lub placówek systemu oświaty prowadzących kształcenie ogólne;</w:t>
      </w:r>
    </w:p>
    <w:p w:rsidR="00471B61" w:rsidRPr="000E0CEB" w:rsidRDefault="00477DF1">
      <w:pPr>
        <w:pStyle w:val="Default"/>
        <w:numPr>
          <w:ilvl w:val="0"/>
          <w:numId w:val="56"/>
        </w:numPr>
        <w:spacing w:before="120" w:after="120"/>
        <w:ind w:left="851" w:hanging="425"/>
        <w:jc w:val="both"/>
        <w:rPr>
          <w:rFonts w:asciiTheme="minorHAnsi" w:hAnsiTheme="minorHAnsi"/>
          <w:sz w:val="22"/>
          <w:szCs w:val="22"/>
        </w:rPr>
      </w:pPr>
      <w:r w:rsidRPr="000E0CEB">
        <w:rPr>
          <w:rFonts w:asciiTheme="minorHAnsi" w:hAnsiTheme="minorHAnsi" w:cs="Arial"/>
          <w:sz w:val="22"/>
          <w:szCs w:val="22"/>
        </w:rPr>
        <w:t xml:space="preserve">nauczycieli i pracowników pedagogicznych szkół i placówek oświatowych; </w:t>
      </w:r>
    </w:p>
    <w:p w:rsidR="00471B61" w:rsidRPr="000E0CEB" w:rsidRDefault="00477DF1">
      <w:pPr>
        <w:pStyle w:val="Default"/>
        <w:numPr>
          <w:ilvl w:val="0"/>
          <w:numId w:val="56"/>
        </w:numPr>
        <w:spacing w:before="120" w:after="120"/>
        <w:ind w:left="851" w:hanging="425"/>
        <w:jc w:val="both"/>
        <w:rPr>
          <w:rFonts w:asciiTheme="minorHAnsi" w:hAnsiTheme="minorHAnsi"/>
          <w:sz w:val="22"/>
          <w:szCs w:val="22"/>
        </w:rPr>
      </w:pPr>
      <w:r w:rsidRPr="000E0CEB">
        <w:rPr>
          <w:rFonts w:asciiTheme="minorHAnsi" w:hAnsiTheme="minorHAnsi" w:cs="Arial"/>
          <w:sz w:val="22"/>
          <w:szCs w:val="22"/>
        </w:rPr>
        <w:t>osób, które przedwcześnie opuściły system oświaty;</w:t>
      </w:r>
    </w:p>
    <w:p w:rsidR="00471B61" w:rsidRPr="000E0CEB" w:rsidRDefault="00477DF1">
      <w:pPr>
        <w:pStyle w:val="Default"/>
        <w:numPr>
          <w:ilvl w:val="0"/>
          <w:numId w:val="56"/>
        </w:numPr>
        <w:spacing w:before="120" w:after="120"/>
        <w:ind w:left="851" w:hanging="425"/>
        <w:jc w:val="both"/>
        <w:rPr>
          <w:rFonts w:asciiTheme="minorHAnsi" w:hAnsiTheme="minorHAnsi"/>
          <w:sz w:val="22"/>
          <w:szCs w:val="22"/>
        </w:rPr>
      </w:pPr>
      <w:r w:rsidRPr="000E0CEB">
        <w:rPr>
          <w:rFonts w:asciiTheme="minorHAnsi" w:hAnsiTheme="minorHAnsi" w:cs="Arial"/>
          <w:sz w:val="22"/>
          <w:szCs w:val="22"/>
        </w:rPr>
        <w:t>kadry szkół i placówek w zakresie kształcenia ogólnego.</w:t>
      </w:r>
    </w:p>
    <w:p w:rsidR="00471B61" w:rsidRPr="000E0CEB" w:rsidRDefault="00471B61">
      <w:pPr>
        <w:spacing w:before="120" w:after="120" w:line="240" w:lineRule="auto"/>
        <w:jc w:val="both"/>
        <w:rPr>
          <w:rFonts w:asciiTheme="minorHAnsi" w:hAnsiTheme="minorHAnsi" w:cs="Arial"/>
          <w:szCs w:val="22"/>
        </w:rPr>
      </w:pPr>
    </w:p>
    <w:p w:rsidR="00471B61" w:rsidRPr="000E0CEB" w:rsidRDefault="00477DF1">
      <w:pPr>
        <w:spacing w:before="120" w:after="120" w:line="240" w:lineRule="auto"/>
        <w:jc w:val="both"/>
        <w:rPr>
          <w:rFonts w:asciiTheme="minorHAnsi" w:hAnsiTheme="minorHAnsi" w:cs="Arial"/>
          <w:b/>
          <w:szCs w:val="22"/>
        </w:rPr>
      </w:pPr>
      <w:r w:rsidRPr="000E0CEB">
        <w:rPr>
          <w:rFonts w:asciiTheme="minorHAnsi" w:hAnsiTheme="minorHAnsi" w:cs="Arial"/>
          <w:szCs w:val="22"/>
        </w:rPr>
        <w:t xml:space="preserve">UWAGA! </w:t>
      </w:r>
      <w:r w:rsidRPr="000E0CEB">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0E0CEB">
        <w:rPr>
          <w:rFonts w:asciiTheme="minorHAnsi" w:hAnsiTheme="minorHAnsi"/>
          <w:b/>
          <w:szCs w:val="22"/>
        </w:rPr>
        <w:t>formalno-merytorycznej</w:t>
      </w:r>
      <w:r w:rsidRPr="000E0CEB">
        <w:rPr>
          <w:rFonts w:asciiTheme="minorHAnsi" w:hAnsiTheme="minorHAnsi" w:cs="Arial"/>
          <w:b/>
          <w:szCs w:val="22"/>
        </w:rPr>
        <w:t>.</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oparciu o definicję zawartą w Wytycznych w zakresie monitorowania postępu rzeczowego realizacji programów operacyjnych na lata 2014-2020,</w:t>
      </w:r>
      <w:r w:rsidRPr="000E0CEB">
        <w:rPr>
          <w:rFonts w:asciiTheme="minorHAnsi" w:hAnsiTheme="minorHAnsi"/>
          <w:i/>
          <w:szCs w:val="22"/>
        </w:rPr>
        <w:t xml:space="preserve"> </w:t>
      </w:r>
      <w:r w:rsidRPr="000E0CEB">
        <w:rPr>
          <w:rFonts w:asciiTheme="minorHAnsi" w:hAnsiTheme="minorHAnsi"/>
          <w:szCs w:val="22"/>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Warunkiem kwalifikowalności uczestnika projektu jest uzyskanie danych potrzebnych do monitorowania wskaźników oraz przeprowadzenia ewaluacji, a także zobowiązanie osoby fizycznej do przekazania informacji na temat jej sytuacji po opuszczeniu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lastRenderedPageBreak/>
        <w:t>Beneficjent jest odpowiedzialny za dołożenie wszelkich starań w celu potwierdzenia, że dana osoba spełnia warunki udziału w projekcie.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Weryfikacja, dokonywana przez Beneficjenta celem sprawdzenia, czy uczestnik spełnia kryteria kwalifikowalności udziału w projekcie odbywa się na podstawie deklaracji uczestnictwa w projekcie.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B63284" w:rsidRPr="000E0CEB" w:rsidRDefault="004D576A">
      <w:pPr>
        <w:pStyle w:val="Nagwek2"/>
        <w:numPr>
          <w:ilvl w:val="3"/>
          <w:numId w:val="24"/>
        </w:numPr>
        <w:ind w:left="284" w:hanging="284"/>
      </w:pPr>
      <w:bookmarkStart w:id="48" w:name="_Toc438125947"/>
      <w:bookmarkStart w:id="49" w:name="_Toc441241684"/>
      <w:r w:rsidRPr="000E0CEB">
        <w:t>Okres realizacji projektu</w:t>
      </w:r>
      <w:bookmarkEnd w:id="48"/>
      <w:bookmarkEnd w:id="49"/>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od 5 do 7 miesięcy w zależności od liczby złożonych wniosków.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Wydatki te ponoszone są na własną odpowiedzialność.</w:t>
      </w:r>
    </w:p>
    <w:p w:rsidR="00471B61" w:rsidRPr="000E0CEB" w:rsidRDefault="00477DF1">
      <w:pPr>
        <w:spacing w:before="120" w:after="120" w:line="240" w:lineRule="auto"/>
        <w:jc w:val="both"/>
        <w:rPr>
          <w:rFonts w:asciiTheme="minorHAnsi" w:hAnsiTheme="minorHAnsi"/>
          <w:szCs w:val="22"/>
        </w:rPr>
      </w:pPr>
      <w:r w:rsidRPr="000E0CEB">
        <w:rPr>
          <w:rFonts w:asciiTheme="minorHAnsi" w:eastAsia="Calibri" w:hAnsiTheme="minorHAnsi" w:cs="Arial"/>
          <w:b/>
          <w:color w:val="000000"/>
          <w:szCs w:val="22"/>
          <w:lang w:eastAsia="en-US"/>
        </w:rPr>
        <w:t>Najpóźniejszy termin złożenia ostatniego wniosku o płatność to grudzień 2018 r. W związku z tym projekt musi zakończyć się do listopada 2018 r.</w:t>
      </w:r>
    </w:p>
    <w:p w:rsidR="00471B61" w:rsidRPr="000E0CEB" w:rsidRDefault="00477DF1">
      <w:pPr>
        <w:spacing w:before="120" w:after="120" w:line="240" w:lineRule="auto"/>
        <w:jc w:val="both"/>
        <w:rPr>
          <w:rFonts w:asciiTheme="minorHAnsi" w:hAnsiTheme="minorHAnsi" w:cs="TimesNewRomanPSMT"/>
          <w:szCs w:val="22"/>
        </w:rPr>
      </w:pPr>
      <w:r w:rsidRPr="000E0CEB">
        <w:rPr>
          <w:rFonts w:asciiTheme="minorHAnsi" w:hAnsiTheme="minorHAnsi"/>
          <w:szCs w:val="22"/>
        </w:rPr>
        <w:t xml:space="preserve">We wniosku o dofinansowanie projektu Wnioskodawca określa datę rozpoczęcia i zakończenia realizacji projektu, mając na uwadze to, iż okres ten jest zarówno rzeczowym, jak i finansowym okresem realizacji projektu. </w:t>
      </w:r>
    </w:p>
    <w:p w:rsidR="00B63284" w:rsidRPr="000E0CEB" w:rsidRDefault="004D576A">
      <w:pPr>
        <w:pStyle w:val="Nagwek2"/>
        <w:numPr>
          <w:ilvl w:val="3"/>
          <w:numId w:val="24"/>
        </w:numPr>
        <w:ind w:left="284" w:hanging="284"/>
      </w:pPr>
      <w:bookmarkStart w:id="50" w:name="_Toc430826823"/>
      <w:bookmarkStart w:id="51" w:name="_Toc426632918"/>
      <w:bookmarkStart w:id="52" w:name="_Toc420584888"/>
      <w:bookmarkStart w:id="53" w:name="_Toc420583692"/>
      <w:bookmarkStart w:id="54" w:name="_Toc420068468"/>
      <w:bookmarkStart w:id="55" w:name="_Toc419982533"/>
      <w:bookmarkStart w:id="56" w:name="_Toc419981479"/>
      <w:bookmarkStart w:id="57" w:name="_Toc419961752"/>
      <w:bookmarkStart w:id="58" w:name="_Toc419820615"/>
      <w:bookmarkStart w:id="59" w:name="_Toc419820547"/>
      <w:bookmarkStart w:id="60" w:name="_Toc425494918"/>
      <w:bookmarkStart w:id="61" w:name="_Toc430826826"/>
      <w:bookmarkStart w:id="62" w:name="_Toc426632922"/>
      <w:bookmarkStart w:id="63" w:name="_Toc438125948"/>
      <w:bookmarkStart w:id="64" w:name="_Toc441241685"/>
      <w:bookmarkEnd w:id="50"/>
      <w:bookmarkEnd w:id="51"/>
      <w:bookmarkEnd w:id="52"/>
      <w:bookmarkEnd w:id="53"/>
      <w:bookmarkEnd w:id="54"/>
      <w:bookmarkEnd w:id="55"/>
      <w:bookmarkEnd w:id="56"/>
      <w:bookmarkEnd w:id="57"/>
      <w:bookmarkEnd w:id="58"/>
      <w:bookmarkEnd w:id="59"/>
      <w:bookmarkEnd w:id="60"/>
      <w:bookmarkEnd w:id="61"/>
      <w:bookmarkEnd w:id="62"/>
      <w:r w:rsidRPr="000E0CEB">
        <w:t>Wymagania w zakresie wskaźników w projekcie</w:t>
      </w:r>
      <w:bookmarkEnd w:id="63"/>
      <w:bookmarkEnd w:id="64"/>
    </w:p>
    <w:p w:rsidR="00471B61" w:rsidRPr="000E0CEB" w:rsidRDefault="00477DF1">
      <w:pPr>
        <w:spacing w:before="120" w:after="12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W ramach wniosku o dofinansowanie projektu Wnioskodawca określa </w:t>
      </w:r>
      <w:r w:rsidRPr="000E0CEB">
        <w:rPr>
          <w:rFonts w:asciiTheme="minorHAnsi" w:eastAsia="Calibri" w:hAnsiTheme="minorHAnsi" w:cs="Calibri"/>
          <w:b/>
          <w:bCs/>
          <w:szCs w:val="22"/>
          <w:lang w:eastAsia="en-US"/>
        </w:rPr>
        <w:t>odpowiednie wskaźniki służące pomiarowi działań i celów założonych w projekcie.</w:t>
      </w:r>
      <w:r w:rsidRPr="000E0CEB">
        <w:rPr>
          <w:rFonts w:asciiTheme="minorHAnsi" w:eastAsia="Calibri" w:hAnsiTheme="minorHAnsi" w:cs="Calibri"/>
          <w:szCs w:val="22"/>
          <w:lang w:eastAsia="en-US"/>
        </w:rPr>
        <w:t xml:space="preserve"> Wskaźniki w ramach projektu należy określić mając w szczególności na uwadze zapisy niniejszego regulaminu oraz </w:t>
      </w:r>
      <w:r w:rsidRPr="000E0CEB">
        <w:rPr>
          <w:rFonts w:asciiTheme="minorHAnsi" w:hAnsiTheme="minorHAnsi"/>
          <w:szCs w:val="22"/>
        </w:rPr>
        <w:t>Wytycznych w zakresie monitorowania postępu rzeczowego realizacji programów operacyjnych na lata 2014-2020.</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Wnioskodawca zobowiązany jest do monitorowania w projekcie wskaźników programowych określonych w RPO WD 2014-2020:</w:t>
      </w:r>
    </w:p>
    <w:p w:rsidR="00471B61" w:rsidRPr="000E0CEB" w:rsidRDefault="00477DF1">
      <w:pPr>
        <w:pStyle w:val="Akapitzlist"/>
        <w:numPr>
          <w:ilvl w:val="0"/>
          <w:numId w:val="32"/>
        </w:numPr>
        <w:spacing w:before="120" w:after="120" w:line="240" w:lineRule="auto"/>
        <w:jc w:val="both"/>
        <w:rPr>
          <w:rFonts w:asciiTheme="minorHAnsi" w:hAnsiTheme="minorHAnsi"/>
          <w:sz w:val="22"/>
          <w:szCs w:val="22"/>
        </w:rPr>
      </w:pPr>
      <w:r w:rsidRPr="000E0CEB">
        <w:rPr>
          <w:rFonts w:asciiTheme="minorHAnsi" w:hAnsiTheme="minorHAnsi"/>
          <w:b/>
          <w:sz w:val="22"/>
          <w:szCs w:val="22"/>
        </w:rPr>
        <w:t>Wskaźniki produktu</w:t>
      </w:r>
      <w:r w:rsidRPr="000E0CEB">
        <w:rPr>
          <w:rFonts w:asciiTheme="minorHAnsi" w:hAnsiTheme="minorHAnsi"/>
          <w:sz w:val="22"/>
          <w:szCs w:val="22"/>
        </w:rPr>
        <w:t xml:space="preserve">: </w:t>
      </w:r>
      <w:r w:rsidRPr="000E0CEB">
        <w:rPr>
          <w:rFonts w:asciiTheme="minorHAnsi" w:eastAsia="Calibri" w:hAnsiTheme="minorHAnsi" w:cs="Arial"/>
          <w:sz w:val="22"/>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0E0CEB">
        <w:rPr>
          <w:rFonts w:asciiTheme="minorHAnsi" w:hAnsiTheme="minorHAnsi"/>
          <w:sz w:val="22"/>
          <w:szCs w:val="22"/>
        </w:rPr>
        <w:t>zgodnie z definicją określoną w Wytycznych w zakresie monitorowania postępu rzeczowego realizacji programów operacyjnych na lata 2014-2020). W ramach Działania 10.2 określono poniższe wskaźniki produktu:</w:t>
      </w: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tbl>
      <w:tblPr>
        <w:tblW w:w="4750"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1875"/>
        <w:gridCol w:w="1258"/>
        <w:gridCol w:w="6305"/>
      </w:tblGrid>
      <w:tr w:rsidR="00471B61" w:rsidRPr="000E0CEB">
        <w:trPr>
          <w:cantSplit/>
          <w:trHeight w:val="20"/>
          <w:jc w:val="center"/>
        </w:trPr>
        <w:tc>
          <w:tcPr>
            <w:tcW w:w="1834" w:type="dxa"/>
            <w:tcBorders>
              <w:top w:val="single" w:sz="8" w:space="0" w:color="000001"/>
              <w:left w:val="single" w:sz="8"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center"/>
              <w:rPr>
                <w:rFonts w:asciiTheme="minorHAnsi" w:hAnsiTheme="minorHAnsi"/>
                <w:b/>
                <w:szCs w:val="22"/>
              </w:rPr>
            </w:pPr>
            <w:r w:rsidRPr="000E0CEB">
              <w:rPr>
                <w:rFonts w:asciiTheme="minorHAnsi" w:hAnsiTheme="minorHAnsi"/>
                <w:b/>
                <w:szCs w:val="22"/>
              </w:rPr>
              <w:t>Nazwa wskaźnika produktu</w:t>
            </w:r>
          </w:p>
        </w:tc>
        <w:tc>
          <w:tcPr>
            <w:tcW w:w="1231" w:type="dxa"/>
            <w:tcBorders>
              <w:top w:val="single" w:sz="8" w:space="0" w:color="000001"/>
              <w:left w:val="single" w:sz="6" w:space="0" w:color="000001"/>
              <w:bottom w:val="single" w:sz="6" w:space="0" w:color="000001"/>
              <w:right w:val="single" w:sz="6" w:space="0" w:color="000001"/>
            </w:tcBorders>
            <w:shd w:val="clear" w:color="auto" w:fill="auto"/>
            <w:tcMar>
              <w:left w:w="109" w:type="dxa"/>
            </w:tcMar>
          </w:tcPr>
          <w:p w:rsidR="00471B61" w:rsidRPr="000E0CEB" w:rsidRDefault="00477DF1">
            <w:pPr>
              <w:suppressAutoHyphens/>
              <w:spacing w:before="0" w:line="240" w:lineRule="auto"/>
              <w:jc w:val="center"/>
              <w:rPr>
                <w:rFonts w:asciiTheme="minorHAnsi" w:hAnsiTheme="minorHAnsi"/>
                <w:b/>
                <w:bCs/>
                <w:szCs w:val="22"/>
              </w:rPr>
            </w:pPr>
            <w:r w:rsidRPr="000E0CEB">
              <w:rPr>
                <w:rFonts w:asciiTheme="minorHAnsi" w:hAnsiTheme="minorHAnsi"/>
                <w:b/>
                <w:bCs/>
                <w:szCs w:val="22"/>
              </w:rPr>
              <w:t>Jednostka miary</w:t>
            </w:r>
          </w:p>
        </w:tc>
        <w:tc>
          <w:tcPr>
            <w:tcW w:w="6169" w:type="dxa"/>
            <w:tcBorders>
              <w:top w:val="single" w:sz="8" w:space="0" w:color="000001"/>
              <w:left w:val="single" w:sz="6" w:space="0" w:color="000001"/>
              <w:bottom w:val="single" w:sz="6" w:space="0" w:color="000001"/>
              <w:right w:val="single" w:sz="8" w:space="0" w:color="000001"/>
            </w:tcBorders>
            <w:shd w:val="clear" w:color="auto" w:fill="auto"/>
            <w:tcMar>
              <w:left w:w="109" w:type="dxa"/>
            </w:tcMar>
            <w:vAlign w:val="center"/>
          </w:tcPr>
          <w:p w:rsidR="00471B61" w:rsidRPr="000E0CEB" w:rsidRDefault="00477DF1">
            <w:pPr>
              <w:suppressAutoHyphens/>
              <w:spacing w:before="0" w:line="240" w:lineRule="auto"/>
              <w:jc w:val="center"/>
              <w:rPr>
                <w:rFonts w:asciiTheme="minorHAnsi" w:hAnsiTheme="minorHAnsi"/>
                <w:b/>
                <w:szCs w:val="22"/>
              </w:rPr>
            </w:pPr>
            <w:r w:rsidRPr="000E0CEB">
              <w:rPr>
                <w:rFonts w:asciiTheme="minorHAnsi" w:hAnsiTheme="minorHAnsi"/>
                <w:b/>
                <w:bCs/>
                <w:szCs w:val="22"/>
              </w:rPr>
              <w:t>Definicja wskaźnika</w:t>
            </w:r>
          </w:p>
        </w:tc>
      </w:tr>
      <w:tr w:rsidR="00471B61" w:rsidRPr="000E0CEB">
        <w:trPr>
          <w:cantSplit/>
          <w:trHeight w:val="20"/>
          <w:jc w:val="center"/>
        </w:trPr>
        <w:tc>
          <w:tcPr>
            <w:tcW w:w="1834" w:type="dxa"/>
            <w:tcBorders>
              <w:top w:val="single" w:sz="6" w:space="0" w:color="000001"/>
              <w:left w:val="single" w:sz="8"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Liczba uczniów objętych</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wsparciem w zakresie</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rozwijania kompetencji</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kluczowych w programie</w:t>
            </w:r>
          </w:p>
          <w:p w:rsidR="00471B61" w:rsidRPr="000E0CEB" w:rsidRDefault="00477DF1">
            <w:pPr>
              <w:spacing w:before="120" w:after="120" w:line="240" w:lineRule="auto"/>
              <w:jc w:val="both"/>
              <w:rPr>
                <w:rFonts w:asciiTheme="minorHAnsi" w:hAnsiTheme="minorHAnsi"/>
                <w:szCs w:val="22"/>
              </w:rPr>
            </w:pPr>
            <w:r w:rsidRPr="000E0CEB">
              <w:rPr>
                <w:rFonts w:asciiTheme="minorHAnsi" w:eastAsia="Calibri" w:hAnsiTheme="minorHAnsi" w:cs="Calibri"/>
                <w:szCs w:val="22"/>
              </w:rPr>
              <w:t>[osoby]</w:t>
            </w:r>
          </w:p>
        </w:tc>
        <w:tc>
          <w:tcPr>
            <w:tcW w:w="1231" w:type="dxa"/>
            <w:tcBorders>
              <w:top w:val="single" w:sz="6" w:space="0" w:color="000001"/>
              <w:left w:val="single" w:sz="6" w:space="0" w:color="000001"/>
              <w:bottom w:val="single" w:sz="6" w:space="0" w:color="000001"/>
              <w:right w:val="single" w:sz="6"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osoby</w:t>
            </w:r>
          </w:p>
        </w:tc>
        <w:tc>
          <w:tcPr>
            <w:tcW w:w="6169" w:type="dxa"/>
            <w:tcBorders>
              <w:top w:val="single" w:sz="6" w:space="0" w:color="000001"/>
              <w:left w:val="single" w:sz="6" w:space="0" w:color="000001"/>
              <w:bottom w:val="single" w:sz="6" w:space="0" w:color="000001"/>
              <w:right w:val="single" w:sz="8"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Liczba uczniów (szkół podstawowych, gimnazjalnych i ponadgimnazjalnych) objętych wsparciem bezpośrednim w ramach programu z zakresu rozwijania kompetencji kluczowych oraz postaw i umiejętności niezbędnych na rynku pracy.</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Wykazywać należy wyłącznie kompetencje osiągnięte w wyniku interwencji Europejskiego Funduszu Społecznego.</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 xml:space="preserve">Zakres kompetencji kluczowych opisano w </w:t>
            </w:r>
            <w:r w:rsidRPr="000E0CEB">
              <w:rPr>
                <w:rFonts w:asciiTheme="minorHAnsi" w:eastAsia="Calibri" w:hAnsiTheme="minorHAnsi" w:cs="Arial"/>
                <w:i/>
                <w:iCs/>
                <w:szCs w:val="22"/>
              </w:rPr>
              <w:t>Wytycznych w zakresie zasad realizacji przedsi</w:t>
            </w:r>
            <w:r w:rsidRPr="000E0CEB">
              <w:rPr>
                <w:rFonts w:asciiTheme="minorHAnsi" w:eastAsia="Calibri" w:hAnsiTheme="minorHAnsi" w:cs="Arial,Italic"/>
                <w:i/>
                <w:iCs/>
                <w:szCs w:val="22"/>
              </w:rPr>
              <w:t>ę</w:t>
            </w:r>
            <w:r w:rsidRPr="000E0CEB">
              <w:rPr>
                <w:rFonts w:asciiTheme="minorHAnsi" w:eastAsia="Calibri" w:hAnsiTheme="minorHAnsi" w:cs="Arial"/>
                <w:i/>
                <w:iCs/>
                <w:szCs w:val="22"/>
              </w:rPr>
              <w:t>wzi</w:t>
            </w:r>
            <w:r w:rsidRPr="000E0CEB">
              <w:rPr>
                <w:rFonts w:asciiTheme="minorHAnsi" w:eastAsia="Calibri" w:hAnsiTheme="minorHAnsi" w:cs="Arial,Italic"/>
                <w:i/>
                <w:iCs/>
                <w:szCs w:val="22"/>
              </w:rPr>
              <w:t xml:space="preserve">ęć </w:t>
            </w:r>
            <w:r w:rsidRPr="000E0CEB">
              <w:rPr>
                <w:rFonts w:asciiTheme="minorHAnsi" w:eastAsia="Calibri" w:hAnsiTheme="minorHAnsi" w:cs="Arial"/>
                <w:i/>
                <w:iCs/>
                <w:szCs w:val="22"/>
              </w:rPr>
              <w:t xml:space="preserve">z udziałem </w:t>
            </w:r>
            <w:r w:rsidRPr="000E0CEB">
              <w:rPr>
                <w:rFonts w:asciiTheme="minorHAnsi" w:eastAsia="Calibri" w:hAnsiTheme="minorHAnsi" w:cs="Arial,Italic"/>
                <w:i/>
                <w:iCs/>
                <w:szCs w:val="22"/>
              </w:rPr>
              <w:t>ś</w:t>
            </w:r>
            <w:r w:rsidRPr="000E0CEB">
              <w:rPr>
                <w:rFonts w:asciiTheme="minorHAnsi" w:eastAsia="Calibri" w:hAnsiTheme="minorHAnsi" w:cs="Arial"/>
                <w:i/>
                <w:iCs/>
                <w:szCs w:val="22"/>
              </w:rPr>
              <w:t>rodków Europejskiego Funduszu Społecznego na lata 2014-2020 w obszarze edukacji.</w:t>
            </w:r>
          </w:p>
        </w:tc>
      </w:tr>
      <w:tr w:rsidR="00471B61" w:rsidRPr="000E0CEB">
        <w:trPr>
          <w:cantSplit/>
          <w:trHeight w:val="20"/>
          <w:jc w:val="center"/>
        </w:trPr>
        <w:tc>
          <w:tcPr>
            <w:tcW w:w="1834" w:type="dxa"/>
            <w:tcBorders>
              <w:top w:val="single" w:sz="6" w:space="0" w:color="000001"/>
              <w:left w:val="single" w:sz="8"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Liczba nauczycieli</w:t>
            </w:r>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Calibri"/>
                <w:szCs w:val="22"/>
              </w:rPr>
              <w:t>objętych wsparciem z zakresu TIK w programie</w:t>
            </w:r>
          </w:p>
        </w:tc>
        <w:tc>
          <w:tcPr>
            <w:tcW w:w="1231" w:type="dxa"/>
            <w:tcBorders>
              <w:top w:val="single" w:sz="6" w:space="0" w:color="000001"/>
              <w:left w:val="single" w:sz="6" w:space="0" w:color="000001"/>
              <w:bottom w:val="single" w:sz="6" w:space="0" w:color="000001"/>
              <w:right w:val="single" w:sz="6"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osoby</w:t>
            </w:r>
          </w:p>
        </w:tc>
        <w:tc>
          <w:tcPr>
            <w:tcW w:w="6169" w:type="dxa"/>
            <w:tcBorders>
              <w:top w:val="single" w:sz="6" w:space="0" w:color="000001"/>
              <w:left w:val="single" w:sz="6" w:space="0" w:color="000001"/>
              <w:bottom w:val="single" w:sz="6" w:space="0" w:color="000001"/>
              <w:right w:val="single" w:sz="8"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lang w:eastAsia="en-US"/>
              </w:rPr>
              <w:t xml:space="preserve"> </w:t>
            </w:r>
            <w:r w:rsidRPr="000E0CEB">
              <w:rPr>
                <w:rFonts w:asciiTheme="minorHAnsi" w:eastAsia="Calibri" w:hAnsiTheme="minorHAnsi" w:cs="Arial"/>
                <w:szCs w:val="22"/>
              </w:rPr>
              <w:t>Liczba nauczycieli szkół dla dzieci i młodzieży (szkół podstawowych, gimnazjalnych i ponadgimnazjalnych), w tym szkół specjalnych (samodzielne i funkcjonujące w placówkach) objętych doskonaleniem umiejętności i kompetencji w zakresie wykorzystania technologii informacyjno-komunikacyjnych (TIK).</w:t>
            </w:r>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Arial"/>
                <w:szCs w:val="22"/>
              </w:rPr>
              <w:t xml:space="preserve">Doskonalenie umiejętności i kompetencji zawodowych nauczycieli odbywa się poprzez formy wsparcia opisane w </w:t>
            </w:r>
            <w:r w:rsidRPr="000E0CEB">
              <w:rPr>
                <w:rFonts w:asciiTheme="minorHAnsi" w:eastAsia="Calibri" w:hAnsiTheme="minorHAnsi" w:cs="Arial"/>
                <w:i/>
                <w:iCs/>
                <w:szCs w:val="22"/>
              </w:rPr>
              <w:t>Wytycznych w zakresie zasad realizacji przedsi</w:t>
            </w:r>
            <w:r w:rsidRPr="000E0CEB">
              <w:rPr>
                <w:rFonts w:asciiTheme="minorHAnsi" w:eastAsia="Calibri" w:hAnsiTheme="minorHAnsi" w:cs="Arial,Italic"/>
                <w:i/>
                <w:iCs/>
                <w:szCs w:val="22"/>
              </w:rPr>
              <w:t>ę</w:t>
            </w:r>
            <w:r w:rsidRPr="000E0CEB">
              <w:rPr>
                <w:rFonts w:asciiTheme="minorHAnsi" w:eastAsia="Calibri" w:hAnsiTheme="minorHAnsi" w:cs="Arial"/>
                <w:i/>
                <w:iCs/>
                <w:szCs w:val="22"/>
              </w:rPr>
              <w:t>wzi</w:t>
            </w:r>
            <w:r w:rsidRPr="000E0CEB">
              <w:rPr>
                <w:rFonts w:asciiTheme="minorHAnsi" w:eastAsia="Calibri" w:hAnsiTheme="minorHAnsi" w:cs="Arial,Italic"/>
                <w:i/>
                <w:iCs/>
                <w:szCs w:val="22"/>
              </w:rPr>
              <w:t xml:space="preserve">ęć </w:t>
            </w:r>
            <w:r w:rsidRPr="000E0CEB">
              <w:rPr>
                <w:rFonts w:asciiTheme="minorHAnsi" w:eastAsia="Calibri" w:hAnsiTheme="minorHAnsi" w:cs="Arial"/>
                <w:i/>
                <w:iCs/>
                <w:szCs w:val="22"/>
              </w:rPr>
              <w:t xml:space="preserve">z udziałem </w:t>
            </w:r>
            <w:r w:rsidRPr="000E0CEB">
              <w:rPr>
                <w:rFonts w:asciiTheme="minorHAnsi" w:eastAsia="Calibri" w:hAnsiTheme="minorHAnsi" w:cs="Arial,Italic"/>
                <w:i/>
                <w:iCs/>
                <w:szCs w:val="22"/>
              </w:rPr>
              <w:t>ś</w:t>
            </w:r>
            <w:r w:rsidRPr="000E0CEB">
              <w:rPr>
                <w:rFonts w:asciiTheme="minorHAnsi" w:eastAsia="Calibri" w:hAnsiTheme="minorHAnsi" w:cs="Arial"/>
                <w:i/>
                <w:iCs/>
                <w:szCs w:val="22"/>
              </w:rPr>
              <w:t>rodków Europejskiego Funduszu Społecznego na lata 2014-2020 w obszarze edukacji.</w:t>
            </w:r>
          </w:p>
        </w:tc>
      </w:tr>
      <w:tr w:rsidR="00471B61" w:rsidRPr="000E0CEB">
        <w:trPr>
          <w:cantSplit/>
          <w:trHeight w:val="20"/>
          <w:jc w:val="center"/>
        </w:trPr>
        <w:tc>
          <w:tcPr>
            <w:tcW w:w="1834" w:type="dxa"/>
            <w:tcBorders>
              <w:top w:val="single" w:sz="6" w:space="0" w:color="000001"/>
              <w:left w:val="single" w:sz="8"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Liczba nauczycieli</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objętych wsparciem w</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programie</w:t>
            </w:r>
          </w:p>
        </w:tc>
        <w:tc>
          <w:tcPr>
            <w:tcW w:w="1231" w:type="dxa"/>
            <w:tcBorders>
              <w:top w:val="single" w:sz="6" w:space="0" w:color="000001"/>
              <w:left w:val="single" w:sz="6" w:space="0" w:color="000001"/>
              <w:bottom w:val="single" w:sz="6" w:space="0" w:color="000001"/>
              <w:right w:val="single" w:sz="6"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osoby</w:t>
            </w:r>
          </w:p>
        </w:tc>
        <w:tc>
          <w:tcPr>
            <w:tcW w:w="6169" w:type="dxa"/>
            <w:tcBorders>
              <w:top w:val="single" w:sz="6" w:space="0" w:color="000001"/>
              <w:left w:val="single" w:sz="6" w:space="0" w:color="000001"/>
              <w:bottom w:val="single" w:sz="6" w:space="0" w:color="000001"/>
              <w:right w:val="single" w:sz="8"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Liczba wszystkich nauczycieli wychowania przedszkolnego, szkół i placówek dla dzieci i młodzieży objętych wsparciem w programie.</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lang w:eastAsia="en-US"/>
              </w:rPr>
              <w:t xml:space="preserve">Formy wsparcia opisane w </w:t>
            </w:r>
            <w:r w:rsidRPr="000E0CEB">
              <w:rPr>
                <w:rFonts w:asciiTheme="minorHAnsi" w:eastAsia="Calibri" w:hAnsiTheme="minorHAnsi" w:cs="Arial"/>
                <w:i/>
                <w:iCs/>
                <w:szCs w:val="22"/>
                <w:lang w:eastAsia="en-US"/>
              </w:rPr>
              <w:t>Wytycznych w zakresie zasad realizacji przedsi</w:t>
            </w:r>
            <w:r w:rsidRPr="000E0CEB">
              <w:rPr>
                <w:rFonts w:asciiTheme="minorHAnsi" w:eastAsia="Calibri" w:hAnsiTheme="minorHAnsi" w:cs="Arial,Italic"/>
                <w:i/>
                <w:iCs/>
                <w:szCs w:val="22"/>
                <w:lang w:eastAsia="en-US"/>
              </w:rPr>
              <w:t>ę</w:t>
            </w:r>
            <w:r w:rsidRPr="000E0CEB">
              <w:rPr>
                <w:rFonts w:asciiTheme="minorHAnsi" w:eastAsia="Calibri" w:hAnsiTheme="minorHAnsi" w:cs="Arial"/>
                <w:i/>
                <w:iCs/>
                <w:szCs w:val="22"/>
                <w:lang w:eastAsia="en-US"/>
              </w:rPr>
              <w:t>wzi</w:t>
            </w:r>
            <w:r w:rsidRPr="000E0CEB">
              <w:rPr>
                <w:rFonts w:asciiTheme="minorHAnsi" w:eastAsia="Calibri" w:hAnsiTheme="minorHAnsi" w:cs="Arial,Italic"/>
                <w:i/>
                <w:iCs/>
                <w:szCs w:val="22"/>
                <w:lang w:eastAsia="en-US"/>
              </w:rPr>
              <w:t xml:space="preserve">ęć </w:t>
            </w:r>
            <w:r w:rsidRPr="000E0CEB">
              <w:rPr>
                <w:rFonts w:asciiTheme="minorHAnsi" w:eastAsia="Calibri" w:hAnsiTheme="minorHAnsi" w:cs="Arial"/>
                <w:i/>
                <w:iCs/>
                <w:szCs w:val="22"/>
                <w:lang w:eastAsia="en-US"/>
              </w:rPr>
              <w:t xml:space="preserve">z udziałem </w:t>
            </w:r>
            <w:r w:rsidRPr="000E0CEB">
              <w:rPr>
                <w:rFonts w:asciiTheme="minorHAnsi" w:eastAsia="Calibri" w:hAnsiTheme="minorHAnsi" w:cs="Arial,Italic"/>
                <w:i/>
                <w:iCs/>
                <w:szCs w:val="22"/>
                <w:lang w:eastAsia="en-US"/>
              </w:rPr>
              <w:t>ś</w:t>
            </w:r>
            <w:r w:rsidRPr="000E0CEB">
              <w:rPr>
                <w:rFonts w:asciiTheme="minorHAnsi" w:eastAsia="Calibri" w:hAnsiTheme="minorHAnsi" w:cs="Arial"/>
                <w:i/>
                <w:iCs/>
                <w:szCs w:val="22"/>
                <w:lang w:eastAsia="en-US"/>
              </w:rPr>
              <w:t>rodków Europejskiego Funduszu Społecznego na lata 2014-2020 w obszarze edukacji.</w:t>
            </w:r>
          </w:p>
        </w:tc>
      </w:tr>
      <w:tr w:rsidR="00471B61" w:rsidRPr="000E0CEB">
        <w:trPr>
          <w:cantSplit/>
          <w:trHeight w:val="20"/>
          <w:jc w:val="center"/>
        </w:trPr>
        <w:tc>
          <w:tcPr>
            <w:tcW w:w="1834" w:type="dxa"/>
            <w:tcBorders>
              <w:top w:val="single" w:sz="6" w:space="0" w:color="000001"/>
              <w:left w:val="single" w:sz="8"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Liczba szkół, których</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pracownie przedmiotowe</w:t>
            </w:r>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Calibri"/>
                <w:szCs w:val="22"/>
              </w:rPr>
              <w:t>zostały doposażone w programie</w:t>
            </w:r>
          </w:p>
        </w:tc>
        <w:tc>
          <w:tcPr>
            <w:tcW w:w="1231" w:type="dxa"/>
            <w:tcBorders>
              <w:top w:val="single" w:sz="6" w:space="0" w:color="000001"/>
              <w:left w:val="single" w:sz="6" w:space="0" w:color="000001"/>
              <w:bottom w:val="single" w:sz="6" w:space="0" w:color="000001"/>
              <w:right w:val="single" w:sz="6" w:space="0" w:color="000001"/>
            </w:tcBorders>
            <w:shd w:val="clear" w:color="auto" w:fill="auto"/>
            <w:tcMar>
              <w:left w:w="109" w:type="dxa"/>
            </w:tcMar>
            <w:vAlign w:val="center"/>
          </w:tcPr>
          <w:p w:rsidR="00471B61" w:rsidRPr="000E0CEB" w:rsidRDefault="00477DF1">
            <w:pPr>
              <w:suppressAutoHyphens/>
              <w:spacing w:before="120" w:after="120" w:line="240" w:lineRule="auto"/>
              <w:jc w:val="both"/>
              <w:rPr>
                <w:rFonts w:asciiTheme="minorHAnsi" w:hAnsiTheme="minorHAnsi"/>
                <w:szCs w:val="22"/>
              </w:rPr>
            </w:pPr>
            <w:r w:rsidRPr="000E0CEB">
              <w:rPr>
                <w:rFonts w:asciiTheme="minorHAnsi" w:hAnsiTheme="minorHAnsi"/>
                <w:szCs w:val="22"/>
              </w:rPr>
              <w:t>sztuk</w:t>
            </w:r>
          </w:p>
        </w:tc>
        <w:tc>
          <w:tcPr>
            <w:tcW w:w="6169" w:type="dxa"/>
            <w:tcBorders>
              <w:top w:val="single" w:sz="6" w:space="0" w:color="000001"/>
              <w:left w:val="single" w:sz="6" w:space="0" w:color="000001"/>
              <w:bottom w:val="single" w:sz="6" w:space="0" w:color="000001"/>
              <w:right w:val="single" w:sz="8"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Liczba szkół dla dzieci i młodzieży (szkół podstawowych, gimnazjalnych i ponadgimnazjalnych), w tym szkół specjalnych</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(samodzielne i funkcjonujące w placówkach), których pracownie przedmiotowe zostały doposażone do nauczania przyrody, biologii, chemii, geografii i fizyki poprzez doświadczenia i eksperymenty.</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W ramach wskaźnika nie należy uwzględniać szkół dla dorosłych oraz przedszkoli i placówek systemu oświaty.</w:t>
            </w:r>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Arial"/>
                <w:szCs w:val="22"/>
              </w:rPr>
              <w:t>Moment pomiaru wskaźnika rozumiany jest jako dzień dostarczenia sprzętu do szkoły.</w:t>
            </w:r>
          </w:p>
        </w:tc>
      </w:tr>
      <w:tr w:rsidR="00471B61" w:rsidRPr="000E0CEB">
        <w:trPr>
          <w:cantSplit/>
          <w:trHeight w:val="20"/>
          <w:jc w:val="center"/>
        </w:trPr>
        <w:tc>
          <w:tcPr>
            <w:tcW w:w="1834" w:type="dxa"/>
            <w:tcBorders>
              <w:top w:val="single" w:sz="6" w:space="0" w:color="000001"/>
              <w:left w:val="single" w:sz="8" w:space="0" w:color="000001"/>
              <w:bottom w:val="single" w:sz="8"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lastRenderedPageBreak/>
              <w:t>Liczba szkół i placówek</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systemu oświaty</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wyposażonych w ramach</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programu w sprzęt TIK do</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prowadzenia zajęć</w:t>
            </w:r>
          </w:p>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eastAsia="Calibri" w:hAnsiTheme="minorHAnsi" w:cs="Calibri"/>
                <w:szCs w:val="22"/>
              </w:rPr>
              <w:t>edukacyjnych</w:t>
            </w:r>
          </w:p>
        </w:tc>
        <w:tc>
          <w:tcPr>
            <w:tcW w:w="1231" w:type="dxa"/>
            <w:tcBorders>
              <w:top w:val="single" w:sz="6" w:space="0" w:color="000001"/>
              <w:left w:val="single" w:sz="6" w:space="0" w:color="000001"/>
              <w:bottom w:val="single" w:sz="8" w:space="0" w:color="000001"/>
              <w:right w:val="single" w:sz="6" w:space="0" w:color="000001"/>
            </w:tcBorders>
            <w:shd w:val="clear" w:color="auto" w:fill="auto"/>
            <w:tcMar>
              <w:left w:w="109" w:type="dxa"/>
            </w:tcMar>
            <w:vAlign w:val="center"/>
          </w:tcPr>
          <w:p w:rsidR="00471B61" w:rsidRPr="000E0CEB" w:rsidRDefault="00477DF1">
            <w:pPr>
              <w:suppressAutoHyphens/>
              <w:spacing w:before="120" w:after="120" w:line="240" w:lineRule="auto"/>
              <w:jc w:val="both"/>
              <w:rPr>
                <w:rFonts w:asciiTheme="minorHAnsi" w:hAnsiTheme="minorHAnsi"/>
                <w:szCs w:val="22"/>
              </w:rPr>
            </w:pPr>
            <w:r w:rsidRPr="000E0CEB">
              <w:rPr>
                <w:rFonts w:asciiTheme="minorHAnsi" w:hAnsiTheme="minorHAnsi"/>
                <w:szCs w:val="22"/>
              </w:rPr>
              <w:t>sztuk</w:t>
            </w:r>
          </w:p>
        </w:tc>
        <w:tc>
          <w:tcPr>
            <w:tcW w:w="6169" w:type="dxa"/>
            <w:tcBorders>
              <w:top w:val="single" w:sz="6" w:space="0" w:color="000001"/>
              <w:left w:val="single" w:sz="6" w:space="0" w:color="000001"/>
              <w:bottom w:val="single" w:sz="8" w:space="0" w:color="000001"/>
              <w:right w:val="single" w:sz="8" w:space="0" w:color="000001"/>
            </w:tcBorders>
            <w:shd w:val="clear" w:color="auto" w:fill="auto"/>
            <w:tcMar>
              <w:left w:w="109"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Liczba szkół dla dzieci i młodzieży (szkół podstawowych, gimnazjalnych i ponadgimnazjalnych), w tym szkół specjalnych</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(samodzielne i funkcjonujące w placówkach) oraz placówek systemu oświaty (zgodnie z ustawą z dnia 7 września 1991 r.</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o systemie oświaty) wyposażonych w sprzęt technologii informacyjno-komunikacyjnych (TIK) do prowadzenia zajęć edukacyjnych.</w:t>
            </w:r>
          </w:p>
          <w:p w:rsidR="00471B61" w:rsidRPr="000E0CEB" w:rsidRDefault="00477DF1">
            <w:pPr>
              <w:spacing w:before="0" w:line="240" w:lineRule="auto"/>
              <w:jc w:val="both"/>
              <w:rPr>
                <w:rFonts w:asciiTheme="minorHAnsi" w:eastAsia="Calibri" w:hAnsiTheme="minorHAnsi" w:cs="Arial"/>
                <w:i/>
                <w:iCs/>
                <w:szCs w:val="22"/>
              </w:rPr>
            </w:pPr>
            <w:r w:rsidRPr="000E0CEB">
              <w:rPr>
                <w:rFonts w:asciiTheme="minorHAnsi" w:eastAsia="Calibri" w:hAnsiTheme="minorHAnsi" w:cs="Arial"/>
                <w:szCs w:val="22"/>
              </w:rPr>
              <w:t xml:space="preserve">Zakup sprzętu TIK odbywa się według standardów opisanych w </w:t>
            </w:r>
            <w:r w:rsidRPr="000E0CEB">
              <w:rPr>
                <w:rFonts w:asciiTheme="minorHAnsi" w:eastAsia="Calibri" w:hAnsiTheme="minorHAnsi" w:cs="Arial"/>
                <w:i/>
                <w:iCs/>
                <w:szCs w:val="22"/>
              </w:rPr>
              <w:t>Wytycznych w zakresie zasad realizacji przedsi</w:t>
            </w:r>
            <w:r w:rsidRPr="000E0CEB">
              <w:rPr>
                <w:rFonts w:asciiTheme="minorHAnsi" w:eastAsia="Calibri" w:hAnsiTheme="minorHAnsi" w:cs="Arial,Italic"/>
                <w:i/>
                <w:iCs/>
                <w:szCs w:val="22"/>
              </w:rPr>
              <w:t>ę</w:t>
            </w:r>
            <w:r w:rsidRPr="000E0CEB">
              <w:rPr>
                <w:rFonts w:asciiTheme="minorHAnsi" w:eastAsia="Calibri" w:hAnsiTheme="minorHAnsi" w:cs="Arial"/>
                <w:i/>
                <w:iCs/>
                <w:szCs w:val="22"/>
              </w:rPr>
              <w:t>wzi</w:t>
            </w:r>
            <w:r w:rsidRPr="000E0CEB">
              <w:rPr>
                <w:rFonts w:asciiTheme="minorHAnsi" w:eastAsia="Calibri" w:hAnsiTheme="minorHAnsi" w:cs="Arial,Italic"/>
                <w:i/>
                <w:iCs/>
                <w:szCs w:val="22"/>
              </w:rPr>
              <w:t xml:space="preserve">ęć </w:t>
            </w:r>
            <w:r w:rsidRPr="000E0CEB">
              <w:rPr>
                <w:rFonts w:asciiTheme="minorHAnsi" w:eastAsia="Calibri" w:hAnsiTheme="minorHAnsi" w:cs="Arial"/>
                <w:i/>
                <w:iCs/>
                <w:szCs w:val="22"/>
              </w:rPr>
              <w:t xml:space="preserve">z udziałem </w:t>
            </w:r>
            <w:r w:rsidRPr="000E0CEB">
              <w:rPr>
                <w:rFonts w:asciiTheme="minorHAnsi" w:eastAsia="Calibri" w:hAnsiTheme="minorHAnsi" w:cs="Arial,Italic"/>
                <w:i/>
                <w:iCs/>
                <w:szCs w:val="22"/>
              </w:rPr>
              <w:t>ś</w:t>
            </w:r>
            <w:r w:rsidRPr="000E0CEB">
              <w:rPr>
                <w:rFonts w:asciiTheme="minorHAnsi" w:eastAsia="Calibri" w:hAnsiTheme="minorHAnsi" w:cs="Arial"/>
                <w:i/>
                <w:iCs/>
                <w:szCs w:val="22"/>
              </w:rPr>
              <w:t>rodków Europejskiego Funduszu Społecznego na lata 2014-2020 w obszarze edukacji.</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We wskaźniku możliwe jest wykazanie szkół i placówek, które jedynie uzupełniają swoją bazę o pewne elementy wyposażenia, zgodnie z diagnozą i w celu uzyskania konkretnych funkcjonalności. W ramach wskaźnika nie należy uwzględniać szkół dla dorosłych oraz przedszkoli. Moment pomiaru wskaźnika rozumiany jest jako dzień dostarczenia sprzętu do szkół i placówek oświatowych.</w:t>
            </w:r>
          </w:p>
        </w:tc>
      </w:tr>
    </w:tbl>
    <w:p w:rsidR="00471B61" w:rsidRPr="000E0CEB" w:rsidRDefault="00477DF1">
      <w:pPr>
        <w:pStyle w:val="Akapitzlist"/>
        <w:spacing w:before="120" w:after="120" w:line="240" w:lineRule="auto"/>
        <w:ind w:left="720"/>
        <w:jc w:val="both"/>
        <w:rPr>
          <w:rFonts w:asciiTheme="minorHAnsi" w:hAnsiTheme="minorHAnsi"/>
          <w:sz w:val="22"/>
          <w:szCs w:val="22"/>
        </w:rPr>
      </w:pPr>
      <w:r w:rsidRPr="000E0CEB">
        <w:rPr>
          <w:rFonts w:asciiTheme="minorHAnsi" w:hAnsiTheme="minorHAnsi"/>
          <w:sz w:val="22"/>
          <w:szCs w:val="22"/>
        </w:rPr>
        <w:t xml:space="preserve">Wskaźniki produktu </w:t>
      </w:r>
      <w:r w:rsidRPr="000E0CEB">
        <w:rPr>
          <w:rFonts w:asciiTheme="minorHAnsi" w:hAnsiTheme="minorHAnsi" w:cs="Arial"/>
          <w:sz w:val="22"/>
          <w:szCs w:val="22"/>
        </w:rPr>
        <w:t>monitorowane są w momencie rozpoczęcia udziału w projekcie (co do zasady za rozpoczęcie udziału w projekcie uznaje się przystąpienie do pierwszej formy wsparcia świadczonej w ramach projektu)</w:t>
      </w:r>
      <w:r w:rsidRPr="000E0CEB">
        <w:rPr>
          <w:rFonts w:asciiTheme="minorHAnsi" w:hAnsiTheme="minorHAnsi"/>
          <w:sz w:val="22"/>
          <w:szCs w:val="22"/>
        </w:rPr>
        <w:t xml:space="preserve">. </w:t>
      </w:r>
    </w:p>
    <w:p w:rsidR="00471B61" w:rsidRPr="000E0CEB" w:rsidRDefault="00477DF1">
      <w:pPr>
        <w:pStyle w:val="Akapitzlist"/>
        <w:numPr>
          <w:ilvl w:val="0"/>
          <w:numId w:val="32"/>
        </w:numPr>
        <w:spacing w:before="120" w:after="120" w:line="240" w:lineRule="auto"/>
        <w:jc w:val="both"/>
        <w:rPr>
          <w:rFonts w:asciiTheme="minorHAnsi" w:hAnsiTheme="minorHAnsi"/>
          <w:sz w:val="22"/>
          <w:szCs w:val="22"/>
        </w:rPr>
      </w:pPr>
      <w:r w:rsidRPr="000E0CEB">
        <w:rPr>
          <w:rFonts w:asciiTheme="minorHAnsi" w:hAnsiTheme="minorHAnsi"/>
          <w:b/>
          <w:sz w:val="22"/>
          <w:szCs w:val="22"/>
        </w:rPr>
        <w:t>Wskaźniki rezultatu bezpośredniego</w:t>
      </w:r>
      <w:r w:rsidRPr="000E0CEB">
        <w:rPr>
          <w:rFonts w:asciiTheme="minorHAnsi" w:hAnsiTheme="minorHAnsi"/>
          <w:sz w:val="22"/>
          <w:szCs w:val="22"/>
        </w:rPr>
        <w:t xml:space="preserve">: </w:t>
      </w:r>
      <w:r w:rsidRPr="000E0CEB">
        <w:rPr>
          <w:rFonts w:asciiTheme="minorHAnsi" w:eastAsia="Calibri" w:hAnsiTheme="minorHAnsi" w:cs="Arial"/>
          <w:sz w:val="22"/>
          <w:szCs w:val="22"/>
          <w:lang w:eastAsia="en-US"/>
        </w:rPr>
        <w:t>dotyczą oczekiwanych efektów wsparcia ze środków EFS. Określają efekt bezpośrednio po zakończeniu udziału w projekcie i mierzone są do 4 tygodni od zakończenia udziału przez uczestnika w projekcie. W celu ograniczenia wpływu czynników zewnętrznych na wartość wskaźnika rezultatu, powinien on być jak najbliżej powiązany z działaniami wdrażanymi w ramach Działania 10.2:</w:t>
      </w: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p w:rsidR="000E4F93" w:rsidRPr="000E0CEB" w:rsidRDefault="000E4F93" w:rsidP="000E4F93">
      <w:pPr>
        <w:spacing w:before="120" w:after="120" w:line="240" w:lineRule="auto"/>
        <w:jc w:val="both"/>
        <w:rPr>
          <w:rFonts w:asciiTheme="minorHAnsi" w:hAnsiTheme="minorHAnsi"/>
          <w:szCs w:val="22"/>
        </w:rPr>
      </w:pPr>
    </w:p>
    <w:tbl>
      <w:tblPr>
        <w:tblW w:w="4750" w:type="pct"/>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2021"/>
        <w:gridCol w:w="1296"/>
        <w:gridCol w:w="6121"/>
      </w:tblGrid>
      <w:tr w:rsidR="00471B61" w:rsidRPr="000E0CEB">
        <w:trPr>
          <w:cantSplit/>
          <w:trHeight w:val="20"/>
          <w:jc w:val="center"/>
        </w:trPr>
        <w:tc>
          <w:tcPr>
            <w:tcW w:w="19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rPr>
                <w:rFonts w:asciiTheme="minorHAnsi" w:hAnsiTheme="minorHAnsi"/>
                <w:b/>
                <w:szCs w:val="22"/>
              </w:rPr>
            </w:pPr>
            <w:r w:rsidRPr="000E0CEB">
              <w:rPr>
                <w:rFonts w:asciiTheme="minorHAnsi" w:hAnsiTheme="minorHAnsi"/>
                <w:b/>
                <w:szCs w:val="22"/>
              </w:rPr>
              <w:lastRenderedPageBreak/>
              <w:t>Nazwa wskaźnika rezultatu bezpośredniego</w:t>
            </w:r>
          </w:p>
        </w:tc>
        <w:tc>
          <w:tcPr>
            <w:tcW w:w="1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rPr>
                <w:rFonts w:asciiTheme="minorHAnsi" w:hAnsiTheme="minorHAnsi"/>
                <w:b/>
                <w:bCs/>
                <w:szCs w:val="22"/>
              </w:rPr>
            </w:pPr>
            <w:r w:rsidRPr="000E0CEB">
              <w:rPr>
                <w:rFonts w:asciiTheme="minorHAnsi" w:hAnsiTheme="minorHAnsi"/>
                <w:b/>
                <w:bCs/>
                <w:szCs w:val="22"/>
              </w:rPr>
              <w:t>Jednostka miary</w:t>
            </w:r>
          </w:p>
        </w:tc>
        <w:tc>
          <w:tcPr>
            <w:tcW w:w="59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rPr>
                <w:rFonts w:asciiTheme="minorHAnsi" w:hAnsiTheme="minorHAnsi"/>
                <w:b/>
                <w:szCs w:val="22"/>
              </w:rPr>
            </w:pPr>
            <w:r w:rsidRPr="000E0CEB">
              <w:rPr>
                <w:rFonts w:asciiTheme="minorHAnsi" w:hAnsiTheme="minorHAnsi"/>
                <w:b/>
                <w:bCs/>
                <w:szCs w:val="22"/>
              </w:rPr>
              <w:t>Definicja wskaźnika</w:t>
            </w:r>
            <w:r w:rsidRPr="000E0CEB">
              <w:rPr>
                <w:rStyle w:val="Zakotwiczenieprzypisudolnego"/>
                <w:rFonts w:asciiTheme="minorHAnsi" w:hAnsiTheme="minorHAnsi"/>
                <w:b/>
                <w:bCs/>
                <w:szCs w:val="22"/>
              </w:rPr>
              <w:footnoteReference w:id="3"/>
            </w:r>
          </w:p>
        </w:tc>
      </w:tr>
      <w:tr w:rsidR="00471B61" w:rsidRPr="000E0CEB">
        <w:trPr>
          <w:cantSplit/>
          <w:trHeight w:val="20"/>
          <w:jc w:val="center"/>
        </w:trPr>
        <w:tc>
          <w:tcPr>
            <w:tcW w:w="19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hAnsiTheme="minorHAnsi"/>
                <w:szCs w:val="22"/>
                <w:highlight w:val="yellow"/>
              </w:rPr>
            </w:pPr>
            <w:r w:rsidRPr="000E0CEB">
              <w:rPr>
                <w:rFonts w:asciiTheme="minorHAnsi" w:eastAsia="Calibri" w:hAnsiTheme="minorHAnsi" w:cs="Calibri"/>
                <w:szCs w:val="22"/>
              </w:rPr>
              <w:t>Liczba uczniów, którzy  nabyli kompetencje kluczowe po opuszczeniu programu</w:t>
            </w:r>
          </w:p>
        </w:tc>
        <w:tc>
          <w:tcPr>
            <w:tcW w:w="1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jc w:val="both"/>
              <w:rPr>
                <w:rFonts w:asciiTheme="minorHAnsi" w:hAnsiTheme="minorHAnsi"/>
                <w:szCs w:val="22"/>
                <w:highlight w:val="yellow"/>
              </w:rPr>
            </w:pPr>
            <w:r w:rsidRPr="000E0CEB">
              <w:rPr>
                <w:rFonts w:asciiTheme="minorHAnsi" w:hAnsiTheme="minorHAnsi"/>
                <w:szCs w:val="22"/>
              </w:rPr>
              <w:t>osoby</w:t>
            </w:r>
          </w:p>
        </w:tc>
        <w:tc>
          <w:tcPr>
            <w:tcW w:w="59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Liczba uczniów szkół (podstawowych, gimnazjalnych i ponadgimnazjalnych), którzy dzięki wsparciu z EFS nabyli</w:t>
            </w:r>
          </w:p>
          <w:p w:rsidR="00471B61" w:rsidRPr="000E0CEB" w:rsidRDefault="00477DF1">
            <w:pPr>
              <w:spacing w:before="0" w:line="240" w:lineRule="auto"/>
              <w:jc w:val="both"/>
              <w:rPr>
                <w:rFonts w:asciiTheme="minorHAnsi" w:eastAsia="Calibri" w:hAnsiTheme="minorHAnsi" w:cs="Arial"/>
                <w:i/>
                <w:iCs/>
                <w:szCs w:val="22"/>
              </w:rPr>
            </w:pPr>
            <w:r w:rsidRPr="000E0CEB">
              <w:rPr>
                <w:rFonts w:asciiTheme="minorHAnsi" w:eastAsia="Calibri" w:hAnsiTheme="minorHAnsi" w:cs="Arial"/>
                <w:szCs w:val="22"/>
              </w:rPr>
              <w:t xml:space="preserve">kompetencje kluczowe w zakresie określonym w </w:t>
            </w:r>
            <w:r w:rsidRPr="000E0CEB">
              <w:rPr>
                <w:rFonts w:asciiTheme="minorHAnsi" w:eastAsia="Calibri" w:hAnsiTheme="minorHAnsi" w:cs="Arial"/>
                <w:i/>
                <w:iCs/>
                <w:szCs w:val="22"/>
              </w:rPr>
              <w:t>Wytycznych w zakresie zasad realizacji przedsi</w:t>
            </w:r>
            <w:r w:rsidRPr="000E0CEB">
              <w:rPr>
                <w:rFonts w:asciiTheme="minorHAnsi" w:eastAsia="Calibri" w:hAnsiTheme="minorHAnsi" w:cs="Arial,Italic"/>
                <w:i/>
                <w:iCs/>
                <w:szCs w:val="22"/>
              </w:rPr>
              <w:t>ę</w:t>
            </w:r>
            <w:r w:rsidRPr="000E0CEB">
              <w:rPr>
                <w:rFonts w:asciiTheme="minorHAnsi" w:eastAsia="Calibri" w:hAnsiTheme="minorHAnsi" w:cs="Arial"/>
                <w:i/>
                <w:iCs/>
                <w:szCs w:val="22"/>
              </w:rPr>
              <w:t>wzi</w:t>
            </w:r>
            <w:r w:rsidRPr="000E0CEB">
              <w:rPr>
                <w:rFonts w:asciiTheme="minorHAnsi" w:eastAsia="Calibri" w:hAnsiTheme="minorHAnsi" w:cs="Arial,Italic"/>
                <w:i/>
                <w:iCs/>
                <w:szCs w:val="22"/>
              </w:rPr>
              <w:t xml:space="preserve">ęć </w:t>
            </w:r>
            <w:r w:rsidRPr="000E0CEB">
              <w:rPr>
                <w:rFonts w:asciiTheme="minorHAnsi" w:eastAsia="Calibri" w:hAnsiTheme="minorHAnsi" w:cs="Arial"/>
                <w:i/>
                <w:iCs/>
                <w:szCs w:val="22"/>
              </w:rPr>
              <w:t xml:space="preserve">z udziałem </w:t>
            </w:r>
            <w:r w:rsidRPr="000E0CEB">
              <w:rPr>
                <w:rFonts w:asciiTheme="minorHAnsi" w:eastAsia="Calibri" w:hAnsiTheme="minorHAnsi" w:cs="Arial,Italic"/>
                <w:i/>
                <w:iCs/>
                <w:szCs w:val="22"/>
              </w:rPr>
              <w:t>ś</w:t>
            </w:r>
            <w:r w:rsidRPr="000E0CEB">
              <w:rPr>
                <w:rFonts w:asciiTheme="minorHAnsi" w:eastAsia="Calibri" w:hAnsiTheme="minorHAnsi" w:cs="Arial"/>
                <w:i/>
                <w:iCs/>
                <w:szCs w:val="22"/>
              </w:rPr>
              <w:t>rodków Europejskiego Funduszu Społecznego na lata 2014-2020 w obszarze edukacji.</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Fakt nabycia kompetencji odbywa się w oparciu o jednolite kryteria wypracowane na poziomie krajowym w ramach następujących etapów:</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a) ETAP I – Zakres – zdefiniowanie w ramach wniosku o dofinansowanie lub w regulaminie konkursu grupy docelowej do</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objęcia wsparciem oraz wybranie obszaru interwencji EFS, który będzie poddany ocenie,</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b) ETAP II – Wzorzec – zdefiniowanie we wniosku o dofinansowanie lub w regulaminie konkursu standardu wymagań, tj.</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efektów uczenia się, które osiągną uczestnicy w wyniku przeprowadzonych działań projektowych,</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c) ETAP III – Ocena – przeprowadzenie weryfikacji na podstawie opracowanych kryteriów oceny po zakończeniu wsparcia udzielanego danej osobie,</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471B61" w:rsidRPr="000E0CEB" w:rsidRDefault="00477DF1">
            <w:pPr>
              <w:spacing w:before="0" w:line="240" w:lineRule="auto"/>
              <w:jc w:val="both"/>
              <w:rPr>
                <w:rFonts w:asciiTheme="minorHAnsi" w:hAnsiTheme="minorHAnsi"/>
                <w:szCs w:val="22"/>
                <w:highlight w:val="yellow"/>
              </w:rPr>
            </w:pPr>
            <w:r w:rsidRPr="000E0CEB">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tc>
      </w:tr>
      <w:tr w:rsidR="00471B61" w:rsidRPr="000E0CEB">
        <w:trPr>
          <w:cantSplit/>
          <w:trHeight w:val="20"/>
          <w:jc w:val="center"/>
        </w:trPr>
        <w:tc>
          <w:tcPr>
            <w:tcW w:w="19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hAnsiTheme="minorHAnsi" w:cs="Arial"/>
                <w:szCs w:val="22"/>
              </w:rPr>
              <w:lastRenderedPageBreak/>
              <w:t>Liczba nauczycieli, którzy uzyskali kwalifikacje lub nabyli kompetencje po opuszczeniu programu</w:t>
            </w:r>
          </w:p>
        </w:tc>
        <w:tc>
          <w:tcPr>
            <w:tcW w:w="1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jc w:val="both"/>
              <w:rPr>
                <w:rFonts w:asciiTheme="minorHAnsi" w:hAnsiTheme="minorHAnsi"/>
                <w:szCs w:val="22"/>
              </w:rPr>
            </w:pPr>
            <w:r w:rsidRPr="000E0CEB">
              <w:rPr>
                <w:rFonts w:asciiTheme="minorHAnsi" w:hAnsiTheme="minorHAnsi"/>
                <w:szCs w:val="22"/>
              </w:rPr>
              <w:t>osoby</w:t>
            </w:r>
          </w:p>
        </w:tc>
        <w:tc>
          <w:tcPr>
            <w:tcW w:w="59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Arial"/>
                <w:i/>
                <w:iCs/>
                <w:szCs w:val="22"/>
              </w:rPr>
            </w:pPr>
            <w:r w:rsidRPr="000E0CEB">
              <w:rPr>
                <w:rFonts w:asciiTheme="minorHAnsi" w:eastAsia="Calibri" w:hAnsiTheme="minorHAnsi" w:cs="Arial"/>
                <w:szCs w:val="22"/>
              </w:rPr>
              <w:t xml:space="preserve">Definicja kwalifikacji jest zgodna z definicją zawartą w części dot. wskaźników EFS monitorowanych we wszystkich priorytetach inwestycyjnych dla wskaźnika </w:t>
            </w:r>
            <w:r w:rsidRPr="000E0CEB">
              <w:rPr>
                <w:rFonts w:asciiTheme="minorHAnsi" w:eastAsia="Calibri" w:hAnsiTheme="minorHAnsi" w:cs="Arial"/>
                <w:i/>
                <w:iCs/>
                <w:szCs w:val="22"/>
              </w:rPr>
              <w:t>liczba osób, które uzyskały kwalifikacje po opuszczeniu programu.</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Fakt nabycia kompetencji będzie weryfikowany w ramach następujących etapów:</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a) ETAP I – Zakres – zdefiniowanie w ramach wniosku o dofinansowanie lub w regulaminie konkursu grupy docelowej do</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objęcia wsparciem oraz wybranie obszaru interwencji EFS, który będzie poddany ocenie,</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b) ETAP II – Wzorzec – zdefiniowanie we wniosku o dofinansowanie lub w regulaminie konkursu standardu wymagań,</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tj. efektów uczenia się, które osiągną uczestnicy w wyniku przeprowadzonych działań projektowych,</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c) ETAP III – Ocena – przeprowadzenie weryfikacji na podstawie opracowanych kryteriów oceny po zakończeniu wsparcia udzielanego danej osobie,</w:t>
            </w:r>
          </w:p>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tc>
      </w:tr>
      <w:tr w:rsidR="00471B61" w:rsidRPr="000E0CEB">
        <w:trPr>
          <w:cantSplit/>
          <w:trHeight w:val="20"/>
          <w:jc w:val="center"/>
        </w:trPr>
        <w:tc>
          <w:tcPr>
            <w:tcW w:w="19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40" w:after="40"/>
              <w:jc w:val="both"/>
              <w:rPr>
                <w:rFonts w:asciiTheme="minorHAnsi" w:hAnsiTheme="minorHAnsi" w:cs="Arial"/>
                <w:szCs w:val="22"/>
              </w:rPr>
            </w:pPr>
            <w:r w:rsidRPr="000E0CEB">
              <w:rPr>
                <w:rFonts w:asciiTheme="minorHAnsi" w:hAnsiTheme="minorHAnsi" w:cs="Arial"/>
                <w:szCs w:val="22"/>
              </w:rPr>
              <w:t>Liczba szkół, w których pracownie przedmiotowe wykorzystują doposażenie do prowadzenia zajęć edukacyjnych.</w:t>
            </w:r>
          </w:p>
          <w:p w:rsidR="00471B61" w:rsidRPr="000E0CEB" w:rsidRDefault="00471B61">
            <w:pPr>
              <w:spacing w:before="0" w:line="240" w:lineRule="auto"/>
              <w:jc w:val="both"/>
              <w:rPr>
                <w:rFonts w:asciiTheme="minorHAnsi" w:eastAsia="Calibri" w:hAnsiTheme="minorHAnsi" w:cs="Calibri"/>
                <w:szCs w:val="22"/>
              </w:rPr>
            </w:pPr>
          </w:p>
        </w:tc>
        <w:tc>
          <w:tcPr>
            <w:tcW w:w="1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jc w:val="both"/>
              <w:rPr>
                <w:rFonts w:asciiTheme="minorHAnsi" w:hAnsiTheme="minorHAnsi"/>
                <w:szCs w:val="22"/>
              </w:rPr>
            </w:pPr>
            <w:r w:rsidRPr="000E0CEB">
              <w:rPr>
                <w:rFonts w:asciiTheme="minorHAnsi" w:hAnsiTheme="minorHAnsi"/>
                <w:szCs w:val="22"/>
              </w:rPr>
              <w:t>sztuk</w:t>
            </w:r>
          </w:p>
        </w:tc>
        <w:tc>
          <w:tcPr>
            <w:tcW w:w="59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Liczba szkół dla dzieci i młodzieży, w których pracownie przedmiotowe wykorzystują doposażenie zakupione dzięki EFS do prowadzenia zajęć edukacyjnych z przedmiotów przyrodniczych: przyrody, biologii, chemii, geografii i fizyki.</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Wykorzystanie doposażenia jest weryfikowane na reprezentatywnej próbie szkół objętych wsparciem w ramach RPO do 4 tygodni po zakończeniu projektu w ramach wizyt monitoringowych przez pracowników Instytucji Zarządzającej RPO lub Instytucji Pośredniczącej.</w:t>
            </w:r>
          </w:p>
        </w:tc>
      </w:tr>
      <w:tr w:rsidR="00471B61" w:rsidRPr="000E0CEB">
        <w:trPr>
          <w:cantSplit/>
          <w:trHeight w:val="20"/>
          <w:jc w:val="center"/>
        </w:trPr>
        <w:tc>
          <w:tcPr>
            <w:tcW w:w="1977"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Calibri"/>
                <w:szCs w:val="22"/>
              </w:rPr>
            </w:pPr>
            <w:r w:rsidRPr="000E0CEB">
              <w:rPr>
                <w:rFonts w:asciiTheme="minorHAnsi" w:hAnsiTheme="minorHAnsi" w:cs="Arial"/>
                <w:szCs w:val="22"/>
              </w:rPr>
              <w:t>Liczba szkół i placówek systemu oświaty wykorzystujących sprzęt TIK do prowadzenia zajęć edukacyjnych.</w:t>
            </w:r>
          </w:p>
        </w:tc>
        <w:tc>
          <w:tcPr>
            <w:tcW w:w="1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jc w:val="both"/>
              <w:rPr>
                <w:rFonts w:asciiTheme="minorHAnsi" w:hAnsiTheme="minorHAnsi"/>
                <w:szCs w:val="22"/>
              </w:rPr>
            </w:pPr>
            <w:r w:rsidRPr="000E0CEB">
              <w:rPr>
                <w:rFonts w:asciiTheme="minorHAnsi" w:hAnsiTheme="minorHAnsi"/>
                <w:szCs w:val="22"/>
              </w:rPr>
              <w:t>sztuk</w:t>
            </w:r>
          </w:p>
        </w:tc>
        <w:tc>
          <w:tcPr>
            <w:tcW w:w="59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471B61" w:rsidRPr="000E0CEB" w:rsidRDefault="00477DF1">
            <w:pPr>
              <w:spacing w:before="0" w:line="240" w:lineRule="auto"/>
              <w:jc w:val="both"/>
              <w:rPr>
                <w:rFonts w:asciiTheme="minorHAnsi" w:eastAsia="Calibri" w:hAnsiTheme="minorHAnsi" w:cs="Arial"/>
                <w:szCs w:val="22"/>
              </w:rPr>
            </w:pPr>
            <w:r w:rsidRPr="000E0CEB">
              <w:rPr>
                <w:rFonts w:asciiTheme="minorHAnsi" w:eastAsia="Calibri" w:hAnsiTheme="minorHAnsi" w:cs="Arial"/>
                <w:szCs w:val="22"/>
              </w:rPr>
              <w:t xml:space="preserve">Liczba szkół dla dzieci i młodzieży oraz placówek systemu oświaty wykorzystujących do prowadzenia zajęć edukacyjnych sprzęt </w:t>
            </w:r>
            <w:r w:rsidR="00FB512D" w:rsidRPr="000E0CEB">
              <w:rPr>
                <w:rFonts w:asciiTheme="minorHAnsi" w:eastAsia="Calibri" w:hAnsiTheme="minorHAnsi" w:cs="Arial"/>
                <w:szCs w:val="22"/>
              </w:rPr>
              <w:t>technologii</w:t>
            </w:r>
            <w:r w:rsidRPr="000E0CEB">
              <w:rPr>
                <w:rFonts w:asciiTheme="minorHAnsi" w:eastAsia="Calibri" w:hAnsiTheme="minorHAnsi" w:cs="Arial"/>
                <w:szCs w:val="22"/>
              </w:rPr>
              <w:t xml:space="preserve"> informacyjno-edukacyjnych zakupiony dzięki EFS.</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szCs w:val="22"/>
              </w:rPr>
              <w:t>Wykorzystanie sprzętu TIK jest weryfikowane na reprezentatywnej próbie szkół/placówek objętych wsparciem w ramach RPO do 6 miesięcy po zakończeniu projektu w ramach wizyt monitoringowych przez pracowników Instytucji Zarządzającej RPO lub Instytucji Pośredniczącej.</w:t>
            </w:r>
          </w:p>
        </w:tc>
      </w:tr>
    </w:tbl>
    <w:p w:rsidR="00471B61" w:rsidRPr="000E0CEB" w:rsidRDefault="00471B61">
      <w:pPr>
        <w:pStyle w:val="Default"/>
        <w:rPr>
          <w:rFonts w:asciiTheme="minorHAnsi" w:eastAsia="Calibri" w:hAnsiTheme="minorHAnsi" w:cs="Calibri"/>
          <w:sz w:val="22"/>
          <w:szCs w:val="22"/>
          <w:lang w:eastAsia="en-US"/>
        </w:rPr>
      </w:pPr>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hAnsiTheme="minorHAnsi"/>
          <w:b/>
          <w:bCs/>
          <w:szCs w:val="22"/>
        </w:rPr>
        <w:t xml:space="preserve">Wnioskodawca zobowiązany jest do wybrania wszystkich wskaźników adekwatnych dla danego projektu z listy rozwijanej. Jednocześnie należy zaznaczyć, że konieczne jest wybranie co najmniej jednego spośród </w:t>
      </w:r>
      <w:r w:rsidRPr="000E0CEB">
        <w:rPr>
          <w:rFonts w:asciiTheme="minorHAnsi" w:hAnsiTheme="minorHAnsi"/>
          <w:b/>
          <w:bCs/>
          <w:szCs w:val="22"/>
        </w:rPr>
        <w:lastRenderedPageBreak/>
        <w:t xml:space="preserve">wskaźników programowych wymienionych w Regulaminie danego konkursu. </w:t>
      </w:r>
      <w:r w:rsidRPr="000E0CEB">
        <w:rPr>
          <w:rFonts w:asciiTheme="minorHAnsi" w:eastAsia="Calibri" w:hAnsiTheme="minorHAnsi" w:cs="Arial"/>
          <w:szCs w:val="22"/>
          <w:lang w:eastAsia="en-US"/>
        </w:rPr>
        <w:t xml:space="preserve"> Wybór co najmniej jednego wskaźnika produktu lub rezultatu jest niezbędny do zarejestrowania projektu w SL2014. </w:t>
      </w:r>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471B61" w:rsidRPr="000E0CEB" w:rsidRDefault="00477DF1">
      <w:pPr>
        <w:spacing w:before="120" w:after="12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Główną funkcją wskaźników jest zmierzenie, na ile cel główny projektu został </w:t>
      </w:r>
      <w:r w:rsidR="000C3423" w:rsidRPr="000E0CEB">
        <w:rPr>
          <w:rFonts w:asciiTheme="minorHAnsi" w:eastAsia="Calibri" w:hAnsiTheme="minorHAnsi" w:cs="Calibri"/>
          <w:szCs w:val="22"/>
          <w:lang w:eastAsia="en-US"/>
        </w:rPr>
        <w:t>zrealizowany</w:t>
      </w:r>
      <w:r w:rsidRPr="000E0CEB">
        <w:rPr>
          <w:rFonts w:asciiTheme="minorHAnsi" w:eastAsia="Calibri" w:hAnsiTheme="minorHAnsi" w:cs="Calibri"/>
          <w:szCs w:val="22"/>
          <w:lang w:eastAsia="en-US"/>
        </w:rPr>
        <w:t xml:space="preserve">,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0E0CEB">
        <w:rPr>
          <w:rFonts w:asciiTheme="minorHAnsi" w:eastAsia="Calibri" w:hAnsiTheme="minorHAnsi" w:cs="Calibri"/>
          <w:bCs/>
          <w:szCs w:val="22"/>
          <w:lang w:eastAsia="en-US"/>
        </w:rPr>
        <w:t>Do celu głównego  projektu głównego projektodawca powinien dobrać odpowiednie wskaźniki, produktu jak i rezultatu</w:t>
      </w:r>
      <w:r w:rsidRPr="000E0CEB">
        <w:rPr>
          <w:rFonts w:asciiTheme="minorHAnsi" w:eastAsia="Calibri" w:hAnsiTheme="minorHAnsi" w:cs="Calibri"/>
          <w:szCs w:val="22"/>
          <w:lang w:eastAsia="en-US"/>
        </w:rPr>
        <w:t xml:space="preserve"> bezpośredniego, co umożliwi osobie weryfikującej część sprawozdawczą wniosku o płatność monitorowanie realizacji celu projektu. </w:t>
      </w:r>
      <w:r w:rsidRPr="000E0CEB">
        <w:rPr>
          <w:rFonts w:asciiTheme="minorHAnsi" w:hAnsiTheme="minorHAnsi"/>
          <w:szCs w:val="22"/>
        </w:rPr>
        <w:t>Wskaźniki</w:t>
      </w:r>
      <w:r w:rsidRPr="000E0CEB">
        <w:rPr>
          <w:rFonts w:asciiTheme="minorHAnsi" w:eastAsia="Calibri" w:hAnsiTheme="minorHAnsi" w:cs="Calibri"/>
          <w:szCs w:val="22"/>
          <w:lang w:eastAsia="en-US"/>
        </w:rPr>
        <w:t xml:space="preserve"> określone </w:t>
      </w:r>
      <w:r w:rsidRPr="000E0CEB">
        <w:rPr>
          <w:rFonts w:asciiTheme="minorHAnsi" w:hAnsiTheme="minorHAnsi"/>
          <w:szCs w:val="22"/>
        </w:rPr>
        <w:t>w projekcie powinny spełniać warunki reguły CREAM, czyli</w:t>
      </w:r>
      <w:r w:rsidRPr="000E0CEB">
        <w:rPr>
          <w:rFonts w:asciiTheme="minorHAnsi" w:eastAsia="Calibri" w:hAnsiTheme="minorHAnsi" w:cs="Calibri"/>
          <w:szCs w:val="22"/>
          <w:lang w:eastAsia="en-US"/>
        </w:rPr>
        <w:t xml:space="preserve"> powinny być</w:t>
      </w:r>
      <w:r w:rsidRPr="000E0CEB">
        <w:rPr>
          <w:rFonts w:asciiTheme="minorHAnsi" w:hAnsiTheme="minorHAnsi"/>
          <w:szCs w:val="22"/>
        </w:rPr>
        <w:t>:</w:t>
      </w:r>
    </w:p>
    <w:p w:rsidR="00471B61" w:rsidRPr="000E0CEB" w:rsidRDefault="00477DF1">
      <w:pPr>
        <w:numPr>
          <w:ilvl w:val="0"/>
          <w:numId w:val="33"/>
        </w:numPr>
        <w:spacing w:before="0" w:line="276" w:lineRule="auto"/>
        <w:ind w:left="714" w:hanging="357"/>
        <w:jc w:val="both"/>
        <w:rPr>
          <w:rFonts w:asciiTheme="minorHAnsi" w:hAnsiTheme="minorHAnsi"/>
          <w:szCs w:val="22"/>
        </w:rPr>
      </w:pPr>
      <w:r w:rsidRPr="000E0CEB">
        <w:rPr>
          <w:rFonts w:asciiTheme="minorHAnsi" w:hAnsiTheme="minorHAnsi"/>
          <w:szCs w:val="22"/>
        </w:rPr>
        <w:t>Precyzyjne – jasno zdefiniowane i bezsporne (C - clear);</w:t>
      </w:r>
    </w:p>
    <w:p w:rsidR="00471B61" w:rsidRPr="000E0CEB" w:rsidRDefault="00477DF1">
      <w:pPr>
        <w:numPr>
          <w:ilvl w:val="0"/>
          <w:numId w:val="33"/>
        </w:numPr>
        <w:spacing w:before="0" w:line="276" w:lineRule="auto"/>
        <w:ind w:left="714" w:hanging="357"/>
        <w:jc w:val="both"/>
        <w:rPr>
          <w:rFonts w:asciiTheme="minorHAnsi" w:hAnsiTheme="minorHAnsi"/>
          <w:szCs w:val="22"/>
        </w:rPr>
      </w:pPr>
      <w:r w:rsidRPr="000E0CEB">
        <w:rPr>
          <w:rFonts w:asciiTheme="minorHAnsi" w:hAnsiTheme="minorHAnsi"/>
          <w:szCs w:val="22"/>
        </w:rPr>
        <w:t>Odpowiadające przedmiotowi pomiaru i jego oceny (R - relevant);</w:t>
      </w:r>
    </w:p>
    <w:p w:rsidR="00471B61" w:rsidRPr="000E0CEB" w:rsidRDefault="00477DF1">
      <w:pPr>
        <w:numPr>
          <w:ilvl w:val="0"/>
          <w:numId w:val="33"/>
        </w:numPr>
        <w:spacing w:before="0" w:line="276" w:lineRule="auto"/>
        <w:ind w:left="714" w:hanging="357"/>
        <w:jc w:val="both"/>
        <w:rPr>
          <w:rFonts w:asciiTheme="minorHAnsi" w:hAnsiTheme="minorHAnsi"/>
          <w:szCs w:val="22"/>
        </w:rPr>
      </w:pPr>
      <w:r w:rsidRPr="000E0CEB">
        <w:rPr>
          <w:rFonts w:asciiTheme="minorHAnsi" w:hAnsiTheme="minorHAnsi"/>
          <w:szCs w:val="22"/>
        </w:rPr>
        <w:t>Ekonomiczne – mogą być mierzone w ramach racjonalnych kosztów (E – economic);</w:t>
      </w:r>
    </w:p>
    <w:p w:rsidR="00471B61" w:rsidRPr="000E0CEB" w:rsidRDefault="00477DF1">
      <w:pPr>
        <w:numPr>
          <w:ilvl w:val="0"/>
          <w:numId w:val="33"/>
        </w:numPr>
        <w:spacing w:before="0" w:line="276" w:lineRule="auto"/>
        <w:ind w:left="714" w:hanging="357"/>
        <w:jc w:val="both"/>
        <w:rPr>
          <w:rFonts w:asciiTheme="minorHAnsi" w:hAnsiTheme="minorHAnsi"/>
          <w:szCs w:val="22"/>
        </w:rPr>
      </w:pPr>
      <w:r w:rsidRPr="000E0CEB">
        <w:rPr>
          <w:rFonts w:asciiTheme="minorHAnsi" w:hAnsiTheme="minorHAnsi"/>
          <w:szCs w:val="22"/>
        </w:rPr>
        <w:t>Adekwatne – dostarczające wystarczającej informacji nt. realizacji projektu (A – adequate);</w:t>
      </w:r>
    </w:p>
    <w:p w:rsidR="00471B61" w:rsidRPr="000E0CEB" w:rsidRDefault="00477DF1">
      <w:pPr>
        <w:numPr>
          <w:ilvl w:val="0"/>
          <w:numId w:val="33"/>
        </w:numPr>
        <w:spacing w:before="0" w:line="276" w:lineRule="auto"/>
        <w:ind w:left="714" w:hanging="357"/>
        <w:jc w:val="both"/>
        <w:rPr>
          <w:rFonts w:asciiTheme="minorHAnsi" w:hAnsiTheme="minorHAnsi"/>
          <w:szCs w:val="22"/>
        </w:rPr>
      </w:pPr>
      <w:r w:rsidRPr="000E0CEB">
        <w:rPr>
          <w:rFonts w:asciiTheme="minorHAnsi" w:hAnsiTheme="minorHAnsi"/>
          <w:szCs w:val="22"/>
        </w:rPr>
        <w:t>Mierzalne – łatwe do zmierzenia i podlegające niezależnej walidacji (M – monitorable).</w:t>
      </w:r>
    </w:p>
    <w:p w:rsidR="00471B61" w:rsidRPr="000E0CEB" w:rsidRDefault="00477DF1">
      <w:pPr>
        <w:spacing w:before="120" w:after="12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t>
      </w:r>
    </w:p>
    <w:p w:rsidR="00471B61" w:rsidRPr="000E0CEB" w:rsidRDefault="00477DF1">
      <w:pPr>
        <w:spacing w:before="120" w:after="12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celów projektu. Obowiązek ten nie dotyczy wskaźników produktu. Wartość bazowa określona dla wskaźników rezultatu nie jest wliczana do wartości docelowej. Wartości bazowe i docelowe wskaźników powinny odnosić się do założonych celów projektu i dotyczyć zakresu planowanego wsparcia projektowego. </w:t>
      </w:r>
    </w:p>
    <w:p w:rsidR="00471B61" w:rsidRPr="000E0CEB" w:rsidRDefault="00477DF1">
      <w:pPr>
        <w:spacing w:before="120" w:after="120" w:line="240" w:lineRule="auto"/>
        <w:jc w:val="both"/>
        <w:rPr>
          <w:rFonts w:asciiTheme="minorHAnsi" w:eastAsia="Calibri" w:hAnsiTheme="minorHAnsi" w:cs="Arial"/>
          <w:b/>
          <w:i/>
          <w:iCs/>
          <w:szCs w:val="22"/>
          <w:lang w:eastAsia="en-US"/>
        </w:rPr>
      </w:pPr>
      <w:r w:rsidRPr="000E0CEB">
        <w:rPr>
          <w:rFonts w:asciiTheme="minorHAnsi" w:eastAsia="Calibri" w:hAnsiTheme="minorHAnsi" w:cs="Calibri"/>
          <w:szCs w:val="22"/>
          <w:lang w:eastAsia="en-US"/>
        </w:rPr>
        <w:t xml:space="preserve">Ponadto w ramach wniosku o dofinansowanie Wnioskodawca obowiązany jest wybrać </w:t>
      </w:r>
      <w:r w:rsidRPr="000E0CEB">
        <w:rPr>
          <w:rFonts w:asciiTheme="minorHAnsi" w:eastAsia="Calibri" w:hAnsiTheme="minorHAnsi" w:cs="Calibri"/>
          <w:b/>
          <w:szCs w:val="22"/>
          <w:lang w:eastAsia="en-US"/>
        </w:rPr>
        <w:t>wszystkie adekwatne dla zaplanowanego w projekcie wsparcia</w:t>
      </w:r>
      <w:r w:rsidRPr="000E0CEB">
        <w:rPr>
          <w:rFonts w:asciiTheme="minorHAnsi" w:eastAsia="Calibri" w:hAnsiTheme="minorHAnsi" w:cs="Calibri"/>
          <w:szCs w:val="22"/>
          <w:lang w:eastAsia="en-US"/>
        </w:rPr>
        <w:t xml:space="preserve">, wspólne wskaźniki produktu z listy WLWK stanowiącej załącznik nr 2 do </w:t>
      </w:r>
      <w:r w:rsidRPr="000E0CEB">
        <w:rPr>
          <w:rFonts w:asciiTheme="minorHAnsi" w:eastAsia="Calibri" w:hAnsiTheme="minorHAnsi" w:cs="Arial"/>
          <w:iCs/>
          <w:szCs w:val="22"/>
          <w:lang w:eastAsia="en-US"/>
        </w:rPr>
        <w:t xml:space="preserve">Wytycznych w zakresie monitorowania </w:t>
      </w:r>
      <w:r w:rsidRPr="000E0CEB">
        <w:rPr>
          <w:rFonts w:asciiTheme="minorHAnsi" w:eastAsia="Calibri" w:hAnsiTheme="minorHAnsi" w:cs="Arial,Italic"/>
          <w:iCs/>
          <w:szCs w:val="22"/>
          <w:lang w:eastAsia="en-US"/>
        </w:rPr>
        <w:t>postępu rzeczowego realizacji programów operacyjnych na lata 2014</w:t>
      </w:r>
      <w:r w:rsidRPr="000E0CEB">
        <w:rPr>
          <w:rFonts w:asciiTheme="minorHAnsi" w:eastAsia="Calibri" w:hAnsiTheme="minorHAnsi" w:cs="Arial"/>
          <w:iCs/>
          <w:szCs w:val="22"/>
          <w:lang w:eastAsia="en-US"/>
        </w:rPr>
        <w:t>-2020</w:t>
      </w:r>
      <w:r w:rsidRPr="000E0CEB">
        <w:rPr>
          <w:rFonts w:asciiTheme="minorHAnsi" w:eastAsia="Calibri" w:hAnsiTheme="minorHAnsi" w:cs="Arial"/>
          <w:i/>
          <w:iCs/>
          <w:szCs w:val="22"/>
          <w:lang w:eastAsia="en-US"/>
        </w:rPr>
        <w:t>:</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530"/>
        <w:gridCol w:w="2611"/>
        <w:gridCol w:w="4064"/>
      </w:tblGrid>
      <w:tr w:rsidR="00471B61" w:rsidRPr="000E0CEB" w:rsidTr="0010724C">
        <w:trPr>
          <w:trHeight w:val="517"/>
        </w:trPr>
        <w:tc>
          <w:tcPr>
            <w:tcW w:w="5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b/>
                <w:szCs w:val="22"/>
                <w:lang w:eastAsia="en-US"/>
              </w:rPr>
            </w:pPr>
            <w:r w:rsidRPr="000E0CEB">
              <w:rPr>
                <w:rFonts w:asciiTheme="minorHAnsi" w:eastAsia="Calibri" w:hAnsiTheme="minorHAnsi"/>
                <w:b/>
                <w:szCs w:val="22"/>
                <w:lang w:eastAsia="en-US"/>
              </w:rPr>
              <w:t>Lp.</w:t>
            </w:r>
          </w:p>
        </w:tc>
        <w:tc>
          <w:tcPr>
            <w:tcW w:w="2530"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b/>
                <w:szCs w:val="22"/>
                <w:lang w:eastAsia="en-US"/>
              </w:rPr>
            </w:pPr>
            <w:r w:rsidRPr="000E0CEB">
              <w:rPr>
                <w:rFonts w:asciiTheme="minorHAnsi" w:eastAsia="Calibri" w:hAnsiTheme="minorHAnsi"/>
                <w:b/>
                <w:szCs w:val="22"/>
                <w:lang w:eastAsia="en-US"/>
              </w:rPr>
              <w:t>Nazwa wskaźnika</w:t>
            </w:r>
          </w:p>
        </w:tc>
        <w:tc>
          <w:tcPr>
            <w:tcW w:w="26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b/>
                <w:szCs w:val="22"/>
                <w:lang w:eastAsia="en-US"/>
              </w:rPr>
            </w:pPr>
            <w:r w:rsidRPr="000E0CEB">
              <w:rPr>
                <w:rFonts w:asciiTheme="minorHAnsi" w:eastAsia="Calibri" w:hAnsiTheme="minorHAnsi"/>
                <w:b/>
                <w:szCs w:val="22"/>
                <w:lang w:eastAsia="en-US"/>
              </w:rPr>
              <w:t>Jednostka miary</w:t>
            </w:r>
          </w:p>
        </w:tc>
        <w:tc>
          <w:tcPr>
            <w:tcW w:w="4064"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b/>
                <w:szCs w:val="22"/>
                <w:lang w:eastAsia="en-US"/>
              </w:rPr>
            </w:pPr>
            <w:r w:rsidRPr="000E0CEB">
              <w:rPr>
                <w:rFonts w:asciiTheme="minorHAnsi" w:eastAsia="Calibri" w:hAnsiTheme="minorHAnsi"/>
                <w:b/>
                <w:szCs w:val="22"/>
                <w:lang w:eastAsia="en-US"/>
              </w:rPr>
              <w:t>Definicja wskaźnika</w:t>
            </w:r>
            <w:r w:rsidRPr="000E0CEB">
              <w:rPr>
                <w:rStyle w:val="Zakotwiczenieprzypisudolnego"/>
                <w:rFonts w:asciiTheme="minorHAnsi" w:eastAsia="Calibri" w:hAnsiTheme="minorHAnsi"/>
                <w:b/>
                <w:szCs w:val="22"/>
                <w:lang w:eastAsia="en-US"/>
              </w:rPr>
              <w:footnoteReference w:id="4"/>
            </w:r>
          </w:p>
        </w:tc>
      </w:tr>
      <w:tr w:rsidR="00471B61" w:rsidRPr="000E0CEB" w:rsidTr="0010724C">
        <w:tc>
          <w:tcPr>
            <w:tcW w:w="5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1</w:t>
            </w:r>
          </w:p>
        </w:tc>
        <w:tc>
          <w:tcPr>
            <w:tcW w:w="2530"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Liczba obiektów dostosowanych do potrzeb osób z niepełnosprawnościami</w:t>
            </w:r>
          </w:p>
        </w:tc>
        <w:tc>
          <w:tcPr>
            <w:tcW w:w="26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Sztuki</w:t>
            </w:r>
          </w:p>
        </w:tc>
        <w:tc>
          <w:tcPr>
            <w:tcW w:w="4064" w:type="dxa"/>
            <w:shd w:val="clear" w:color="auto" w:fill="auto"/>
            <w:tcMar>
              <w:left w:w="108" w:type="dxa"/>
            </w:tcMar>
          </w:tcPr>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 xml:space="preserve">Jako obiekty budowlane należy rozumieć konstrukcje połączone z gruntem w </w:t>
            </w:r>
            <w:r w:rsidRPr="000E0CEB">
              <w:rPr>
                <w:rFonts w:asciiTheme="minorHAnsi" w:eastAsia="Calibri" w:hAnsiTheme="minorHAnsi"/>
                <w:szCs w:val="22"/>
                <w:lang w:eastAsia="en-US"/>
              </w:rPr>
              <w:lastRenderedPageBreak/>
              <w:t>sposób trwały, wykonane z materiałów budowlanych i elementów składowych, będące wynikiem prac budowlanych (wg. def. PKOB).</w:t>
            </w:r>
          </w:p>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Należy podać liczbę obiektów, a nie sprzętów, urządzeń itp., w które obiekty zaopatrzono.</w:t>
            </w:r>
          </w:p>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Jeśli instytucja, zakład itp. składa się z kilku obiektów, należy zliczyć wszystkie, które dostosowano do potrzeb osób niepełnosprawnych.</w:t>
            </w:r>
          </w:p>
        </w:tc>
      </w:tr>
      <w:tr w:rsidR="00471B61" w:rsidRPr="000E0CEB" w:rsidTr="0010724C">
        <w:tc>
          <w:tcPr>
            <w:tcW w:w="5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lastRenderedPageBreak/>
              <w:t>2</w:t>
            </w:r>
          </w:p>
        </w:tc>
        <w:tc>
          <w:tcPr>
            <w:tcW w:w="2530"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Liczba osób objętych szkoleniami / doradztwem w zakresie kompetencji cyfrowych</w:t>
            </w:r>
          </w:p>
        </w:tc>
        <w:tc>
          <w:tcPr>
            <w:tcW w:w="2611" w:type="dxa"/>
            <w:shd w:val="clear" w:color="auto" w:fill="auto"/>
            <w:tcMar>
              <w:left w:w="108" w:type="dxa"/>
            </w:tcMar>
            <w:vAlign w:val="cente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Osoby</w:t>
            </w:r>
          </w:p>
        </w:tc>
        <w:tc>
          <w:tcPr>
            <w:tcW w:w="4064" w:type="dxa"/>
            <w:shd w:val="clear" w:color="auto" w:fill="auto"/>
            <w:tcMar>
              <w:left w:w="108" w:type="dxa"/>
            </w:tcMar>
          </w:tcPr>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471B61" w:rsidRPr="000E0CEB" w:rsidTr="0010724C">
        <w:tc>
          <w:tcPr>
            <w:tcW w:w="511" w:type="dxa"/>
            <w:shd w:val="clear" w:color="auto" w:fill="auto"/>
            <w:tcMar>
              <w:left w:w="108" w:type="dxa"/>
            </w:tcMa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3</w:t>
            </w:r>
          </w:p>
        </w:tc>
        <w:tc>
          <w:tcPr>
            <w:tcW w:w="2530" w:type="dxa"/>
            <w:shd w:val="clear" w:color="auto" w:fill="auto"/>
            <w:tcMar>
              <w:left w:w="108" w:type="dxa"/>
            </w:tcMa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cs="Arial"/>
                <w:color w:val="000000"/>
                <w:szCs w:val="22"/>
                <w:lang w:eastAsia="en-US"/>
              </w:rPr>
              <w:t>Liczba projektów, w których sfinansowano koszty racjonalnych usprawnień dla osób z niepełnosprawnościami</w:t>
            </w:r>
          </w:p>
        </w:tc>
        <w:tc>
          <w:tcPr>
            <w:tcW w:w="2611" w:type="dxa"/>
            <w:shd w:val="clear" w:color="auto" w:fill="auto"/>
            <w:tcMar>
              <w:left w:w="108" w:type="dxa"/>
            </w:tcMar>
          </w:tcPr>
          <w:p w:rsidR="00471B61" w:rsidRPr="000E0CEB" w:rsidRDefault="00477DF1" w:rsidP="0010724C">
            <w:pPr>
              <w:spacing w:before="0" w:line="240" w:lineRule="auto"/>
              <w:rPr>
                <w:rFonts w:asciiTheme="minorHAnsi" w:eastAsia="Calibri" w:hAnsiTheme="minorHAnsi"/>
                <w:szCs w:val="22"/>
                <w:lang w:eastAsia="en-US"/>
              </w:rPr>
            </w:pPr>
            <w:r w:rsidRPr="000E0CEB">
              <w:rPr>
                <w:rFonts w:asciiTheme="minorHAnsi" w:eastAsia="Calibri" w:hAnsiTheme="minorHAnsi"/>
                <w:szCs w:val="22"/>
                <w:lang w:eastAsia="en-US"/>
              </w:rPr>
              <w:t xml:space="preserve">Sztuki </w:t>
            </w:r>
          </w:p>
        </w:tc>
        <w:tc>
          <w:tcPr>
            <w:tcW w:w="4064" w:type="dxa"/>
            <w:shd w:val="clear" w:color="auto" w:fill="auto"/>
            <w:tcMar>
              <w:left w:w="108" w:type="dxa"/>
            </w:tcMar>
          </w:tcPr>
          <w:p w:rsidR="00471B61" w:rsidRPr="000E0CEB" w:rsidRDefault="00477DF1" w:rsidP="0010724C">
            <w:pPr>
              <w:spacing w:before="0" w:line="240" w:lineRule="auto"/>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w:t>
            </w:r>
            <w:r w:rsidRPr="000E0CEB">
              <w:rPr>
                <w:rFonts w:asciiTheme="minorHAnsi" w:eastAsia="Calibri" w:hAnsiTheme="minorHAnsi" w:cs="Arial"/>
                <w:color w:val="000000"/>
                <w:szCs w:val="22"/>
                <w:lang w:eastAsia="en-US"/>
              </w:rPr>
              <w:lastRenderedPageBreak/>
              <w:t xml:space="preserve">z racjonalnymi usprawnieniami. </w:t>
            </w:r>
          </w:p>
          <w:p w:rsidR="00471B61" w:rsidRPr="000E0CEB" w:rsidRDefault="00477DF1" w:rsidP="0010724C">
            <w:pPr>
              <w:spacing w:before="0" w:line="240" w:lineRule="auto"/>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71B61" w:rsidRPr="000E0CEB" w:rsidRDefault="00477DF1" w:rsidP="0010724C">
            <w:pPr>
              <w:spacing w:before="0" w:line="240" w:lineRule="auto"/>
              <w:jc w:val="both"/>
              <w:rPr>
                <w:rFonts w:asciiTheme="minorHAnsi" w:eastAsia="Calibri" w:hAnsiTheme="minorHAnsi"/>
                <w:szCs w:val="22"/>
                <w:lang w:eastAsia="en-US"/>
              </w:rPr>
            </w:pPr>
            <w:r w:rsidRPr="000E0CEB">
              <w:rPr>
                <w:rFonts w:asciiTheme="minorHAnsi" w:eastAsia="Calibri" w:hAnsiTheme="minorHAnsi" w:cs="Arial"/>
                <w:color w:val="000000"/>
                <w:szCs w:val="22"/>
                <w:lang w:eastAsia="en-US"/>
              </w:rPr>
              <w:t xml:space="preserve">Definicja na podstawie </w:t>
            </w:r>
            <w:r w:rsidRPr="000E0CEB">
              <w:rPr>
                <w:rFonts w:asciiTheme="minorHAnsi" w:eastAsia="Calibr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0E0CEB">
              <w:rPr>
                <w:rFonts w:asciiTheme="minorHAnsi" w:eastAsia="Calibri" w:hAnsiTheme="minorHAnsi" w:cs="Arial"/>
                <w:color w:val="000000"/>
                <w:szCs w:val="22"/>
                <w:lang w:eastAsia="en-US"/>
              </w:rPr>
              <w:t>.</w:t>
            </w:r>
          </w:p>
        </w:tc>
      </w:tr>
    </w:tbl>
    <w:p w:rsidR="00471B61" w:rsidRPr="000E0CEB" w:rsidRDefault="00471B61">
      <w:pPr>
        <w:spacing w:before="0" w:line="240" w:lineRule="auto"/>
        <w:jc w:val="both"/>
        <w:rPr>
          <w:rFonts w:asciiTheme="minorHAnsi" w:eastAsia="Calibri" w:hAnsiTheme="minorHAnsi" w:cs="Arial"/>
          <w:szCs w:val="22"/>
          <w:lang w:eastAsia="en-US"/>
        </w:rPr>
      </w:pPr>
    </w:p>
    <w:p w:rsidR="00471B61" w:rsidRPr="000E0CEB" w:rsidRDefault="00477DF1" w:rsidP="000E4F93">
      <w:pPr>
        <w:spacing w:before="0" w:line="240" w:lineRule="auto"/>
        <w:jc w:val="both"/>
        <w:rPr>
          <w:rFonts w:asciiTheme="minorHAnsi" w:eastAsia="Calibri" w:hAnsiTheme="minorHAnsi" w:cs="Calibri"/>
          <w:szCs w:val="22"/>
          <w:lang w:eastAsia="en-US"/>
        </w:rPr>
      </w:pPr>
      <w:r w:rsidRPr="000E0CEB">
        <w:rPr>
          <w:rFonts w:asciiTheme="minorHAnsi" w:eastAsia="Calibri" w:hAnsiTheme="minorHAnsi" w:cs="Calibri"/>
          <w:szCs w:val="22"/>
          <w:lang w:eastAsia="en-US"/>
        </w:rPr>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B63284" w:rsidRPr="000E0CEB" w:rsidRDefault="004D576A">
      <w:pPr>
        <w:pStyle w:val="Nagwek2"/>
        <w:numPr>
          <w:ilvl w:val="3"/>
          <w:numId w:val="24"/>
        </w:numPr>
        <w:ind w:left="284" w:hanging="284"/>
      </w:pPr>
      <w:bookmarkStart w:id="65" w:name="_Toc430826827"/>
      <w:bookmarkStart w:id="66" w:name="_Toc426632923"/>
      <w:bookmarkStart w:id="67" w:name="_Toc438125949"/>
      <w:bookmarkStart w:id="68" w:name="_Toc441241686"/>
      <w:bookmarkEnd w:id="65"/>
      <w:bookmarkEnd w:id="66"/>
      <w:r w:rsidRPr="000E0CEB">
        <w:t>Wymagania w zakresie realizacji projektu partnerskiego</w:t>
      </w:r>
      <w:bookmarkEnd w:id="67"/>
      <w:bookmarkEnd w:id="68"/>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Projekt może być realizowany w partnerstwie. Partnerzy w projekcie to podmioty wnoszące do projektu zasoby ludzkie, organizacyjne, techniczne lub finansowe, realizujące wspólnie projekt.</w:t>
      </w:r>
      <w:r w:rsidRPr="000E0CEB">
        <w:rPr>
          <w:rFonts w:asciiTheme="minorHAnsi" w:eastAsia="Calibri" w:hAnsiTheme="minorHAnsi"/>
          <w:szCs w:val="22"/>
        </w:rPr>
        <w:t xml:space="preserve"> </w:t>
      </w:r>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hAnsiTheme="minorHAnsi"/>
          <w:szCs w:val="22"/>
        </w:rPr>
        <w:t>Beneficjent projektu, będący stroną umowy o dofinansowanie, pełni rolę partnera wiodącego.</w:t>
      </w:r>
      <w:r w:rsidRPr="000E0CEB">
        <w:rPr>
          <w:rFonts w:asciiTheme="minorHAnsi" w:eastAsia="Calibri" w:hAnsiTheme="minorHAnsi"/>
          <w:szCs w:val="22"/>
          <w:lang w:eastAsia="en-US"/>
        </w:rPr>
        <w:t xml:space="preserve"> Niezależnie od podziału zadań i obowiązków w ramach partnerstwa, odpowiedzialność za prawidłową realizację projektu ponosi Beneficjent, jako strona umowy o dofinansowanie. </w:t>
      </w:r>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poszczególnych członków partnerstwa. </w:t>
      </w:r>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eastAsia="Calibri" w:hAnsiTheme="minorHAnsi"/>
          <w:szCs w:val="22"/>
          <w:lang w:eastAsia="en-US"/>
        </w:rPr>
        <w:t>Projekt partnerski jest realizowany na podstawie decyzji lub umowy o dofinansowanie projektu zawartej z Beneficjentem (</w:t>
      </w:r>
      <w:r w:rsidRPr="000E0CEB">
        <w:rPr>
          <w:rFonts w:asciiTheme="minorHAnsi" w:eastAsia="Calibri" w:hAnsiTheme="minorHAnsi"/>
          <w:szCs w:val="22"/>
        </w:rPr>
        <w:t>partnerem wiodącym</w:t>
      </w:r>
      <w:r w:rsidRPr="000E0CEB">
        <w:rPr>
          <w:rFonts w:asciiTheme="minorHAnsi" w:eastAsia="Calibri" w:hAnsiTheme="minorHAnsi"/>
          <w:szCs w:val="22"/>
          <w:lang w:eastAsia="en-US"/>
        </w:rPr>
        <w:t>) działającym w imieniu i na rzecz partnerów w zakresie określonym umową partnerską, Wnioskodawca musi posiadać pełnomocnictwo do podpisania umowy o dofinansowanie projektu w imieniu i na rzecz partnerów.</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W przypadku projektów partnerskich realizowanych na podstawie umowy partnerskiej, podmiot, o którym mowa w art. 3 ust. 1 ustawy z dnia 29 stycznia 2004 r</w:t>
      </w:r>
      <w:r w:rsidRPr="000E0CEB">
        <w:rPr>
          <w:rFonts w:asciiTheme="minorHAnsi" w:eastAsia="Calibri" w:hAnsiTheme="minorHAnsi"/>
          <w:i/>
          <w:szCs w:val="22"/>
        </w:rPr>
        <w:t xml:space="preserve">. </w:t>
      </w:r>
      <w:r w:rsidRPr="000E0CEB">
        <w:rPr>
          <w:rFonts w:asciiTheme="minorHAnsi" w:eastAsia="Calibri" w:hAnsiTheme="minorHAnsi"/>
          <w:szCs w:val="22"/>
        </w:rPr>
        <w:t>Prawo zamówień publicznych</w:t>
      </w:r>
      <w:r w:rsidRPr="000E0CEB">
        <w:rPr>
          <w:rFonts w:asciiTheme="minorHAnsi" w:eastAsia="Calibri" w:hAnsiTheme="minorHAnsi"/>
          <w:i/>
          <w:szCs w:val="22"/>
        </w:rPr>
        <w:br/>
        <w:t xml:space="preserve"> </w:t>
      </w:r>
      <w:r w:rsidRPr="000E0CEB">
        <w:rPr>
          <w:rFonts w:asciiTheme="minorHAnsi" w:eastAsia="Calibri" w:hAnsiTheme="minorHAnsi"/>
          <w:szCs w:val="22"/>
        </w:rPr>
        <w:t xml:space="preserve">(t.j. Dz. U. z 2010 r. Nr 113, poz. 759, z późn. zm.), ubiegający się o dofinansowanie dokonuje wyboru partnerów spoza sektora finansów publicznych z zachowaniem zasady przejrzystości i równego traktowania podmiotów. </w:t>
      </w:r>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eastAsia="Calibri" w:hAnsiTheme="minorHAnsi"/>
          <w:szCs w:val="22"/>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w:t>
      </w:r>
      <w:r w:rsidRPr="000E0CEB">
        <w:rPr>
          <w:rFonts w:asciiTheme="minorHAnsi" w:eastAsia="Calibri" w:hAnsiTheme="minorHAnsi"/>
          <w:szCs w:val="22"/>
        </w:rPr>
        <w:lastRenderedPageBreak/>
        <w:t xml:space="preserve">reprezentującego partnerstwo, który ostatecznie jest odpowiedzialny za realizację całości projektu oraz jego rozliczenie. </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Udział partnerów i wniesienie zasobów ludzkich, organizacyjnych, 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B63284" w:rsidRPr="000E0CEB" w:rsidRDefault="004D576A">
      <w:pPr>
        <w:pStyle w:val="Nagwek2"/>
        <w:numPr>
          <w:ilvl w:val="3"/>
          <w:numId w:val="24"/>
        </w:numPr>
        <w:ind w:left="284" w:hanging="284"/>
      </w:pPr>
      <w:bookmarkStart w:id="69" w:name="_Toc430826828"/>
      <w:bookmarkStart w:id="70" w:name="_Toc426632924"/>
      <w:bookmarkStart w:id="71" w:name="_Toc438125950"/>
      <w:bookmarkStart w:id="72" w:name="_Toc441241687"/>
      <w:bookmarkEnd w:id="69"/>
      <w:bookmarkEnd w:id="70"/>
      <w:r w:rsidRPr="000E0CEB">
        <w:t>Zlecanie usług merytorycznych innym podmiotom</w:t>
      </w:r>
      <w:bookmarkEnd w:id="71"/>
      <w:bookmarkEnd w:id="72"/>
    </w:p>
    <w:p w:rsidR="00B63284" w:rsidRPr="000E0CEB" w:rsidRDefault="00477DF1">
      <w:pPr>
        <w:spacing w:before="120" w:after="120" w:line="240" w:lineRule="auto"/>
        <w:jc w:val="both"/>
        <w:rPr>
          <w:rFonts w:asciiTheme="minorHAnsi" w:hAnsiTheme="minorHAnsi"/>
          <w:color w:val="000000"/>
          <w:szCs w:val="22"/>
        </w:rPr>
      </w:pPr>
      <w:r w:rsidRPr="000E0CEB">
        <w:rPr>
          <w:rFonts w:asciiTheme="minorHAnsi" w:hAnsiTheme="minorHAnsi"/>
          <w:color w:val="000000"/>
          <w:szCs w:val="22"/>
        </w:rPr>
        <w:t>Wydatki związane ze zlecaniem usług merytorycznych w ramach projektu mogą stanowić wydatki kwalifikowalne pod warunkiem, że są wskazane w zatwierdzonym wniosku o dofinansowanie.</w:t>
      </w:r>
    </w:p>
    <w:p w:rsidR="00B63284" w:rsidRPr="000E0CEB" w:rsidRDefault="00477DF1">
      <w:pPr>
        <w:spacing w:before="120" w:after="120" w:line="240" w:lineRule="auto"/>
        <w:jc w:val="both"/>
        <w:rPr>
          <w:rFonts w:asciiTheme="minorHAnsi" w:hAnsiTheme="minorHAnsi"/>
          <w:b/>
          <w:color w:val="000000"/>
          <w:szCs w:val="22"/>
        </w:rPr>
      </w:pPr>
      <w:r w:rsidRPr="000E0CEB">
        <w:rPr>
          <w:rFonts w:asciiTheme="minorHAnsi" w:hAnsiTheme="minorHAnsi"/>
          <w:b/>
          <w:color w:val="000000"/>
          <w:szCs w:val="22"/>
        </w:rPr>
        <w:t>Wartość wydatków związanych ze zlecaniem usług merytorycznych w ramach projektu nie przekracza 30% wartości projektu.</w:t>
      </w:r>
    </w:p>
    <w:p w:rsidR="00B63284" w:rsidRPr="000E0CEB" w:rsidRDefault="00477DF1">
      <w:pPr>
        <w:spacing w:before="120" w:after="120" w:line="240" w:lineRule="auto"/>
        <w:jc w:val="both"/>
        <w:rPr>
          <w:rFonts w:asciiTheme="minorHAnsi" w:hAnsiTheme="minorHAnsi"/>
          <w:color w:val="000000"/>
          <w:szCs w:val="22"/>
        </w:rPr>
      </w:pPr>
      <w:r w:rsidRPr="000E0CEB">
        <w:rPr>
          <w:rFonts w:asciiTheme="minorHAnsi" w:hAnsiTheme="minorHAnsi"/>
          <w:color w:val="000000"/>
          <w:szCs w:val="22"/>
        </w:rPr>
        <w:t>Nie jest kwalifikowalne zlecenie usług merytorycznych przez Beneficjenta partnerom projektu i odwrotnie.</w:t>
      </w:r>
    </w:p>
    <w:p w:rsidR="00B63284" w:rsidRPr="000E0CEB" w:rsidRDefault="00477DF1">
      <w:pPr>
        <w:spacing w:before="120" w:after="120" w:line="240" w:lineRule="auto"/>
        <w:jc w:val="both"/>
        <w:rPr>
          <w:rFonts w:asciiTheme="minorHAnsi" w:hAnsiTheme="minorHAnsi"/>
          <w:color w:val="000000"/>
          <w:szCs w:val="22"/>
        </w:rPr>
      </w:pPr>
      <w:r w:rsidRPr="000E0CEB">
        <w:rPr>
          <w:rFonts w:asciiTheme="minorHAnsi" w:hAnsiTheme="minorHAnsi"/>
          <w:color w:val="000000"/>
          <w:szCs w:val="22"/>
        </w:rPr>
        <w:t>Przy zlecaniu usług merytorycznych należy stosować zasady określone we wzorze umowy o dofinansowanie.</w:t>
      </w:r>
    </w:p>
    <w:p w:rsidR="00B63284" w:rsidRPr="000E0CEB" w:rsidRDefault="00477DF1">
      <w:pPr>
        <w:autoSpaceDE w:val="0"/>
        <w:autoSpaceDN w:val="0"/>
        <w:adjustRightInd w:val="0"/>
        <w:spacing w:before="0" w:line="240" w:lineRule="auto"/>
        <w:jc w:val="both"/>
        <w:rPr>
          <w:rFonts w:asciiTheme="minorHAnsi" w:hAnsiTheme="minorHAnsi"/>
          <w:color w:val="000000"/>
          <w:szCs w:val="22"/>
        </w:rPr>
      </w:pPr>
      <w:r w:rsidRPr="000E0CEB">
        <w:rPr>
          <w:rFonts w:asciiTheme="minorHAnsi" w:hAnsiTheme="minorHAnsi"/>
          <w:color w:val="000000"/>
          <w:szCs w:val="22"/>
        </w:rPr>
        <w:t xml:space="preserve">Przy określonych wartościach zamówienia Beneficjent udziela zamówień w ramach projektu zgodnie z ustawą prawo zamówień publicznych (Dz. U. z 2013 r. poz. 907, z późn. zm.) albo zasadą konkurencyjności szczegółowo opisaną w Wytycznych w zakresie kwalifikowalności wydatków w ramach Europejskiego Funduszu Rozwoju Regionalnego, Europejskiego Funduszu Społecznego oraz Funduszu Spójności na lata 2014-2020 oraz w umowie o dofinansowanie projektu. W przypadku, gdy Wnioskodawca przed podpisaniem umowy o dofinansowanie dokonał wyboru wykonawcy zamówienia zgodnie z ustawą prawo zamówień publicznych albo zasadą konkurencyjności przed podpisaniem umowy o dofinansowanie, może zostać zobowiązany do przesłania dokumentów dotyczących zamówienia w celu weryfikacji spełnienia warunków kwalifikowalności określonych w umowie o dofinansowanie. </w:t>
      </w:r>
    </w:p>
    <w:p w:rsidR="00B63284" w:rsidRPr="000E0CEB" w:rsidRDefault="004D576A">
      <w:pPr>
        <w:pStyle w:val="Nagwek2"/>
        <w:numPr>
          <w:ilvl w:val="3"/>
          <w:numId w:val="24"/>
        </w:numPr>
        <w:ind w:left="284" w:hanging="284"/>
      </w:pPr>
      <w:bookmarkStart w:id="73" w:name="_Toc430826829"/>
      <w:bookmarkStart w:id="74" w:name="_Toc426632925"/>
      <w:bookmarkStart w:id="75" w:name="_Toc438125951"/>
      <w:bookmarkStart w:id="76" w:name="_Toc441241688"/>
      <w:bookmarkEnd w:id="73"/>
      <w:bookmarkEnd w:id="74"/>
      <w:r w:rsidRPr="000E0CEB">
        <w:t>Umowa o dofinansowanie projektu</w:t>
      </w:r>
      <w:bookmarkEnd w:id="75"/>
      <w:bookmarkEnd w:id="76"/>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Wnioskodawca ubiegający się o dofinansowanie w przypadku wyłonienia jego projektu do dofinansowania podpisuje z </w:t>
      </w:r>
      <w:r w:rsidRPr="000E0CEB">
        <w:rPr>
          <w:rFonts w:asciiTheme="minorHAnsi" w:hAnsiTheme="minorHAnsi"/>
          <w:b/>
          <w:szCs w:val="22"/>
        </w:rPr>
        <w:t>IZ RPO WD</w:t>
      </w:r>
      <w:r w:rsidRPr="000E0CEB">
        <w:rPr>
          <w:rFonts w:asciiTheme="minorHAnsi" w:hAnsiTheme="minorHAnsi"/>
          <w:szCs w:val="22"/>
        </w:rPr>
        <w:t xml:space="preserve"> umowę o dofinansowanie projektu, której wzór stanowi załącznik nr 10, lub załącznik nr 11 dla projektów zakładających uproszczony sposób rozliczania bądź załącznik nr 12 w przypadku projektów realizowanych przez państwowe jednostki budżetowe.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Umowa o dofinansowanie projektu może być zawarta pod warunkiem otrzymania przez  </w:t>
      </w:r>
      <w:r w:rsidRPr="000E0CEB">
        <w:rPr>
          <w:rFonts w:asciiTheme="minorHAnsi" w:hAnsiTheme="minorHAnsi"/>
          <w:b/>
          <w:szCs w:val="22"/>
        </w:rPr>
        <w:t>IZ RPO WD</w:t>
      </w:r>
      <w:r w:rsidRPr="000E0CEB">
        <w:rPr>
          <w:rFonts w:asciiTheme="minorHAnsi" w:hAnsiTheme="minorHAnsi"/>
          <w:szCs w:val="22"/>
        </w:rPr>
        <w:t xml:space="preserve"> pisemnej informacji, że dany Wnioskodawca nie podlega wykluczeniu, o którym mowa w art. 207 ustawy z dnia 27 sierpnia 2009 r. o finansach publicznych (Dz. U. z 2013 r. poz. 885, z późn. zm.) i nie figuruje w rejestrze podmiotów wykluczonych</w:t>
      </w:r>
      <w:r w:rsidRPr="000E0CEB">
        <w:rPr>
          <w:rFonts w:asciiTheme="minorHAnsi" w:hAnsiTheme="minorHAnsi"/>
          <w:i/>
          <w:szCs w:val="22"/>
        </w:rPr>
        <w:t xml:space="preserve"> </w:t>
      </w:r>
      <w:r w:rsidRPr="000E0CEB">
        <w:rPr>
          <w:rFonts w:asciiTheme="minorHAnsi" w:hAnsiTheme="minorHAnsi"/>
          <w:szCs w:val="22"/>
        </w:rPr>
        <w:t xml:space="preserve">prowadzonym przez Ministra Finansów. Warunek dotyczy również partnerów.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Beneficjent podpisując umowę o dofinansowanie zapewnia, że wyznaczone przez niego oraz przez partnera/partnerów (o ile występuje partner/występują partnerzy) osoby będą wykorzystywały </w:t>
      </w:r>
      <w:r w:rsidRPr="000E0CEB">
        <w:rPr>
          <w:rFonts w:asciiTheme="minorHAnsi" w:hAnsiTheme="minorHAnsi"/>
          <w:b/>
          <w:szCs w:val="22"/>
        </w:rPr>
        <w:t>profil zaufany ePUAP lub bezpieczny podpis elektroniczny</w:t>
      </w:r>
      <w:r w:rsidRPr="000E0CEB">
        <w:rPr>
          <w:rFonts w:asciiTheme="minorHAnsi" w:hAnsiTheme="minorHAnsi"/>
          <w:szCs w:val="22"/>
        </w:rPr>
        <w:t xml:space="preserve"> weryfikowany za pomocą ważnego kwalifikowanego certyfikatu w ramach uwierzytelnienia czynności dokonywanych w ramach SL2014. Podpisując umowę osoba/y uprawniona/e do reprezentowania Beneficjenta składa/ją </w:t>
      </w:r>
      <w:r w:rsidRPr="000E0CEB">
        <w:rPr>
          <w:rFonts w:asciiTheme="minorHAnsi" w:hAnsiTheme="minorHAnsi"/>
          <w:b/>
          <w:szCs w:val="22"/>
        </w:rPr>
        <w:t>wniosek/ki o nadanie dostępu dla osoby/ób uprawnionej/nych w ramach SL2014</w:t>
      </w:r>
      <w:r w:rsidRPr="000E0CEB">
        <w:rPr>
          <w:rFonts w:asciiTheme="minorHAnsi" w:hAnsiTheme="minorHAnsi"/>
          <w:szCs w:val="22"/>
        </w:rPr>
        <w:t>.</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 xml:space="preserve">Przed podpisaniem umowy o dofinansowanie </w:t>
      </w:r>
      <w:r w:rsidRPr="000E0CEB">
        <w:rPr>
          <w:rFonts w:asciiTheme="minorHAnsi" w:hAnsiTheme="minorHAnsi"/>
          <w:b/>
          <w:szCs w:val="22"/>
        </w:rPr>
        <w:t>IZ RPO WD będzie wymagać złożenia załączników wymienionych we wzorze umowy</w:t>
      </w:r>
      <w:r w:rsidRPr="000E0CEB">
        <w:rPr>
          <w:rFonts w:asciiTheme="minorHAnsi" w:hAnsiTheme="minorHAnsi"/>
          <w:szCs w:val="22"/>
        </w:rPr>
        <w:t xml:space="preserve"> o dofinansowanie projektu </w:t>
      </w:r>
      <w:r w:rsidRPr="000E0CEB">
        <w:rPr>
          <w:rFonts w:asciiTheme="minorHAnsi" w:hAnsiTheme="minorHAnsi"/>
          <w:b/>
          <w:szCs w:val="22"/>
        </w:rPr>
        <w:t>oraz dodatkowo</w:t>
      </w:r>
      <w:r w:rsidRPr="000E0CEB">
        <w:rPr>
          <w:rFonts w:asciiTheme="minorHAnsi" w:hAnsiTheme="minorHAnsi"/>
          <w:szCs w:val="22"/>
        </w:rPr>
        <w:t>:</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kopii statutu lub innego dokumentu stanowiącego podstawę prawną działalności Wnioskodawcy potwierdzonej za zgodność z oryginałem,</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 xml:space="preserve">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t>
      </w:r>
      <w:r w:rsidRPr="000E0CEB">
        <w:rPr>
          <w:rFonts w:asciiTheme="minorHAnsi" w:hAnsiTheme="minorHAnsi"/>
          <w:szCs w:val="22"/>
        </w:rPr>
        <w:lastRenderedPageBreak/>
        <w:t>właściwego rejestru (np. ewidencja działalności gospodarczej) lub innego dokumentu potwierdzającego formę i charakter prowadzonej działalności wraz z danymi osób upoważnionych do podejmowania decyzji wiążących w imieniu Wnioskodawcy,</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są co najmniej 2 osoby),</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wniosku/ków o nadanie dostępu dla osoby/ób uprawnionej/nych w ramach SL2014, zgodnie z </w:t>
      </w:r>
      <w:r w:rsidRPr="000E0CEB">
        <w:rPr>
          <w:rFonts w:asciiTheme="minorHAnsi" w:hAnsiTheme="minorHAnsi" w:cs="MS Sans Serif"/>
          <w:szCs w:val="22"/>
        </w:rPr>
        <w:t xml:space="preserve">załącznikiem nr 5 do </w:t>
      </w:r>
      <w:r w:rsidRPr="000E0CEB">
        <w:rPr>
          <w:rFonts w:asciiTheme="minorHAnsi" w:hAnsiTheme="minorHAnsi" w:cs="Calibri"/>
          <w:szCs w:val="22"/>
        </w:rPr>
        <w:t>Wytycznych Ministra Infrastruktury i Rozwoju w zakresie warunków gromadzenia i przekazywania danych w postaci elektronicznej na lata 2014-2020,</w:t>
      </w:r>
    </w:p>
    <w:p w:rsidR="00AA4FE7" w:rsidRPr="000E0CEB" w:rsidRDefault="00477DF1" w:rsidP="00AA4FE7">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informacji o rachunku bankowym wyodrębnionym dla projektu w zakresie: nazwy właściciela rachunku, nazwy i adresu banku, numeru rachunku,</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oświadczenia dotyczącego stosowania przepisów PZP, zgodnie z załącznikiem nr 14 do regulaminu,</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oświadczenia dotyczącego wydatków inwestycyjnych, zgodnie z załącznikiem nr 15 do regulaminu</w:t>
      </w:r>
      <w:r w:rsidR="000C3423" w:rsidRPr="000E0CEB">
        <w:rPr>
          <w:rFonts w:asciiTheme="minorHAnsi" w:hAnsiTheme="minorHAnsi"/>
          <w:szCs w:val="22"/>
        </w:rPr>
        <w:t>,</w:t>
      </w:r>
    </w:p>
    <w:p w:rsidR="00471B61" w:rsidRPr="000E0CEB" w:rsidRDefault="00477DF1">
      <w:pPr>
        <w:numPr>
          <w:ilvl w:val="0"/>
          <w:numId w:val="17"/>
        </w:numPr>
        <w:spacing w:before="0" w:line="240" w:lineRule="auto"/>
        <w:ind w:left="567" w:hanging="567"/>
        <w:jc w:val="both"/>
        <w:rPr>
          <w:rFonts w:asciiTheme="minorHAnsi" w:hAnsiTheme="minorHAnsi"/>
          <w:szCs w:val="22"/>
        </w:rPr>
      </w:pPr>
      <w:r w:rsidRPr="000E0CEB">
        <w:rPr>
          <w:rFonts w:asciiTheme="minorHAnsi" w:hAnsiTheme="minorHAnsi"/>
          <w:szCs w:val="22"/>
        </w:rPr>
        <w:t>potwierdzonej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471B61" w:rsidRPr="000E0CEB" w:rsidRDefault="00477DF1">
      <w:pPr>
        <w:spacing w:before="0" w:after="200" w:line="276" w:lineRule="auto"/>
        <w:rPr>
          <w:rFonts w:asciiTheme="minorHAnsi" w:hAnsiTheme="minorHAnsi"/>
          <w:szCs w:val="22"/>
          <w:highlight w:val="yellow"/>
        </w:rPr>
      </w:pPr>
      <w:r w:rsidRPr="000E0CEB">
        <w:rPr>
          <w:rFonts w:asciiTheme="minorHAnsi" w:hAnsiTheme="minorHAnsi"/>
        </w:rPr>
        <w:br w:type="page"/>
      </w:r>
    </w:p>
    <w:p w:rsidR="00471B61" w:rsidRPr="000E0CEB" w:rsidRDefault="00471B61">
      <w:pPr>
        <w:spacing w:before="120" w:after="120" w:line="240" w:lineRule="auto"/>
        <w:ind w:left="720"/>
        <w:jc w:val="both"/>
        <w:rPr>
          <w:rFonts w:asciiTheme="minorHAnsi" w:hAnsiTheme="minorHAnsi"/>
          <w:szCs w:val="22"/>
          <w:highlight w:val="yellow"/>
        </w:rPr>
      </w:pP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77" w:name="_Toc430826830"/>
      <w:bookmarkStart w:id="78" w:name="_Toc426632926"/>
      <w:bookmarkStart w:id="79" w:name="_Toc438125952"/>
      <w:bookmarkStart w:id="80" w:name="_Toc441241689"/>
      <w:bookmarkEnd w:id="77"/>
      <w:bookmarkEnd w:id="78"/>
      <w:r w:rsidRPr="000E0CEB">
        <w:rPr>
          <w:sz w:val="22"/>
          <w:szCs w:val="22"/>
        </w:rPr>
        <w:t>III. Podstawowe zasady udzielania finansowania</w:t>
      </w:r>
      <w:bookmarkEnd w:id="79"/>
      <w:bookmarkEnd w:id="80"/>
    </w:p>
    <w:p w:rsidR="00B63284" w:rsidRPr="000E0CEB" w:rsidRDefault="004D576A">
      <w:pPr>
        <w:pStyle w:val="Nagwek2"/>
        <w:numPr>
          <w:ilvl w:val="6"/>
          <w:numId w:val="24"/>
        </w:numPr>
        <w:ind w:left="284" w:hanging="284"/>
      </w:pPr>
      <w:bookmarkStart w:id="81" w:name="_Toc430826831"/>
      <w:bookmarkStart w:id="82" w:name="_Toc426632927"/>
      <w:bookmarkStart w:id="83" w:name="_Toc438125953"/>
      <w:bookmarkStart w:id="84" w:name="_Toc441241690"/>
      <w:bookmarkEnd w:id="81"/>
      <w:bookmarkEnd w:id="82"/>
      <w:r w:rsidRPr="000E0CEB">
        <w:t>Informacje ogólne</w:t>
      </w:r>
      <w:bookmarkEnd w:id="83"/>
      <w:bookmarkEnd w:id="84"/>
    </w:p>
    <w:p w:rsidR="00471B61" w:rsidRPr="000E0CEB" w:rsidRDefault="00477DF1">
      <w:pPr>
        <w:spacing w:before="120" w:after="120" w:line="240" w:lineRule="auto"/>
        <w:jc w:val="both"/>
        <w:rPr>
          <w:rFonts w:asciiTheme="minorHAnsi" w:hAnsiTheme="minorHAnsi"/>
          <w:szCs w:val="22"/>
        </w:rPr>
      </w:pPr>
      <w:bookmarkStart w:id="85" w:name="_Toc428787525"/>
      <w:bookmarkEnd w:id="85"/>
      <w:r w:rsidRPr="000E0CEB">
        <w:rPr>
          <w:rFonts w:asciiTheme="minorHAnsi" w:hAnsiTheme="minorHAnsi"/>
          <w:szCs w:val="22"/>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Kwota dofinansowania przeznaczona na konkurs wynosi </w:t>
      </w:r>
      <w:bookmarkStart w:id="86" w:name="_Toc425494925"/>
      <w:bookmarkEnd w:id="86"/>
      <w:r w:rsidRPr="000E0CEB">
        <w:rPr>
          <w:rFonts w:asciiTheme="minorHAnsi" w:hAnsiTheme="minorHAnsi"/>
          <w:b/>
          <w:szCs w:val="22"/>
        </w:rPr>
        <w:t>6 472 557 PLN.</w:t>
      </w:r>
    </w:p>
    <w:p w:rsidR="00471B61" w:rsidRPr="000E0CEB" w:rsidRDefault="00477DF1">
      <w:pPr>
        <w:spacing w:before="120" w:after="120" w:line="240" w:lineRule="auto"/>
        <w:jc w:val="both"/>
        <w:rPr>
          <w:rFonts w:asciiTheme="minorHAnsi" w:hAnsiTheme="minorHAnsi"/>
          <w:szCs w:val="22"/>
        </w:rPr>
      </w:pPr>
      <w:bookmarkStart w:id="87" w:name="_Toc425494926"/>
      <w:bookmarkEnd w:id="87"/>
      <w:r w:rsidRPr="000E0CEB">
        <w:rPr>
          <w:rFonts w:asciiTheme="minorHAnsi" w:hAnsiTheme="minorHAnsi"/>
          <w:szCs w:val="22"/>
        </w:rPr>
        <w:t>Maksymalny dopuszczalny poziom dofinansowania UE wydatków kwalifikowalnych na poziomie projektu wynosi 85%.</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Maksymalny poziom dofinansowania całkowitego wydatków kwalifikowalnych na poziomie projektu (środki UE + współfinansowanie z budżetu państwa)  wynosi 95%.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Minimalna wartość projektu wynosi </w:t>
      </w:r>
      <w:r w:rsidRPr="000E0CEB">
        <w:rPr>
          <w:rFonts w:asciiTheme="minorHAnsi" w:hAnsiTheme="minorHAnsi"/>
          <w:b/>
          <w:szCs w:val="22"/>
        </w:rPr>
        <w:t>50 000 PLN.</w:t>
      </w:r>
      <w:r w:rsidRPr="000E0CEB">
        <w:rPr>
          <w:rFonts w:asciiTheme="minorHAnsi" w:hAnsiTheme="minorHAnsi"/>
          <w:szCs w:val="22"/>
        </w:rPr>
        <w:t xml:space="preserve">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Beneficjent ma obowiązek ujawniania wszelkich dochodów, które powstają w związku z realizacją projektu. W przypadku, gdy projekt generuje na etapie realizacji dochody, Beneficjent wykazuje we wnioskach o płatność wartość uzyskanego dochodu i dokonuje jego zwrotu do dnia 10 stycznia roku następnego po roku, w którym powstał. IZ RPO WD może wezwać Wnioskodawcę do zwrotu dochodu w innym terminie.</w:t>
      </w:r>
    </w:p>
    <w:p w:rsidR="00B63284" w:rsidRPr="000E0CEB" w:rsidRDefault="004D576A">
      <w:pPr>
        <w:pStyle w:val="Nagwek2"/>
        <w:numPr>
          <w:ilvl w:val="6"/>
          <w:numId w:val="24"/>
        </w:numPr>
        <w:ind w:left="284" w:hanging="284"/>
      </w:pPr>
      <w:bookmarkStart w:id="88" w:name="_Toc430826832"/>
      <w:bookmarkStart w:id="89" w:name="_Toc426632928"/>
      <w:bookmarkStart w:id="90" w:name="_Toc438125954"/>
      <w:bookmarkStart w:id="91" w:name="_Toc441241691"/>
      <w:bookmarkEnd w:id="88"/>
      <w:bookmarkEnd w:id="89"/>
      <w:r w:rsidRPr="000E0CEB">
        <w:t>Wkład własny</w:t>
      </w:r>
      <w:bookmarkEnd w:id="90"/>
      <w:bookmarkEnd w:id="91"/>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Minimalny udział wkładu własnego Wnioskodawcy w ramach konkursu wynosi 5% wydatków kwalifikowalnych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Wkład własny niekoniecznie musi być wnoszony przez Beneficjenta. Może być wniesiony także przez partnera, jak również uczestników projektu, o ile zostało to uwzględnione we wniosku o dofinansowanie.</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szCs w:val="22"/>
        </w:rPr>
        <w:t>Uzasadnienie</w:t>
      </w:r>
      <w:r w:rsidRPr="000E0CEB">
        <w:rPr>
          <w:rFonts w:asciiTheme="minorHAnsi" w:hAnsiTheme="minorHAnsi" w:cs="Arial"/>
          <w:szCs w:val="22"/>
        </w:rPr>
        <w:t xml:space="preserve"> dla przewidzianego w projekcie wkładu własnego, w tym informacja o wkładzie rzeczowym i wszelkich opłatach pobieranych od uczestników powinna być zawarta we wniosku o dofinansowanie.</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Wkład własny jest wykazywany we wniosku o dofinansowanie, przy czym to Wnioskodawca określa formę wniesienia wkładu własnego.</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przypadku niewniesienia przez Wnioskodawcę wkładu własnego w kwocie określonej w umowie o dofinansowanie projektu, IIZ RPO WD może obniżyć kwotę przyznanego dofinansowania proporcjonalnie do jej udziału w całkowitej wartości projektu. Wkład własny, który zostanie rozliczony ponad wysokość wskazaną w umowie o dofinansowanie może zostać uznany za niekwalifikowalny.</w:t>
      </w:r>
    </w:p>
    <w:p w:rsidR="00471B61" w:rsidRPr="000E0CEB" w:rsidRDefault="00477DF1">
      <w:pPr>
        <w:spacing w:before="0" w:line="240" w:lineRule="auto"/>
        <w:jc w:val="both"/>
        <w:rPr>
          <w:rFonts w:asciiTheme="minorHAnsi" w:hAnsiTheme="minorHAnsi" w:cs="Arial"/>
          <w:szCs w:val="22"/>
        </w:rPr>
      </w:pPr>
      <w:r w:rsidRPr="000E0CEB">
        <w:rPr>
          <w:rFonts w:asciiTheme="minorHAnsi" w:hAnsiTheme="minorHAnsi" w:cs="Arial"/>
          <w:szCs w:val="22"/>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0E0CEB">
        <w:rPr>
          <w:rFonts w:asciiTheme="minorHAnsi" w:hAnsiTheme="minorHAnsi"/>
          <w:szCs w:val="22"/>
        </w:rPr>
        <w:t>podmiotu/osoby, która dany wkład wnosi.</w:t>
      </w:r>
      <w:r w:rsidRPr="000E0CEB">
        <w:rPr>
          <w:rFonts w:asciiTheme="minorHAnsi" w:hAnsiTheme="minorHAnsi" w:cs="Arial"/>
          <w:szCs w:val="22"/>
        </w:rPr>
        <w:t xml:space="preserve"> Wkład własny może więc pochodzić ze środków m.in.: budżetu JST (szczebla gminnego, powiatowego i wojewódzkiego) i prywatnych.</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Wkład niepieniężny stanowiący część lub całość wkładu własnego, wniesiony na rzecz projektu, stanowi wydatek kwalifikowalny.</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 xml:space="preserve">Wkład niepieniężny powinien być wnoszony przez Wnioskodawcę ze składników jego majątku lub z majątku innych podmiotów, jeżeli możliwość taka wynika z przepisów prawa oraz zostanie to ujęte w zatwierdzonym </w:t>
      </w:r>
      <w:r w:rsidRPr="000E0CEB">
        <w:rPr>
          <w:rFonts w:asciiTheme="minorHAnsi" w:hAnsiTheme="minorHAnsi" w:cs="Arial"/>
          <w:szCs w:val="22"/>
        </w:rPr>
        <w:lastRenderedPageBreak/>
        <w:t>wniosku o dofinansowanie lub w postaci świadczeń wykonywanych przez wolontariuszy.</w:t>
      </w:r>
      <w:r w:rsidRPr="000E0CEB">
        <w:rPr>
          <w:rFonts w:asciiTheme="minorHAnsi" w:hAnsiTheme="minorHAnsi"/>
          <w:szCs w:val="22"/>
        </w:rPr>
        <w:t xml:space="preserve"> Należy podkreślić, iż wydatki poniesione na wycenę wkładu niepieniężnego są kwalifikowalne.</w:t>
      </w:r>
    </w:p>
    <w:p w:rsidR="00471B61" w:rsidRPr="000E0CEB" w:rsidRDefault="00477DF1">
      <w:pPr>
        <w:spacing w:before="0" w:line="240" w:lineRule="auto"/>
        <w:jc w:val="both"/>
        <w:rPr>
          <w:rFonts w:asciiTheme="minorHAnsi" w:hAnsiTheme="minorHAnsi" w:cs="Arial"/>
          <w:szCs w:val="22"/>
        </w:rPr>
      </w:pPr>
      <w:r w:rsidRPr="000E0CEB">
        <w:rPr>
          <w:rFonts w:asciiTheme="minorHAnsi" w:hAnsiTheme="minorHAnsi" w:cs="Arial"/>
          <w:szCs w:val="22"/>
        </w:rPr>
        <w:t>Warunki kwalifikowalności wkładu niepieniężnego są następujące:</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wartość wkładu niepieniężnego została należycie potwierdzona dokumentami o wartości dowodowej równoważnej fakturom,</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wartość przypisana wkładowi niepieniężnemu nie przekracza stawek rynkowych,</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wartość i dostarczenie wkładu niepieniężnego mogą być poddane niezależnej ocenie i weryfikacji,</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 xml:space="preserve">w przypadku wykorzystania nieruchomości </w:t>
      </w:r>
      <w:r w:rsidRPr="000E0CEB">
        <w:rPr>
          <w:rFonts w:asciiTheme="minorHAnsi" w:hAnsiTheme="minorHAnsi"/>
          <w:szCs w:val="22"/>
        </w:rPr>
        <w:t xml:space="preserve">lub jej części </w:t>
      </w:r>
      <w:r w:rsidRPr="000E0CEB">
        <w:rPr>
          <w:rFonts w:asciiTheme="minorHAnsi" w:hAnsiTheme="minorHAnsi" w:cs="Arial"/>
          <w:szCs w:val="22"/>
        </w:rPr>
        <w:t>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późn. zm.) – aktualnym w momencie złożenia rozliczającego go wniosku o płatność (wkładem własnym nie zawsze jest cała nieruchomość, mogą być to np. sale, których wartość wycenia się, jako koszt eksploatacji/ utrzymania danego metrażu),</w:t>
      </w:r>
    </w:p>
    <w:p w:rsidR="00471B61" w:rsidRPr="000E0CEB" w:rsidRDefault="00477DF1">
      <w:pPr>
        <w:pStyle w:val="Akapitzlist"/>
        <w:numPr>
          <w:ilvl w:val="0"/>
          <w:numId w:val="38"/>
        </w:numPr>
        <w:spacing w:before="0" w:line="240" w:lineRule="auto"/>
        <w:ind w:left="426"/>
        <w:jc w:val="both"/>
        <w:rPr>
          <w:rFonts w:asciiTheme="minorHAnsi" w:hAnsiTheme="minorHAnsi" w:cs="Arial"/>
          <w:szCs w:val="22"/>
        </w:rPr>
      </w:pPr>
      <w:r w:rsidRPr="000E0CEB">
        <w:rPr>
          <w:rFonts w:asciiTheme="minorHAnsi" w:hAnsiTheme="minorHAnsi" w:cs="Arial"/>
          <w:szCs w:val="22"/>
        </w:rPr>
        <w:t xml:space="preserve">w przypadku wniesienia nieodpłatnej pracy spełnione są warunki, o których mowa </w:t>
      </w:r>
      <w:r w:rsidRPr="000E0CEB">
        <w:rPr>
          <w:rFonts w:asciiTheme="minorHAnsi" w:hAnsiTheme="minorHAnsi"/>
          <w:szCs w:val="22"/>
        </w:rPr>
        <w:t>poniżej.</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przypadku nieodpłatnej pracy wykonywanej przez wolontariuszy, powinny zostać spełnione łącznie następujące warunki:</w:t>
      </w:r>
    </w:p>
    <w:p w:rsidR="00471B61" w:rsidRPr="000E0CEB" w:rsidRDefault="00477DF1">
      <w:pPr>
        <w:numPr>
          <w:ilvl w:val="0"/>
          <w:numId w:val="5"/>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wolontariusz musi być świadomy charakteru swojego udziału w realizacji projektu (tzn. świadomy nieodpłatnego udziału),</w:t>
      </w:r>
    </w:p>
    <w:p w:rsidR="00471B61" w:rsidRPr="000E0CEB" w:rsidRDefault="00477DF1">
      <w:pPr>
        <w:numPr>
          <w:ilvl w:val="0"/>
          <w:numId w:val="5"/>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należy zdefiniować rodzaj wykonywanej przez wolontariusza nieodpłatnej pracy (określić jego stanowisko w projekcie); zadania wykonywane i wykazywane przez wolontariusza muszą być zgodne z tytułem jego nieodpłatnej pracy (stanowiska),</w:t>
      </w:r>
    </w:p>
    <w:p w:rsidR="00471B61" w:rsidRPr="000E0CEB" w:rsidRDefault="00477DF1">
      <w:pPr>
        <w:numPr>
          <w:ilvl w:val="0"/>
          <w:numId w:val="5"/>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w ramach wolontariatu nie może być wykonywana nieodpłatna praca dotycząca zadań, które są realizowane przez personel projektu dofinansowany w ramach projektu,</w:t>
      </w:r>
    </w:p>
    <w:p w:rsidR="00471B61" w:rsidRPr="000E0CEB" w:rsidRDefault="00477DF1">
      <w:pPr>
        <w:numPr>
          <w:ilvl w:val="0"/>
          <w:numId w:val="5"/>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471B61" w:rsidRPr="000E0CEB" w:rsidRDefault="00477DF1">
      <w:pPr>
        <w:numPr>
          <w:ilvl w:val="0"/>
          <w:numId w:val="5"/>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celu uniknięcia podwójnego finansowania nie można wnosić wkładu niepieniężnego, który w ciągu 7 poprzednich lat (10 lat dla nieruchomości) był współfinansowany ze środków unijnych lub/oraz dotacji z krajowych środków publicznych.</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Wkład własny lub jego część może być wniesiony w ramach kosztów pośrednich jak i bezpośrednich.</w:t>
      </w:r>
    </w:p>
    <w:p w:rsidR="00B63284" w:rsidRPr="000E0CEB" w:rsidRDefault="004D576A">
      <w:pPr>
        <w:pStyle w:val="Nagwek2"/>
        <w:numPr>
          <w:ilvl w:val="6"/>
          <w:numId w:val="24"/>
        </w:numPr>
        <w:ind w:left="284" w:hanging="284"/>
      </w:pPr>
      <w:bookmarkStart w:id="92" w:name="_Toc430826833"/>
      <w:bookmarkStart w:id="93" w:name="_Toc426632929"/>
      <w:bookmarkStart w:id="94" w:name="_Toc418164230"/>
      <w:bookmarkStart w:id="95" w:name="_Toc418162883"/>
      <w:bookmarkStart w:id="96" w:name="_Toc418162765"/>
      <w:bookmarkStart w:id="97" w:name="_Toc418162573"/>
      <w:bookmarkStart w:id="98" w:name="_Toc418161949"/>
      <w:bookmarkStart w:id="99" w:name="_Toc418161030"/>
      <w:bookmarkStart w:id="100" w:name="_Toc418164229"/>
      <w:bookmarkStart w:id="101" w:name="_Toc418162882"/>
      <w:bookmarkStart w:id="102" w:name="_Toc418162764"/>
      <w:bookmarkStart w:id="103" w:name="_Toc418162572"/>
      <w:bookmarkStart w:id="104" w:name="_Toc418161948"/>
      <w:bookmarkStart w:id="105" w:name="_Toc418161029"/>
      <w:bookmarkStart w:id="106" w:name="_Toc418164228"/>
      <w:bookmarkStart w:id="107" w:name="_Toc418162881"/>
      <w:bookmarkStart w:id="108" w:name="_Toc418162763"/>
      <w:bookmarkStart w:id="109" w:name="_Toc418162571"/>
      <w:bookmarkStart w:id="110" w:name="_Toc418161947"/>
      <w:bookmarkStart w:id="111" w:name="_Toc418161028"/>
      <w:bookmarkStart w:id="112" w:name="_Toc438125955"/>
      <w:bookmarkStart w:id="113" w:name="_Toc44124169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E0CEB">
        <w:t>Szczegółowy budżet projektu</w:t>
      </w:r>
      <w:bookmarkEnd w:id="112"/>
      <w:bookmarkEnd w:id="113"/>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Koszty projektu są przedstawiane we wniosku o dofinansowanie w formie </w:t>
      </w:r>
      <w:r w:rsidRPr="000E0CEB">
        <w:rPr>
          <w:rFonts w:asciiTheme="minorHAnsi" w:hAnsiTheme="minorHAnsi"/>
          <w:b/>
          <w:szCs w:val="22"/>
        </w:rPr>
        <w:t>budżetu zadaniowego</w:t>
      </w:r>
      <w:r w:rsidRPr="000E0CEB">
        <w:rPr>
          <w:rFonts w:asciiTheme="minorHAnsi" w:hAnsiTheme="minorHAnsi"/>
          <w:szCs w:val="22"/>
        </w:rPr>
        <w:t xml:space="preserve">. Budżet zadaniowy oznacza przedstawienie kosztów kwalifikowalnych projektu w podziale na zadania merytoryczne </w:t>
      </w:r>
      <w:r w:rsidRPr="000E0CEB">
        <w:rPr>
          <w:rFonts w:asciiTheme="minorHAnsi" w:hAnsiTheme="minorHAnsi"/>
          <w:szCs w:val="22"/>
        </w:rPr>
        <w:lastRenderedPageBreak/>
        <w:t>w ramach kosztów bezpośrednich oraz koszty pośrednie. W odniesieniu do zadań merytorycznych we wniosku wykazywany jest limit kosztów, które mogą zostać poniesione przez Beneficjenta na ich realizację.</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budżecie projektu Wnioskodawca wskazuje i uzasadnia źródła finansowania wykazując racjonalność i efektywność wydatków oraz brak podwójnego finansowania.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Dopuszczalne jest dokonywanie przesunięć w budżecie projektu określonym w zatwierdzonym na etapie podpisania umowy o dofinansowanie wniosku o dofinansowanie projektu w oparciu o zasady określone w umowie o dofinansowanie projektu.</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W projekcie w ramach kosztów bezpośrednich możliwe jest stosowanie jednej z następujących metod rozliczania:</w:t>
      </w:r>
    </w:p>
    <w:p w:rsidR="00471B61" w:rsidRPr="000E0CEB" w:rsidRDefault="00477DF1">
      <w:pPr>
        <w:pStyle w:val="Akapitzlist"/>
        <w:numPr>
          <w:ilvl w:val="1"/>
          <w:numId w:val="39"/>
        </w:numPr>
        <w:spacing w:before="0" w:line="240" w:lineRule="auto"/>
        <w:ind w:left="426"/>
        <w:jc w:val="both"/>
        <w:rPr>
          <w:rFonts w:asciiTheme="minorHAnsi" w:hAnsiTheme="minorHAnsi"/>
          <w:sz w:val="22"/>
          <w:szCs w:val="22"/>
        </w:rPr>
      </w:pPr>
      <w:r w:rsidRPr="000E0CEB">
        <w:rPr>
          <w:rFonts w:asciiTheme="minorHAnsi" w:hAnsiTheme="minorHAnsi"/>
          <w:sz w:val="22"/>
          <w:szCs w:val="22"/>
        </w:rPr>
        <w:t xml:space="preserve">na podstawie rzeczywiście poniesionych kosztów – w przypadku projektów, w których wartość wkładu publicznego (środków publicznych) przekracza wyrażoną w PLN równowartość </w:t>
      </w:r>
      <w:r w:rsidRPr="000E0CEB">
        <w:rPr>
          <w:rFonts w:asciiTheme="minorHAnsi" w:hAnsiTheme="minorHAnsi"/>
          <w:sz w:val="22"/>
          <w:szCs w:val="22"/>
        </w:rPr>
        <w:br/>
        <w:t>100.000 EUR;</w:t>
      </w:r>
    </w:p>
    <w:p w:rsidR="00471B61" w:rsidRPr="000E0CEB" w:rsidRDefault="00477DF1">
      <w:pPr>
        <w:pStyle w:val="Akapitzlist"/>
        <w:numPr>
          <w:ilvl w:val="1"/>
          <w:numId w:val="39"/>
        </w:numPr>
        <w:spacing w:before="0" w:line="240" w:lineRule="auto"/>
        <w:ind w:left="426"/>
        <w:jc w:val="both"/>
        <w:rPr>
          <w:rFonts w:asciiTheme="minorHAnsi" w:hAnsiTheme="minorHAnsi"/>
          <w:sz w:val="22"/>
          <w:szCs w:val="22"/>
        </w:rPr>
      </w:pPr>
      <w:r w:rsidRPr="000E0CEB">
        <w:rPr>
          <w:rFonts w:asciiTheme="minorHAnsi" w:hAnsiTheme="minorHAnsi"/>
          <w:sz w:val="22"/>
          <w:szCs w:val="22"/>
        </w:rPr>
        <w:t>kwot ryczałtowych - w przypadku projektów, w których wartość wkładu publicznego (środków publicznych) nie przekracza wyrażonej w PLN równowartości 100.000 EUR.</w:t>
      </w:r>
    </w:p>
    <w:p w:rsidR="00471B61" w:rsidRPr="000E0CEB" w:rsidRDefault="00477DF1">
      <w:pPr>
        <w:pStyle w:val="Akapitzlist"/>
        <w:spacing w:before="120" w:after="120" w:line="240" w:lineRule="auto"/>
        <w:ind w:left="0"/>
        <w:jc w:val="both"/>
        <w:rPr>
          <w:rFonts w:asciiTheme="minorHAnsi" w:hAnsiTheme="minorHAnsi" w:cs="Arial"/>
          <w:sz w:val="22"/>
          <w:szCs w:val="22"/>
        </w:rPr>
      </w:pPr>
      <w:r w:rsidRPr="000E0CEB">
        <w:rPr>
          <w:rFonts w:asciiTheme="minorHAnsi" w:hAnsiTheme="minorHAnsi" w:cs="Arial"/>
          <w:sz w:val="22"/>
          <w:szCs w:val="22"/>
        </w:rPr>
        <w:t xml:space="preserve">Zgodnie z kryterium formalnym, w przypadku projektów, w których wartość wkładu publicznego nie przekracza 100 000 EUR wydatki rozliczane są z zastosowaniem kwot ryczałtowych. Powyższa kwota jest przeliczana na PLN z wykorzystaniem miesięcznego obrachunkowego kursu wymiany stosowanego przez Komisję Europejską </w:t>
      </w:r>
      <w:r w:rsidRPr="000E0CEB">
        <w:rPr>
          <w:rFonts w:asciiTheme="minorHAnsi" w:hAnsiTheme="minorHAnsi" w:cs="Arial"/>
          <w:b/>
          <w:sz w:val="22"/>
          <w:szCs w:val="22"/>
        </w:rPr>
        <w:t>aktualnego na dzień ogłoszenia konkursu z</w:t>
      </w:r>
      <w:r w:rsidRPr="000E0CEB">
        <w:rPr>
          <w:rFonts w:asciiTheme="minorHAnsi" w:hAnsiTheme="minorHAnsi"/>
          <w:b/>
          <w:sz w:val="22"/>
          <w:szCs w:val="22"/>
        </w:rPr>
        <w:t>godnie</w:t>
      </w:r>
      <w:r w:rsidRPr="000E0CEB">
        <w:rPr>
          <w:rFonts w:asciiTheme="minorHAnsi" w:hAnsiTheme="minorHAnsi"/>
          <w:sz w:val="22"/>
          <w:szCs w:val="22"/>
        </w:rPr>
        <w:t xml:space="preserve"> z </w:t>
      </w:r>
      <w:r w:rsidRPr="000E0CEB">
        <w:rPr>
          <w:rFonts w:asciiTheme="minorHAnsi" w:eastAsia="Calibri" w:hAnsiTheme="minorHAnsi"/>
          <w:bCs/>
          <w:sz w:val="22"/>
          <w:szCs w:val="22"/>
          <w:lang w:eastAsia="en-US"/>
        </w:rPr>
        <w:t>Wytycznymi w zakresie kwalifikowalno</w:t>
      </w:r>
      <w:r w:rsidRPr="000E0CEB">
        <w:rPr>
          <w:rFonts w:asciiTheme="minorHAnsi" w:eastAsia="Calibri" w:hAnsiTheme="minorHAnsi"/>
          <w:sz w:val="22"/>
          <w:szCs w:val="22"/>
          <w:lang w:eastAsia="en-US"/>
        </w:rPr>
        <w:t>ś</w:t>
      </w:r>
      <w:r w:rsidRPr="000E0CEB">
        <w:rPr>
          <w:rFonts w:asciiTheme="minorHAnsi" w:eastAsia="Calibri" w:hAnsiTheme="minorHAnsi"/>
          <w:bCs/>
          <w:sz w:val="22"/>
          <w:szCs w:val="22"/>
          <w:lang w:eastAsia="en-US"/>
        </w:rPr>
        <w:t>ci wydatków w ramach Europejskiego Funduszu Rozwoju Regionalnego, Europejskiego Funduszu Społecznego oraz Funduszu Spójno</w:t>
      </w:r>
      <w:r w:rsidRPr="000E0CEB">
        <w:rPr>
          <w:rFonts w:asciiTheme="minorHAnsi" w:eastAsia="Calibri" w:hAnsiTheme="minorHAnsi"/>
          <w:sz w:val="22"/>
          <w:szCs w:val="22"/>
          <w:lang w:eastAsia="en-US"/>
        </w:rPr>
        <w:t>ś</w:t>
      </w:r>
      <w:r w:rsidRPr="000E0CEB">
        <w:rPr>
          <w:rFonts w:asciiTheme="minorHAnsi" w:eastAsia="Calibri" w:hAnsiTheme="minorHAnsi"/>
          <w:bCs/>
          <w:sz w:val="22"/>
          <w:szCs w:val="22"/>
          <w:lang w:eastAsia="en-US"/>
        </w:rPr>
        <w:t>ci na lata 2014-2020.</w:t>
      </w:r>
      <w:r w:rsidRPr="000E0CEB">
        <w:rPr>
          <w:rFonts w:asciiTheme="minorHAnsi" w:eastAsia="Calibri" w:hAnsiTheme="minorHAnsi" w:cs="Arial"/>
          <w:color w:val="000000"/>
          <w:sz w:val="22"/>
          <w:szCs w:val="22"/>
        </w:rPr>
        <w:t xml:space="preserve"> Kurs publikowany jest na stronie internetowej: </w:t>
      </w:r>
      <w:r w:rsidRPr="000E0CEB">
        <w:rPr>
          <w:rFonts w:asciiTheme="minorHAnsi" w:eastAsia="Calibri" w:hAnsiTheme="minorHAnsi" w:cs="Arial"/>
          <w:color w:val="0000FF"/>
          <w:sz w:val="22"/>
          <w:szCs w:val="22"/>
        </w:rPr>
        <w:t>http://ec.europa.eu/budget/inforeuro/index.cfm?fuseaction=home&amp;Language=en</w:t>
      </w:r>
      <w:r w:rsidRPr="000E0CEB">
        <w:rPr>
          <w:rFonts w:asciiTheme="minorHAnsi" w:eastAsia="Calibri" w:hAnsiTheme="minorHAnsi" w:cs="Arial"/>
          <w:color w:val="000000"/>
          <w:sz w:val="22"/>
          <w:szCs w:val="22"/>
        </w:rPr>
        <w:t>.</w:t>
      </w:r>
      <w:r w:rsidRPr="000E0CEB">
        <w:rPr>
          <w:rFonts w:asciiTheme="minorHAnsi" w:hAnsiTheme="minorHAnsi" w:cs="Arial"/>
          <w:sz w:val="22"/>
          <w:szCs w:val="22"/>
        </w:rPr>
        <w:t xml:space="preserve"> Przy przeliczaniu kwoty na PLN z wykorzystaniem miesięcznego obrachunkowego kursu wymiany stosowanego przez Komisję Europejską należy wskazać </w:t>
      </w:r>
      <w:r w:rsidRPr="000E0CEB">
        <w:rPr>
          <w:rFonts w:asciiTheme="minorHAnsi" w:hAnsiTheme="minorHAnsi" w:cs="Arial"/>
          <w:b/>
          <w:sz w:val="22"/>
          <w:szCs w:val="22"/>
        </w:rPr>
        <w:t>styczeń 2016 r.</w:t>
      </w:r>
    </w:p>
    <w:p w:rsidR="00471B61" w:rsidRPr="000E0CEB" w:rsidRDefault="00477DF1">
      <w:pPr>
        <w:pStyle w:val="Akapitzlist"/>
        <w:spacing w:before="120" w:after="120" w:line="240" w:lineRule="auto"/>
        <w:ind w:left="0"/>
        <w:jc w:val="both"/>
        <w:rPr>
          <w:rFonts w:asciiTheme="minorHAnsi" w:hAnsiTheme="minorHAnsi" w:cs="Arial"/>
          <w:b/>
          <w:sz w:val="22"/>
          <w:szCs w:val="22"/>
        </w:rPr>
      </w:pPr>
      <w:r w:rsidRPr="000E0CEB">
        <w:rPr>
          <w:rFonts w:asciiTheme="minorHAnsi" w:hAnsiTheme="minorHAnsi" w:cs="Arial"/>
          <w:sz w:val="22"/>
          <w:szCs w:val="22"/>
        </w:rPr>
        <w:t>UWAGA!:</w:t>
      </w:r>
      <w:r w:rsidRPr="000E0CEB">
        <w:rPr>
          <w:rFonts w:asciiTheme="minorHAnsi" w:hAnsiTheme="minorHAnsi" w:cs="Arial"/>
          <w:b/>
          <w:sz w:val="22"/>
          <w:szCs w:val="22"/>
        </w:rPr>
        <w:t xml:space="preserve"> Projekt, w którym wartość dofinansowania (środków publicznych) nie przekracza wyrażonej w PLN równowartości 100.000 EUR, niespełniający tego kryterium zostanie odrzucony.</w:t>
      </w:r>
    </w:p>
    <w:p w:rsidR="00471B61" w:rsidRPr="000E0CEB" w:rsidRDefault="00477DF1">
      <w:pPr>
        <w:jc w:val="both"/>
        <w:rPr>
          <w:rFonts w:asciiTheme="minorHAnsi" w:hAnsiTheme="minorHAnsi" w:cs="Arial"/>
          <w:szCs w:val="22"/>
        </w:rPr>
      </w:pPr>
      <w:r w:rsidRPr="000E0CEB">
        <w:rPr>
          <w:rFonts w:asciiTheme="minorHAnsi" w:hAnsiTheme="minorHAnsi"/>
          <w:szCs w:val="22"/>
        </w:rPr>
        <w:t>Projekty, w których wartość wkładu publicznego w wyniku oceny budżetu spadnie poniżej 100 tys. EUR, są odrzucane jako niespełniające kryterium „</w:t>
      </w:r>
      <w:r w:rsidRPr="000E0CEB">
        <w:rPr>
          <w:rFonts w:asciiTheme="minorHAnsi" w:hAnsiTheme="minorHAnsi" w:cs="Arial"/>
          <w:szCs w:val="22"/>
        </w:rPr>
        <w:t xml:space="preserve">W projekcie, w którym wartość wkładu publicznego nie przekracza 100 000 EUR zastosowano kwoty ryczałtowe, o których mowa w </w:t>
      </w:r>
      <w:r w:rsidRPr="000E0CEB">
        <w:rPr>
          <w:rFonts w:asciiTheme="minorHAnsi" w:hAnsiTheme="minorHAnsi" w:cs="Arial"/>
          <w:i/>
          <w:szCs w:val="22"/>
        </w:rPr>
        <w:t>Wytycznych w zakresie kwalifikowalności wydatków w zakresie Europejskiego Funduszu Rozwoju Regionalnego, Europejskiego Funduszu Społecznego oraz Funduszu Spójności na lata 2014-2020</w:t>
      </w:r>
      <w:r w:rsidRPr="000E0CEB">
        <w:rPr>
          <w:rFonts w:asciiTheme="minorHAnsi" w:hAnsiTheme="minorHAnsi" w:cs="Arial"/>
          <w:szCs w:val="22"/>
        </w:rPr>
        <w:t>.</w:t>
      </w:r>
      <w:r w:rsidRPr="000E0CEB">
        <w:rPr>
          <w:rFonts w:asciiTheme="minorHAnsi" w:hAnsiTheme="minorHAnsi"/>
          <w:szCs w:val="22"/>
        </w:rPr>
        <w:t>”</w:t>
      </w:r>
    </w:p>
    <w:p w:rsidR="00471B61" w:rsidRPr="000E0CEB" w:rsidRDefault="00477DF1">
      <w:pPr>
        <w:pStyle w:val="Akapitzlist"/>
        <w:spacing w:before="120" w:after="120" w:line="240" w:lineRule="auto"/>
        <w:ind w:left="0"/>
        <w:jc w:val="both"/>
        <w:rPr>
          <w:rFonts w:asciiTheme="minorHAnsi" w:hAnsiTheme="minorHAnsi"/>
          <w:sz w:val="22"/>
          <w:szCs w:val="22"/>
        </w:rPr>
      </w:pPr>
      <w:r w:rsidRPr="000E0CEB">
        <w:rPr>
          <w:rFonts w:asciiTheme="minorHAnsi" w:hAnsiTheme="minorHAnsi"/>
          <w:sz w:val="22"/>
          <w:szCs w:val="22"/>
        </w:rPr>
        <w:t>Kwotą ryczałtową jest kwota za wykonanie określonego/ych w projekcie zadania/zadań uzgodniona na etapie zatwierdzania wniosku o dofinansowanie</w:t>
      </w:r>
      <w:r w:rsidRPr="000E0CEB">
        <w:rPr>
          <w:rFonts w:asciiTheme="minorHAnsi" w:hAnsiTheme="minorHAnsi" w:cs="Arial"/>
          <w:sz w:val="22"/>
          <w:szCs w:val="22"/>
        </w:rPr>
        <w:t xml:space="preserve">. </w:t>
      </w:r>
      <w:r w:rsidRPr="000E0CEB">
        <w:rPr>
          <w:rFonts w:asciiTheme="minorHAnsi" w:hAnsiTheme="minorHAnsi"/>
          <w:sz w:val="22"/>
          <w:szCs w:val="22"/>
        </w:rPr>
        <w:t>Beneficjent we wniosku wykazuje, czy planuje rozliczać projekt jedną czy kilkoma kwotami. 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(załącznik nr 11). Szczegółowe zasady przesunięć środków określa umowa o dofinansowanie projektu.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lastRenderedPageBreak/>
        <w:t>Koszty pośrednie stanowią koszty administracyjne związane z obsługą projektu, w szczególności:</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personelu obsługowego (obsługa kadrowa, finansowa, administracyjna, sekretariat, kancelaria, obsługa prawna) na potrzeby funkcjonowania jednostki,</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obsługi księgowej (koszty wynagrodzenia osób księgujących wydatki w projekcie, w tym koszty zlecenia prowadzenia obsługi księgowej projektu biuru rachunkowemu),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utrzymania powierzchni biurowych (czynsz, najem, opłaty administracyjne) związanych z obsługą administracyjną projektu,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bookmarkStart w:id="114" w:name="_Toc426632932"/>
      <w:bookmarkStart w:id="115" w:name="_Toc426630243"/>
      <w:bookmarkStart w:id="116" w:name="_Toc425494931"/>
      <w:bookmarkStart w:id="117" w:name="_Toc425141296"/>
      <w:bookmarkStart w:id="118" w:name="_Toc420591519"/>
      <w:bookmarkStart w:id="119" w:name="_Toc420591274"/>
      <w:bookmarkStart w:id="120" w:name="_Toc420584901"/>
      <w:bookmarkStart w:id="121" w:name="_Toc420583705"/>
      <w:bookmarkStart w:id="122" w:name="_Toc420068479"/>
      <w:bookmarkStart w:id="123" w:name="_Toc419982544"/>
      <w:bookmarkStart w:id="124" w:name="_Toc419981490"/>
      <w:bookmarkStart w:id="125" w:name="_Toc419961763"/>
      <w:bookmarkStart w:id="126" w:name="_Toc419820626"/>
      <w:bookmarkStart w:id="127" w:name="_Toc419820557"/>
      <w:bookmarkStart w:id="128" w:name="_Toc418855115"/>
      <w:bookmarkStart w:id="129" w:name="_Toc418854758"/>
      <w:bookmarkStart w:id="130" w:name="_Toc418854694"/>
      <w:bookmarkStart w:id="131" w:name="_Toc418854569"/>
      <w:bookmarkStart w:id="132" w:name="_Toc418854505"/>
      <w:bookmarkStart w:id="133" w:name="_Toc418774717"/>
      <w:bookmarkStart w:id="134" w:name="_Toc418680306"/>
      <w:bookmarkStart w:id="135" w:name="_Toc418676934"/>
      <w:bookmarkStart w:id="136" w:name="_Toc418673690"/>
      <w:bookmarkStart w:id="137" w:name="_Toc418601329"/>
      <w:bookmarkStart w:id="138" w:name="_Toc418589364"/>
      <w:bookmarkStart w:id="139" w:name="_Toc418508775"/>
      <w:bookmarkStart w:id="140" w:name="_Toc418276980"/>
      <w:bookmarkStart w:id="141" w:name="_Toc426632930"/>
      <w:bookmarkStart w:id="142" w:name="_Toc426630241"/>
      <w:bookmarkStart w:id="143" w:name="_Toc425494929"/>
      <w:bookmarkStart w:id="144" w:name="_Toc425141294"/>
      <w:bookmarkStart w:id="145" w:name="_Toc420591517"/>
      <w:bookmarkStart w:id="146" w:name="_Toc420591272"/>
      <w:bookmarkStart w:id="147" w:name="_Toc420584899"/>
      <w:bookmarkStart w:id="148" w:name="_Toc420583703"/>
      <w:bookmarkStart w:id="149" w:name="_Toc420068477"/>
      <w:bookmarkStart w:id="150" w:name="_Toc419982542"/>
      <w:bookmarkStart w:id="151" w:name="_Toc419981488"/>
      <w:bookmarkStart w:id="152" w:name="_Toc419961761"/>
      <w:bookmarkStart w:id="153" w:name="_Toc419820624"/>
      <w:bookmarkStart w:id="154" w:name="_Toc419820555"/>
      <w:bookmarkStart w:id="155" w:name="_Toc418855113"/>
      <w:bookmarkStart w:id="156" w:name="_Toc418854756"/>
      <w:bookmarkStart w:id="157" w:name="_Toc418854692"/>
      <w:bookmarkStart w:id="158" w:name="_Toc418854567"/>
      <w:bookmarkStart w:id="159" w:name="_Toc418854503"/>
      <w:bookmarkStart w:id="160" w:name="_Toc418774715"/>
      <w:bookmarkStart w:id="161" w:name="_Toc418680304"/>
      <w:bookmarkStart w:id="162" w:name="_Toc418676932"/>
      <w:bookmarkStart w:id="163" w:name="_Toc418673688"/>
      <w:bookmarkStart w:id="164" w:name="_Toc418601327"/>
      <w:bookmarkStart w:id="165" w:name="_Toc418589362"/>
      <w:bookmarkStart w:id="166" w:name="_Toc418508773"/>
      <w:bookmarkStart w:id="167" w:name="_Toc41827697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E0CEB">
        <w:rPr>
          <w:rFonts w:asciiTheme="minorHAnsi" w:hAnsiTheme="minorHAnsi" w:cs="Arial"/>
          <w:szCs w:val="22"/>
        </w:rPr>
        <w:t>wydatki związane z otworzeniem lub prowadzeniem wyodrębnionego na rzecz projektu subkonta na rachunku bankowym lub odrębnego rachunku bankowego,</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działania informacyjno-promocyjne projektu (np. zakup materiałów promocyjnych i informacyjnych, zakup ogłoszeń prasowych),</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amortyzacja, najem lub zakup aktywów (środków trwałych i wartości niematerialnych i prawnych) używanych na potrzeby personelu, o którym mowa w lit. a - d,</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opłaty za energię elektryczną, cieplną, gazową i wodę, opłaty przesyłowe, opłaty za odprowadzanie ścieków w zakresie związanym z obsługą administracyjną projektu,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usług pocztowych, telefonicznych, internetowych, kurierskich związanych z obsługą administracyjną projektu,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usług powielania dokumentów związanych z obsługą administracyjną projektu,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materiałów biurowych i artykułów piśmienniczych związanych z obsługą administracyjną projektu,</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ubezpieczeń majątkowych,</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ochrony,</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471B61" w:rsidRPr="000E0CEB" w:rsidRDefault="00477DF1">
      <w:pPr>
        <w:numPr>
          <w:ilvl w:val="0"/>
          <w:numId w:val="6"/>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koszty zabezpieczenia prawidłowej realizacji umowy.</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 xml:space="preserve">W ramach kosztów pośrednich nie są wykazywane wydatki objęte </w:t>
      </w:r>
      <w:r w:rsidRPr="000E0CEB">
        <w:rPr>
          <w:rFonts w:asciiTheme="minorHAnsi" w:hAnsiTheme="minorHAnsi" w:cs="Arial,Italic"/>
          <w:i/>
          <w:iCs/>
          <w:szCs w:val="22"/>
        </w:rPr>
        <w:t>cross</w:t>
      </w:r>
      <w:r w:rsidRPr="000E0CEB">
        <w:rPr>
          <w:rFonts w:asciiTheme="minorHAnsi" w:hAnsiTheme="minorHAnsi" w:cs="Arial"/>
          <w:i/>
          <w:iCs/>
          <w:szCs w:val="22"/>
        </w:rPr>
        <w:t>-</w:t>
      </w:r>
      <w:r w:rsidRPr="000E0CEB">
        <w:rPr>
          <w:rFonts w:asciiTheme="minorHAnsi" w:hAnsiTheme="minorHAnsi" w:cs="Arial,Italic"/>
          <w:i/>
          <w:iCs/>
          <w:szCs w:val="22"/>
        </w:rPr>
        <w:t>financingiem</w:t>
      </w:r>
      <w:r w:rsidRPr="000E0CEB">
        <w:rPr>
          <w:rFonts w:asciiTheme="minorHAnsi" w:hAnsiTheme="minorHAnsi" w:cs="Arial,Italic"/>
          <w:iCs/>
          <w:szCs w:val="22"/>
        </w:rPr>
        <w:t>.</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w:t>
      </w:r>
    </w:p>
    <w:p w:rsidR="00471B61" w:rsidRPr="000E0CEB" w:rsidRDefault="00477DF1">
      <w:pPr>
        <w:spacing w:before="0" w:line="240" w:lineRule="auto"/>
        <w:jc w:val="both"/>
        <w:rPr>
          <w:rFonts w:asciiTheme="minorHAnsi" w:hAnsiTheme="minorHAnsi" w:cs="Arial"/>
          <w:szCs w:val="22"/>
        </w:rPr>
      </w:pPr>
      <w:r w:rsidRPr="000E0CEB">
        <w:rPr>
          <w:rFonts w:asciiTheme="minorHAnsi" w:hAnsiTheme="minorHAnsi" w:cs="Arial"/>
          <w:szCs w:val="22"/>
        </w:rPr>
        <w:t>Koszty pośrednie rozliczane są wyłącznie z wykorzystaniem następujących stawek ryczałtowych:</w:t>
      </w:r>
    </w:p>
    <w:p w:rsidR="00471B61" w:rsidRPr="000E0CEB" w:rsidRDefault="00477DF1">
      <w:pPr>
        <w:numPr>
          <w:ilvl w:val="0"/>
          <w:numId w:val="7"/>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25% kosztów bezpośrednich – w przypadku projektów o wartości do 1 mln PLN włącznie,</w:t>
      </w:r>
    </w:p>
    <w:p w:rsidR="00471B61" w:rsidRPr="000E0CEB" w:rsidRDefault="00477DF1">
      <w:pPr>
        <w:numPr>
          <w:ilvl w:val="0"/>
          <w:numId w:val="7"/>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20% kosztów bezpośrednich – w przypadku projektów o wartości powyżej 1 mln PLN do 2 mln PLN włącznie,</w:t>
      </w:r>
    </w:p>
    <w:p w:rsidR="00471B61" w:rsidRPr="000E0CEB" w:rsidRDefault="00477DF1">
      <w:pPr>
        <w:numPr>
          <w:ilvl w:val="0"/>
          <w:numId w:val="7"/>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15% kosztów bezpośrednich – w przypadku projektów o wartości powyżej 2 mln PLN do 5 mln PLN włącznie,</w:t>
      </w:r>
    </w:p>
    <w:p w:rsidR="00471B61" w:rsidRPr="000E0CEB" w:rsidRDefault="00477DF1">
      <w:pPr>
        <w:numPr>
          <w:ilvl w:val="0"/>
          <w:numId w:val="7"/>
        </w:numPr>
        <w:spacing w:before="0" w:line="240" w:lineRule="auto"/>
        <w:ind w:left="567" w:hanging="567"/>
        <w:jc w:val="both"/>
        <w:rPr>
          <w:rFonts w:asciiTheme="minorHAnsi" w:hAnsiTheme="minorHAnsi" w:cs="Arial"/>
          <w:szCs w:val="22"/>
        </w:rPr>
      </w:pPr>
      <w:r w:rsidRPr="000E0CEB">
        <w:rPr>
          <w:rFonts w:asciiTheme="minorHAnsi" w:hAnsiTheme="minorHAnsi" w:cs="Arial"/>
          <w:szCs w:val="22"/>
        </w:rPr>
        <w:t>10% kosztów bezpośrednich – w przypadku projektów o wartości przekraczającej 5 mln PLN.</w:t>
      </w:r>
    </w:p>
    <w:p w:rsidR="00471B61" w:rsidRPr="000E0CEB" w:rsidRDefault="00471B61">
      <w:pPr>
        <w:spacing w:before="0" w:line="240" w:lineRule="auto"/>
        <w:jc w:val="both"/>
        <w:rPr>
          <w:rFonts w:asciiTheme="minorHAnsi" w:hAnsiTheme="minorHAnsi" w:cs="Arial"/>
          <w:szCs w:val="22"/>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Okres kwalifikowania wydatków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Początkiem okresu kwalifikowalności wydatków jest 1 stycznia 2014. W przypadku projektów rozpoczętych przed początkową datą kwalifikowalności wydatków, do współfinansowania kwalifikują się jedynie wydatki faktycznie poniesione od tej daty. Wydatki poniesione wcześniej nie stanowią wydatku kwalifikowalnego.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b/>
          <w:color w:val="000000"/>
          <w:szCs w:val="22"/>
          <w:lang w:eastAsia="en-US"/>
        </w:rPr>
        <w:lastRenderedPageBreak/>
        <w:t xml:space="preserve">Okres kwalifikowalności wydatków w ramach danego projektu określony jest w umowie o dofinansowanie, przy czym okres ten nie może wykraczać poza daty graniczne określone wyżej. </w:t>
      </w:r>
      <w:r w:rsidRPr="000E0CEB">
        <w:rPr>
          <w:rFonts w:asciiTheme="minorHAnsi" w:eastAsia="Calibri" w:hAnsiTheme="minorHAnsi" w:cs="Arial"/>
          <w:color w:val="000000"/>
          <w:szCs w:val="22"/>
          <w:lang w:eastAsia="en-US"/>
        </w:rPr>
        <w:t xml:space="preserve">Okres kwalifikowalności wydatków w ramach projektu może przypadać na okres przed podpisaniem umowy o dofinansowanie, jednak nie wcześniej niż początek okresu kwalifikowalności. Wydatki poniesione przed podpisaniem umowy o dofinansowanie mogą zostać uznane za kwalifikowalne wyłącznie w przypadku spełnienia warunków kwalifikowalności określonych w Wytycznych i umowie o dofinansowanie.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471B61" w:rsidRPr="000E0CEB" w:rsidRDefault="00471B61">
      <w:pPr>
        <w:spacing w:before="0" w:line="240" w:lineRule="auto"/>
        <w:jc w:val="both"/>
        <w:rPr>
          <w:rFonts w:asciiTheme="minorHAnsi" w:eastAsia="Calibri" w:hAnsiTheme="minorHAnsi" w:cs="Arial"/>
          <w:color w:val="000000"/>
          <w:szCs w:val="22"/>
          <w:lang w:eastAsia="en-US"/>
        </w:rPr>
      </w:pP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b/>
          <w:bCs/>
          <w:color w:val="000000"/>
          <w:szCs w:val="22"/>
          <w:lang w:eastAsia="en-US"/>
        </w:rPr>
        <w:t xml:space="preserve">Wydatkiem kwalifikowalnym jest wydatek spełniający łącznie następujące warunki: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a. został faktycznie poniesiony w okresie wskazanym w umowie o dofinansowanie,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b. jest zgodny z obowiązującymi przepisami prawa unijnego oraz prawa krajowego, w tym przepisami regulującymi udzielanie pomocy publicznej, jeśli mają zastosowanie,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c. jest zgodny z RPO WD 2014-2020 i SZOOP RPO WD 2014-2020,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d. 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(zwanych dalej </w:t>
      </w:r>
      <w:r w:rsidRPr="000E0CEB">
        <w:rPr>
          <w:rFonts w:asciiTheme="minorHAnsi" w:eastAsia="Calibri" w:hAnsiTheme="minorHAnsi" w:cs="Arial"/>
          <w:i/>
          <w:iCs/>
          <w:color w:val="000000"/>
          <w:szCs w:val="22"/>
          <w:lang w:eastAsia="en-US"/>
        </w:rPr>
        <w:t>Wytycznymi</w:t>
      </w:r>
      <w:r w:rsidRPr="000E0CEB">
        <w:rPr>
          <w:rFonts w:asciiTheme="minorHAnsi" w:eastAsia="Calibri" w:hAnsiTheme="minorHAnsi" w:cs="Arial"/>
          <w:color w:val="000000"/>
          <w:szCs w:val="22"/>
          <w:lang w:eastAsia="en-US"/>
        </w:rPr>
        <w:t xml:space="preserv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e. został poniesiony zgodnie z postanowieniami umowy o dofinansowanie,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f. jest niezbędny do realizacji celów projektu i został poniesiony w związku z realizacją projektu,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g. został dokonany w sposób przejrzysty, racjonalny i efektywny, z zachowaniem zasad uzyskiwania najlepszych efektów z danych nakładów, </w:t>
      </w:r>
    </w:p>
    <w:p w:rsidR="00471B61" w:rsidRPr="000E0CEB" w:rsidRDefault="00477DF1">
      <w:pPr>
        <w:spacing w:before="0" w:line="240" w:lineRule="auto"/>
        <w:jc w:val="both"/>
        <w:rPr>
          <w:rFonts w:asciiTheme="minorHAnsi" w:eastAsia="Calibri" w:hAnsiTheme="minorHAnsi" w:cs="Arial"/>
          <w:szCs w:val="22"/>
          <w:lang w:eastAsia="en-US"/>
        </w:rPr>
      </w:pPr>
      <w:r w:rsidRPr="000E0CEB">
        <w:rPr>
          <w:rFonts w:asciiTheme="minorHAnsi" w:eastAsia="Calibri" w:hAnsiTheme="minorHAnsi" w:cs="Arial"/>
          <w:color w:val="000000"/>
          <w:szCs w:val="22"/>
          <w:lang w:eastAsia="en-US"/>
        </w:rPr>
        <w:t>h. został należycie udokumentowany, zgodnie z wymogami w tym zakresie określonymi w dokumentach wymienionych powyżej,</w:t>
      </w:r>
    </w:p>
    <w:p w:rsidR="00471B61" w:rsidRPr="000E0CEB" w:rsidRDefault="00477DF1">
      <w:pPr>
        <w:pStyle w:val="Default"/>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i. został wykazany we wniosku o płatność, zgodnie z Wytycznymi w zakresie warunków gromadzenia i przekazywania danych w postaci elektronicznej z dnia </w:t>
      </w:r>
      <w:r w:rsidRPr="000E0CEB">
        <w:rPr>
          <w:rFonts w:asciiTheme="minorHAnsi" w:eastAsia="Calibri" w:hAnsiTheme="minorHAnsi" w:cs="Arial"/>
          <w:b/>
          <w:bCs/>
          <w:i/>
          <w:iCs/>
          <w:color w:val="000000"/>
          <w:sz w:val="22"/>
          <w:szCs w:val="22"/>
          <w:lang w:eastAsia="en-US"/>
        </w:rPr>
        <w:t>3 marca 2015 r.</w:t>
      </w:r>
      <w:r w:rsidRPr="000E0CEB">
        <w:rPr>
          <w:rFonts w:asciiTheme="minorHAnsi" w:eastAsia="Calibri" w:hAnsiTheme="minorHAnsi" w:cs="Arial"/>
          <w:i/>
          <w:iCs/>
          <w:color w:val="000000"/>
          <w:sz w:val="22"/>
          <w:szCs w:val="22"/>
          <w:lang w:eastAsia="en-US"/>
        </w:rPr>
        <w:t xml:space="preserve">,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j. dotyczy towarów dostarczonych lub usług wykonanych lub robót zrealizowanych, w tym zaliczek dla wykonawców, </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k. jest zgodny z innymi warunkami uznania go za wydatek kwalifikowalny określonymi w </w:t>
      </w:r>
      <w:r w:rsidRPr="000E0CEB">
        <w:rPr>
          <w:rFonts w:asciiTheme="minorHAnsi" w:eastAsia="Calibri" w:hAnsiTheme="minorHAnsi" w:cs="Arial"/>
          <w:i/>
          <w:iCs/>
          <w:color w:val="000000"/>
          <w:szCs w:val="22"/>
          <w:lang w:eastAsia="en-US"/>
        </w:rPr>
        <w:t xml:space="preserve">Wytycznych, </w:t>
      </w:r>
      <w:r w:rsidRPr="000E0CEB">
        <w:rPr>
          <w:rFonts w:asciiTheme="minorHAnsi" w:eastAsia="Calibri" w:hAnsiTheme="minorHAnsi" w:cs="Arial"/>
          <w:color w:val="000000"/>
          <w:szCs w:val="22"/>
          <w:lang w:eastAsia="en-US"/>
        </w:rPr>
        <w:t xml:space="preserve">lub regulaminie konkursu. </w:t>
      </w:r>
    </w:p>
    <w:p w:rsidR="00471B61" w:rsidRPr="000E0CEB" w:rsidRDefault="00477DF1">
      <w:pPr>
        <w:spacing w:line="240" w:lineRule="auto"/>
        <w:jc w:val="both"/>
        <w:rPr>
          <w:rFonts w:asciiTheme="minorHAnsi" w:eastAsia="Calibri" w:hAnsiTheme="minorHAnsi" w:cs="Arial"/>
          <w:b/>
          <w:color w:val="000000"/>
          <w:szCs w:val="22"/>
          <w:lang w:eastAsia="en-US"/>
        </w:rPr>
      </w:pPr>
      <w:r w:rsidRPr="000E0CEB">
        <w:rPr>
          <w:rFonts w:asciiTheme="minorHAnsi" w:eastAsia="Calibri" w:hAnsiTheme="minorHAnsi" w:cs="Arial"/>
          <w:b/>
          <w:bCs/>
          <w:iCs/>
          <w:color w:val="000000"/>
          <w:szCs w:val="22"/>
          <w:lang w:eastAsia="en-US"/>
        </w:rPr>
        <w:lastRenderedPageBreak/>
        <w:t xml:space="preserve">Do wydatków niekwalifikowanych należą m.in.: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prowizje pobierane w ramach operacji wymiany walut,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odsetki od zadłużenia, z wyjątkiem wydatków ponoszonych na subsydiowanie odsetek lub na dotacje na opłaty gwarancyjne w przypadku udzielania wsparcia na te cele,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koszty pożyczki lub kredytu zaciągniętego na prefinansowanie dotacji,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kary i grzywny,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świadczenia realizowane ze środków Zakładowego Funduszu Świadczeń Socjalnych (ZFŚS),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sz w:val="22"/>
          <w:szCs w:val="22"/>
          <w:lang w:eastAsia="en-US"/>
        </w:rPr>
      </w:pPr>
      <w:r w:rsidRPr="000E0CEB">
        <w:rPr>
          <w:rFonts w:asciiTheme="minorHAnsi" w:eastAsia="Calibri" w:hAnsiTheme="minorHAnsi" w:cs="Arial"/>
          <w:color w:val="000000"/>
          <w:sz w:val="22"/>
          <w:szCs w:val="22"/>
          <w:lang w:eastAsia="en-US"/>
        </w:rPr>
        <w:t xml:space="preserve">odpisy dokonywane na ZFŚS w projektach realizowanych ze środków Pomocy Technicznej,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rozliczenie notą obciążeniową zakupu rzeczy będącej własnością beneficjenta lub prawa przysługującego beneficjentowi,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color w:val="000000"/>
          <w:sz w:val="22"/>
          <w:szCs w:val="22"/>
          <w:lang w:eastAsia="en-US"/>
        </w:rPr>
      </w:pPr>
      <w:r w:rsidRPr="000E0CEB">
        <w:rPr>
          <w:rFonts w:asciiTheme="minorHAnsi" w:eastAsia="Calibri" w:hAnsiTheme="minorHAnsi" w:cs="Arial"/>
          <w:color w:val="000000"/>
          <w:sz w:val="22"/>
          <w:szCs w:val="22"/>
          <w:lang w:eastAsia="en-US"/>
        </w:rPr>
        <w:t xml:space="preserve">wpłaty na Państwowy Fundusz Rehabilitacji Osób Niepełnosprawnych (PFRON), </w:t>
      </w:r>
    </w:p>
    <w:p w:rsidR="00471B61" w:rsidRPr="000E0CEB" w:rsidRDefault="00477DF1">
      <w:pPr>
        <w:pStyle w:val="Akapitzlist"/>
        <w:numPr>
          <w:ilvl w:val="1"/>
          <w:numId w:val="54"/>
        </w:numPr>
        <w:spacing w:before="0" w:line="240" w:lineRule="auto"/>
        <w:ind w:left="709"/>
        <w:jc w:val="both"/>
        <w:rPr>
          <w:rFonts w:asciiTheme="minorHAnsi" w:eastAsia="Calibri" w:hAnsiTheme="minorHAnsi" w:cs="Arial"/>
          <w:sz w:val="22"/>
          <w:szCs w:val="22"/>
          <w:lang w:eastAsia="en-US"/>
        </w:rPr>
      </w:pPr>
      <w:r w:rsidRPr="000E0CEB">
        <w:rPr>
          <w:rFonts w:asciiTheme="minorHAnsi" w:eastAsia="Calibri" w:hAnsiTheme="minorHAnsi" w:cs="Arial"/>
          <w:sz w:val="22"/>
          <w:szCs w:val="22"/>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471B61" w:rsidRPr="000E0CEB" w:rsidRDefault="00477DF1">
      <w:pPr>
        <w:pStyle w:val="Akapitzlist"/>
        <w:numPr>
          <w:ilvl w:val="0"/>
          <w:numId w:val="55"/>
        </w:numPr>
        <w:spacing w:before="0" w:line="240" w:lineRule="auto"/>
        <w:jc w:val="both"/>
        <w:rPr>
          <w:rFonts w:asciiTheme="minorHAnsi" w:eastAsia="Calibri" w:hAnsiTheme="minorHAnsi" w:cs="Arial"/>
          <w:sz w:val="22"/>
          <w:szCs w:val="22"/>
          <w:lang w:eastAsia="en-US"/>
        </w:rPr>
      </w:pPr>
      <w:r w:rsidRPr="000E0CEB">
        <w:rPr>
          <w:rFonts w:asciiTheme="minorHAnsi" w:eastAsia="Calibri" w:hAnsiTheme="minorHAnsi" w:cs="Arial"/>
          <w:sz w:val="22"/>
          <w:szCs w:val="22"/>
          <w:lang w:eastAsia="en-US"/>
        </w:rPr>
        <w:t>wydatków związanych z procesem odzyskiwania środków od beneficjentów w trybie ustawy o finansach publicznych, po akceptacji IZ RPO WD,</w:t>
      </w:r>
    </w:p>
    <w:p w:rsidR="00471B61" w:rsidRPr="000E0CEB" w:rsidRDefault="00477DF1">
      <w:pPr>
        <w:pStyle w:val="Akapitzlist"/>
        <w:numPr>
          <w:ilvl w:val="0"/>
          <w:numId w:val="55"/>
        </w:numPr>
        <w:spacing w:before="0" w:line="240" w:lineRule="auto"/>
        <w:jc w:val="both"/>
        <w:rPr>
          <w:rFonts w:asciiTheme="minorHAnsi" w:eastAsia="Calibri" w:hAnsiTheme="minorHAnsi" w:cs="Arial"/>
          <w:sz w:val="22"/>
          <w:szCs w:val="22"/>
          <w:lang w:eastAsia="en-US"/>
        </w:rPr>
      </w:pPr>
      <w:r w:rsidRPr="000E0CEB">
        <w:rPr>
          <w:rFonts w:asciiTheme="minorHAnsi" w:eastAsia="Calibri" w:hAnsiTheme="minorHAnsi" w:cs="Arial"/>
          <w:sz w:val="22"/>
          <w:szCs w:val="22"/>
          <w:lang w:eastAsia="en-US"/>
        </w:rPr>
        <w:t>wydatków wynikających z zastosowania mechanizmu waloryzacji ceny,</w:t>
      </w:r>
    </w:p>
    <w:p w:rsidR="00471B61" w:rsidRPr="000E0CEB" w:rsidRDefault="00477DF1">
      <w:pPr>
        <w:pStyle w:val="Akapitzlist"/>
        <w:numPr>
          <w:ilvl w:val="0"/>
          <w:numId w:val="55"/>
        </w:numPr>
        <w:spacing w:before="0" w:line="240" w:lineRule="auto"/>
        <w:jc w:val="both"/>
        <w:rPr>
          <w:rFonts w:asciiTheme="minorHAnsi" w:eastAsia="Calibri" w:hAnsiTheme="minorHAnsi" w:cs="Arial"/>
          <w:sz w:val="22"/>
          <w:szCs w:val="22"/>
          <w:lang w:eastAsia="en-US"/>
        </w:rPr>
      </w:pPr>
      <w:r w:rsidRPr="000E0CEB">
        <w:rPr>
          <w:rFonts w:asciiTheme="minorHAnsi" w:eastAsia="Calibri" w:hAnsiTheme="minorHAnsi" w:cs="Arial"/>
          <w:sz w:val="22"/>
          <w:szCs w:val="22"/>
          <w:lang w:eastAsia="en-US"/>
        </w:rPr>
        <w:t>wydatków wynikających ze zwiększenia wynagrodzenia wykonawcy dokonanego w drodze porozumienia, ugody sądowej oraz orzeczenia sądu, o którym mowa w art. 357</w:t>
      </w:r>
      <w:r w:rsidRPr="000E0CEB">
        <w:rPr>
          <w:rFonts w:asciiTheme="minorHAnsi" w:eastAsia="Calibri" w:hAnsiTheme="minorHAnsi" w:cs="Arial"/>
          <w:sz w:val="22"/>
          <w:szCs w:val="22"/>
          <w:vertAlign w:val="superscript"/>
          <w:lang w:eastAsia="en-US"/>
        </w:rPr>
        <w:t>1</w:t>
      </w:r>
      <w:r w:rsidRPr="000E0CEB">
        <w:rPr>
          <w:rFonts w:asciiTheme="minorHAnsi" w:eastAsia="Calibri" w:hAnsiTheme="minorHAnsi" w:cs="Arial"/>
          <w:sz w:val="22"/>
          <w:szCs w:val="22"/>
          <w:lang w:eastAsia="en-US"/>
        </w:rPr>
        <w:t xml:space="preserve"> Kodeksu cywilnego,</w:t>
      </w:r>
    </w:p>
    <w:p w:rsidR="00471B61" w:rsidRPr="000E0CEB" w:rsidRDefault="00477DF1">
      <w:pPr>
        <w:pStyle w:val="Akapitzlist"/>
        <w:numPr>
          <w:ilvl w:val="0"/>
          <w:numId w:val="55"/>
        </w:numPr>
        <w:spacing w:before="0" w:line="240" w:lineRule="auto"/>
        <w:jc w:val="both"/>
        <w:rPr>
          <w:rFonts w:asciiTheme="minorHAnsi" w:eastAsia="Calibri" w:hAnsiTheme="minorHAnsi" w:cs="Arial"/>
          <w:color w:val="000000"/>
          <w:sz w:val="22"/>
          <w:szCs w:val="22"/>
          <w:lang w:eastAsia="en-US"/>
        </w:rPr>
      </w:pPr>
      <w:r w:rsidRPr="000E0CEB">
        <w:rPr>
          <w:rFonts w:asciiTheme="minorHAnsi" w:eastAsia="Calibri" w:hAnsiTheme="minorHAnsi" w:cs="Arial"/>
          <w:sz w:val="22"/>
          <w:szCs w:val="22"/>
          <w:lang w:eastAsia="en-US"/>
        </w:rPr>
        <w:t>wydatków wynikających ze zwiększenia wynagrodzenia ryczałtowego na mocy wyroku sądu, o którym mowa w art. 632 § 2 Kodeksu cywilnego.</w:t>
      </w:r>
    </w:p>
    <w:p w:rsidR="00471B61" w:rsidRPr="000E0CEB" w:rsidRDefault="00477DF1">
      <w:pPr>
        <w:pStyle w:val="Akapitzlist"/>
        <w:numPr>
          <w:ilvl w:val="1"/>
          <w:numId w:val="54"/>
        </w:numPr>
        <w:spacing w:before="0" w:line="240" w:lineRule="auto"/>
        <w:ind w:right="81"/>
        <w:jc w:val="both"/>
        <w:rPr>
          <w:rFonts w:asciiTheme="minorHAnsi" w:hAnsiTheme="minorHAnsi"/>
          <w:sz w:val="22"/>
          <w:szCs w:val="22"/>
        </w:rPr>
      </w:pPr>
      <w:r w:rsidRPr="000E0CEB">
        <w:rPr>
          <w:rFonts w:asciiTheme="minorHAnsi" w:hAnsiTheme="minorHAnsi"/>
          <w:sz w:val="22"/>
          <w:szCs w:val="22"/>
        </w:rPr>
        <w:t>wydatki poniesione na zakup u</w:t>
      </w:r>
      <w:r w:rsidRPr="000E0CEB">
        <w:rPr>
          <w:rFonts w:asciiTheme="minorHAnsi" w:eastAsia="Arial" w:hAnsiTheme="minorHAnsi" w:cs="Arial"/>
          <w:sz w:val="22"/>
          <w:szCs w:val="22"/>
        </w:rPr>
        <w:t>ż</w:t>
      </w:r>
      <w:r w:rsidRPr="000E0CEB">
        <w:rPr>
          <w:rFonts w:asciiTheme="minorHAnsi" w:hAnsiTheme="minorHAnsi"/>
          <w:sz w:val="22"/>
          <w:szCs w:val="22"/>
        </w:rPr>
        <w:t xml:space="preserve">ywanego </w:t>
      </w:r>
      <w:r w:rsidRPr="000E0CEB">
        <w:rPr>
          <w:rFonts w:asciiTheme="minorHAnsi" w:eastAsia="Arial" w:hAnsiTheme="minorHAnsi" w:cs="Arial"/>
          <w:sz w:val="22"/>
          <w:szCs w:val="22"/>
        </w:rPr>
        <w:t>ś</w:t>
      </w:r>
      <w:r w:rsidRPr="000E0CEB">
        <w:rPr>
          <w:rFonts w:asciiTheme="minorHAnsi" w:hAnsiTheme="minorHAnsi"/>
          <w:sz w:val="22"/>
          <w:szCs w:val="22"/>
        </w:rPr>
        <w:t>rodka trwałego, który był w ci</w:t>
      </w:r>
      <w:r w:rsidRPr="000E0CEB">
        <w:rPr>
          <w:rFonts w:asciiTheme="minorHAnsi" w:eastAsia="Arial" w:hAnsiTheme="minorHAnsi" w:cs="Arial"/>
          <w:sz w:val="22"/>
          <w:szCs w:val="22"/>
        </w:rPr>
        <w:t>ą</w:t>
      </w:r>
      <w:r w:rsidRPr="000E0CEB">
        <w:rPr>
          <w:rFonts w:asciiTheme="minorHAnsi" w:hAnsiTheme="minorHAnsi"/>
          <w:sz w:val="22"/>
          <w:szCs w:val="22"/>
        </w:rPr>
        <w:t>gu 7 lat wstecz (w przypadku nieruchomo</w:t>
      </w:r>
      <w:r w:rsidRPr="000E0CEB">
        <w:rPr>
          <w:rFonts w:asciiTheme="minorHAnsi" w:eastAsia="Arial" w:hAnsiTheme="minorHAnsi" w:cs="Arial"/>
          <w:sz w:val="22"/>
          <w:szCs w:val="22"/>
        </w:rPr>
        <w:t>ś</w:t>
      </w:r>
      <w:r w:rsidRPr="000E0CEB">
        <w:rPr>
          <w:rFonts w:asciiTheme="minorHAnsi" w:hAnsiTheme="minorHAnsi"/>
          <w:sz w:val="22"/>
          <w:szCs w:val="22"/>
        </w:rPr>
        <w:t xml:space="preserve">ci 10 lat) współfinansowany ze </w:t>
      </w:r>
      <w:r w:rsidRPr="000E0CEB">
        <w:rPr>
          <w:rFonts w:asciiTheme="minorHAnsi" w:eastAsia="Arial" w:hAnsiTheme="minorHAnsi" w:cs="Arial"/>
          <w:sz w:val="22"/>
          <w:szCs w:val="22"/>
        </w:rPr>
        <w:t>ś</w:t>
      </w:r>
      <w:r w:rsidRPr="000E0CEB">
        <w:rPr>
          <w:rFonts w:asciiTheme="minorHAnsi" w:hAnsiTheme="minorHAnsi"/>
          <w:sz w:val="22"/>
          <w:szCs w:val="22"/>
        </w:rPr>
        <w:t>rodków unijnych lub z dotacji krajowych</w:t>
      </w:r>
      <w:r w:rsidRPr="000E0CEB">
        <w:rPr>
          <w:rStyle w:val="Zakotwiczenieprzypisudolnego"/>
          <w:rFonts w:asciiTheme="minorHAnsi" w:hAnsiTheme="minorHAnsi"/>
          <w:sz w:val="22"/>
          <w:szCs w:val="22"/>
        </w:rPr>
        <w:footnoteReference w:id="5"/>
      </w:r>
      <w:r w:rsidRPr="000E0CEB">
        <w:rPr>
          <w:rFonts w:asciiTheme="minorHAnsi" w:hAnsiTheme="minorHAnsi"/>
          <w:sz w:val="22"/>
          <w:szCs w:val="22"/>
        </w:rPr>
        <w:t xml:space="preserve">,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podatek VAT, który mo</w:t>
      </w:r>
      <w:r w:rsidRPr="000E0CEB">
        <w:rPr>
          <w:rFonts w:asciiTheme="minorHAnsi" w:eastAsia="Arial" w:hAnsiTheme="minorHAnsi" w:cs="Arial"/>
          <w:szCs w:val="22"/>
        </w:rPr>
        <w:t>ż</w:t>
      </w:r>
      <w:r w:rsidRPr="000E0CEB">
        <w:rPr>
          <w:rFonts w:asciiTheme="minorHAnsi" w:hAnsiTheme="minorHAnsi"/>
          <w:szCs w:val="22"/>
        </w:rPr>
        <w:t>e zosta</w:t>
      </w:r>
      <w:r w:rsidRPr="000E0CEB">
        <w:rPr>
          <w:rFonts w:asciiTheme="minorHAnsi" w:eastAsia="Arial" w:hAnsiTheme="minorHAnsi" w:cs="Arial"/>
          <w:szCs w:val="22"/>
        </w:rPr>
        <w:t>ć</w:t>
      </w:r>
      <w:r w:rsidRPr="000E0CEB">
        <w:rPr>
          <w:rFonts w:asciiTheme="minorHAnsi" w:hAnsiTheme="minorHAnsi"/>
          <w:szCs w:val="22"/>
        </w:rPr>
        <w:t xml:space="preserve"> odzyskany na podstawie przepisów krajowych,  tj. ustawy z dnia 11 marca 2004 r. o podatku od towarów i usług (Dz. U. z 2011 r.  Nr 177, poz. 1054, z pó</w:t>
      </w:r>
      <w:r w:rsidRPr="000E0CEB">
        <w:rPr>
          <w:rFonts w:asciiTheme="minorHAnsi" w:eastAsia="Arial" w:hAnsiTheme="minorHAnsi" w:cs="Arial"/>
          <w:szCs w:val="22"/>
        </w:rPr>
        <w:t>ź</w:t>
      </w:r>
      <w:r w:rsidRPr="000E0CEB">
        <w:rPr>
          <w:rFonts w:asciiTheme="minorHAnsi" w:hAnsiTheme="minorHAnsi"/>
          <w:szCs w:val="22"/>
        </w:rPr>
        <w:t>n. zm.), zwanej dalej ustaw</w:t>
      </w:r>
      <w:r w:rsidRPr="000E0CEB">
        <w:rPr>
          <w:rFonts w:asciiTheme="minorHAnsi" w:eastAsia="Arial" w:hAnsiTheme="minorHAnsi" w:cs="Arial"/>
          <w:szCs w:val="22"/>
        </w:rPr>
        <w:t>ą</w:t>
      </w:r>
      <w:r w:rsidRPr="000E0CEB">
        <w:rPr>
          <w:rFonts w:asciiTheme="minorHAnsi" w:hAnsiTheme="minorHAnsi"/>
          <w:szCs w:val="22"/>
        </w:rPr>
        <w:t xml:space="preserve"> o VAT, oraz aktów wykonawczych do tej ustawy, z zastrze</w:t>
      </w:r>
      <w:r w:rsidRPr="000E0CEB">
        <w:rPr>
          <w:rFonts w:asciiTheme="minorHAnsi" w:eastAsia="Arial" w:hAnsiTheme="minorHAnsi" w:cs="Arial"/>
          <w:szCs w:val="22"/>
        </w:rPr>
        <w:t>ż</w:t>
      </w:r>
      <w:r w:rsidRPr="000E0CEB">
        <w:rPr>
          <w:rFonts w:asciiTheme="minorHAnsi" w:hAnsiTheme="minorHAnsi"/>
          <w:szCs w:val="22"/>
        </w:rPr>
        <w:t xml:space="preserve">eniem pkt 6 sekcji 6.19.1,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wydatki poniesione na zakup nieruchomo</w:t>
      </w:r>
      <w:r w:rsidRPr="000E0CEB">
        <w:rPr>
          <w:rFonts w:asciiTheme="minorHAnsi" w:eastAsia="Arial" w:hAnsiTheme="minorHAnsi" w:cs="Arial"/>
          <w:szCs w:val="22"/>
        </w:rPr>
        <w:t>ś</w:t>
      </w:r>
      <w:r w:rsidRPr="000E0CEB">
        <w:rPr>
          <w:rFonts w:asciiTheme="minorHAnsi" w:hAnsiTheme="minorHAnsi"/>
          <w:szCs w:val="22"/>
        </w:rPr>
        <w:t>ci przekraczaj</w:t>
      </w:r>
      <w:r w:rsidRPr="000E0CEB">
        <w:rPr>
          <w:rFonts w:asciiTheme="minorHAnsi" w:eastAsia="Arial" w:hAnsiTheme="minorHAnsi" w:cs="Arial"/>
          <w:szCs w:val="22"/>
        </w:rPr>
        <w:t>ą</w:t>
      </w:r>
      <w:r w:rsidRPr="000E0CEB">
        <w:rPr>
          <w:rFonts w:asciiTheme="minorHAnsi" w:hAnsiTheme="minorHAnsi"/>
          <w:szCs w:val="22"/>
        </w:rPr>
        <w:t xml:space="preserve">ce 10% całkowitych wydatków kwalifikowalnych projektu,  </w:t>
      </w:r>
    </w:p>
    <w:p w:rsidR="00471B61" w:rsidRPr="000E0CEB" w:rsidRDefault="00477DF1">
      <w:pPr>
        <w:numPr>
          <w:ilvl w:val="1"/>
          <w:numId w:val="54"/>
        </w:numPr>
        <w:spacing w:before="0" w:line="240" w:lineRule="auto"/>
        <w:ind w:right="81"/>
        <w:jc w:val="both"/>
        <w:rPr>
          <w:rFonts w:asciiTheme="minorHAnsi" w:eastAsia="Arial" w:hAnsiTheme="minorHAnsi" w:cs="Arial"/>
          <w:i/>
          <w:szCs w:val="22"/>
        </w:rPr>
      </w:pPr>
      <w:r w:rsidRPr="000E0CEB">
        <w:rPr>
          <w:rFonts w:asciiTheme="minorHAnsi" w:hAnsiTheme="minorHAnsi"/>
          <w:szCs w:val="22"/>
        </w:rPr>
        <w:t xml:space="preserve">zakup lokali mieszkalnych,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inne ni</w:t>
      </w:r>
      <w:r w:rsidRPr="000E0CEB">
        <w:rPr>
          <w:rFonts w:asciiTheme="minorHAnsi" w:eastAsia="Arial" w:hAnsiTheme="minorHAnsi" w:cs="Arial"/>
          <w:szCs w:val="22"/>
        </w:rPr>
        <w:t xml:space="preserve">ż </w:t>
      </w:r>
      <w:r w:rsidRPr="000E0CEB">
        <w:rPr>
          <w:rFonts w:asciiTheme="minorHAnsi" w:hAnsiTheme="minorHAnsi"/>
          <w:szCs w:val="22"/>
        </w:rPr>
        <w:t>cz</w:t>
      </w:r>
      <w:r w:rsidRPr="000E0CEB">
        <w:rPr>
          <w:rFonts w:asciiTheme="minorHAnsi" w:eastAsia="Arial" w:hAnsiTheme="minorHAnsi" w:cs="Arial"/>
          <w:szCs w:val="22"/>
        </w:rPr>
        <w:t>ęść</w:t>
      </w:r>
      <w:r w:rsidRPr="000E0CEB">
        <w:rPr>
          <w:rFonts w:asciiTheme="minorHAnsi" w:hAnsiTheme="minorHAnsi"/>
          <w:szCs w:val="22"/>
        </w:rPr>
        <w:t xml:space="preserve"> kapitałowa raty leasingowej wydatki zwi</w:t>
      </w:r>
      <w:r w:rsidRPr="000E0CEB">
        <w:rPr>
          <w:rFonts w:asciiTheme="minorHAnsi" w:eastAsia="Arial" w:hAnsiTheme="minorHAnsi" w:cs="Arial"/>
          <w:szCs w:val="22"/>
        </w:rPr>
        <w:t>ą</w:t>
      </w:r>
      <w:r w:rsidRPr="000E0CEB">
        <w:rPr>
          <w:rFonts w:asciiTheme="minorHAnsi" w:hAnsiTheme="minorHAnsi"/>
          <w:szCs w:val="22"/>
        </w:rPr>
        <w:t>zane z umow</w:t>
      </w:r>
      <w:r w:rsidRPr="000E0CEB">
        <w:rPr>
          <w:rFonts w:asciiTheme="minorHAnsi" w:eastAsia="Arial" w:hAnsiTheme="minorHAnsi" w:cs="Arial"/>
          <w:szCs w:val="22"/>
        </w:rPr>
        <w:t>ą</w:t>
      </w:r>
      <w:r w:rsidRPr="000E0CEB">
        <w:rPr>
          <w:rFonts w:asciiTheme="minorHAnsi" w:hAnsiTheme="minorHAnsi"/>
          <w:szCs w:val="22"/>
        </w:rPr>
        <w:t xml:space="preserve"> leasingu,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transakcje dokonane w gotówce, których warto</w:t>
      </w:r>
      <w:r w:rsidRPr="000E0CEB">
        <w:rPr>
          <w:rFonts w:asciiTheme="minorHAnsi" w:eastAsia="Arial" w:hAnsiTheme="minorHAnsi" w:cs="Arial"/>
          <w:szCs w:val="22"/>
        </w:rPr>
        <w:t>ść</w:t>
      </w:r>
      <w:r w:rsidRPr="000E0CEB">
        <w:rPr>
          <w:rFonts w:asciiTheme="minorHAnsi" w:hAnsiTheme="minorHAnsi"/>
          <w:szCs w:val="22"/>
        </w:rPr>
        <w:t xml:space="preserve"> przekracza równowarto</w:t>
      </w:r>
      <w:r w:rsidRPr="000E0CEB">
        <w:rPr>
          <w:rFonts w:asciiTheme="minorHAnsi" w:eastAsia="Arial" w:hAnsiTheme="minorHAnsi" w:cs="Arial"/>
          <w:szCs w:val="22"/>
        </w:rPr>
        <w:t>ść</w:t>
      </w:r>
      <w:r w:rsidRPr="000E0CEB">
        <w:rPr>
          <w:rFonts w:asciiTheme="minorHAnsi" w:hAnsiTheme="minorHAnsi"/>
          <w:szCs w:val="22"/>
        </w:rPr>
        <w:t xml:space="preserve"> 15 000 euro przeliczonych na PLN według </w:t>
      </w:r>
      <w:r w:rsidRPr="000E0CEB">
        <w:rPr>
          <w:rFonts w:asciiTheme="minorHAnsi" w:eastAsia="Arial" w:hAnsiTheme="minorHAnsi" w:cs="Arial"/>
          <w:szCs w:val="22"/>
        </w:rPr>
        <w:t>ś</w:t>
      </w:r>
      <w:r w:rsidRPr="000E0CEB">
        <w:rPr>
          <w:rFonts w:asciiTheme="minorHAnsi" w:hAnsiTheme="minorHAnsi"/>
          <w:szCs w:val="22"/>
        </w:rPr>
        <w:t>redniego kursu walut obcych ogłaszanego przez Narodowy Bank Polski ostatniego dnia miesi</w:t>
      </w:r>
      <w:r w:rsidRPr="000E0CEB">
        <w:rPr>
          <w:rFonts w:asciiTheme="minorHAnsi" w:eastAsia="Arial" w:hAnsiTheme="minorHAnsi" w:cs="Arial"/>
          <w:szCs w:val="22"/>
        </w:rPr>
        <w:t>ą</w:t>
      </w:r>
      <w:r w:rsidRPr="000E0CEB">
        <w:rPr>
          <w:rFonts w:asciiTheme="minorHAnsi" w:hAnsiTheme="minorHAnsi"/>
          <w:szCs w:val="22"/>
        </w:rPr>
        <w:t>ca poprzedzaj</w:t>
      </w:r>
      <w:r w:rsidRPr="000E0CEB">
        <w:rPr>
          <w:rFonts w:asciiTheme="minorHAnsi" w:eastAsia="Arial" w:hAnsiTheme="minorHAnsi" w:cs="Arial"/>
          <w:szCs w:val="22"/>
        </w:rPr>
        <w:t>ą</w:t>
      </w:r>
      <w:r w:rsidRPr="000E0CEB">
        <w:rPr>
          <w:rFonts w:asciiTheme="minorHAnsi" w:hAnsiTheme="minorHAnsi"/>
          <w:szCs w:val="22"/>
        </w:rPr>
        <w:t>cego miesi</w:t>
      </w:r>
      <w:r w:rsidRPr="000E0CEB">
        <w:rPr>
          <w:rFonts w:asciiTheme="minorHAnsi" w:eastAsia="Arial" w:hAnsiTheme="minorHAnsi" w:cs="Arial"/>
          <w:szCs w:val="22"/>
        </w:rPr>
        <w:t>ą</w:t>
      </w:r>
      <w:r w:rsidRPr="000E0CEB">
        <w:rPr>
          <w:rFonts w:asciiTheme="minorHAnsi" w:hAnsiTheme="minorHAnsi"/>
          <w:szCs w:val="22"/>
        </w:rPr>
        <w:t>c, w którym dokonano transakcji - bez wzgl</w:t>
      </w:r>
      <w:r w:rsidRPr="000E0CEB">
        <w:rPr>
          <w:rFonts w:asciiTheme="minorHAnsi" w:eastAsia="Arial" w:hAnsiTheme="minorHAnsi" w:cs="Arial"/>
          <w:szCs w:val="22"/>
        </w:rPr>
        <w:t>ę</w:t>
      </w:r>
      <w:r w:rsidRPr="000E0CEB">
        <w:rPr>
          <w:rFonts w:asciiTheme="minorHAnsi" w:hAnsiTheme="minorHAnsi"/>
          <w:szCs w:val="22"/>
        </w:rPr>
        <w:t>du na liczb</w:t>
      </w:r>
      <w:r w:rsidRPr="000E0CEB">
        <w:rPr>
          <w:rFonts w:asciiTheme="minorHAnsi" w:eastAsia="Arial" w:hAnsiTheme="minorHAnsi" w:cs="Arial"/>
          <w:szCs w:val="22"/>
        </w:rPr>
        <w:t>ę</w:t>
      </w:r>
      <w:r w:rsidRPr="000E0CEB">
        <w:rPr>
          <w:rFonts w:asciiTheme="minorHAnsi" w:hAnsiTheme="minorHAnsi"/>
          <w:szCs w:val="22"/>
        </w:rPr>
        <w:t xml:space="preserve"> wynikaj</w:t>
      </w:r>
      <w:r w:rsidRPr="000E0CEB">
        <w:rPr>
          <w:rFonts w:asciiTheme="minorHAnsi" w:eastAsia="Arial" w:hAnsiTheme="minorHAnsi" w:cs="Arial"/>
          <w:szCs w:val="22"/>
        </w:rPr>
        <w:t>ą</w:t>
      </w:r>
      <w:r w:rsidRPr="000E0CEB">
        <w:rPr>
          <w:rFonts w:asciiTheme="minorHAnsi" w:hAnsiTheme="minorHAnsi"/>
          <w:szCs w:val="22"/>
        </w:rPr>
        <w:t>cych z danej transakcji płatno</w:t>
      </w:r>
      <w:r w:rsidRPr="000E0CEB">
        <w:rPr>
          <w:rFonts w:asciiTheme="minorHAnsi" w:eastAsia="Arial" w:hAnsiTheme="minorHAnsi" w:cs="Arial"/>
          <w:szCs w:val="22"/>
        </w:rPr>
        <w:t>ś</w:t>
      </w:r>
      <w:r w:rsidRPr="000E0CEB">
        <w:rPr>
          <w:rFonts w:asciiTheme="minorHAnsi" w:hAnsiTheme="minorHAnsi"/>
          <w:szCs w:val="22"/>
        </w:rPr>
        <w:t>ci, zgodnie z art. 22 ustawy z dnia 2 lipca 2004 r. o swobodzie działalno</w:t>
      </w:r>
      <w:r w:rsidRPr="000E0CEB">
        <w:rPr>
          <w:rFonts w:asciiTheme="minorHAnsi" w:eastAsia="Arial" w:hAnsiTheme="minorHAnsi" w:cs="Arial"/>
          <w:szCs w:val="22"/>
        </w:rPr>
        <w:t>ś</w:t>
      </w:r>
      <w:r w:rsidRPr="000E0CEB">
        <w:rPr>
          <w:rFonts w:asciiTheme="minorHAnsi" w:hAnsiTheme="minorHAnsi"/>
          <w:szCs w:val="22"/>
        </w:rPr>
        <w:t>ci gospodarczej (Dz. U. z  2013 r. poz. 672, z pó</w:t>
      </w:r>
      <w:r w:rsidRPr="000E0CEB">
        <w:rPr>
          <w:rFonts w:asciiTheme="minorHAnsi" w:eastAsia="Arial" w:hAnsiTheme="minorHAnsi" w:cs="Arial"/>
          <w:szCs w:val="22"/>
        </w:rPr>
        <w:t>ź</w:t>
      </w:r>
      <w:r w:rsidRPr="000E0CEB">
        <w:rPr>
          <w:rFonts w:asciiTheme="minorHAnsi" w:hAnsiTheme="minorHAnsi"/>
          <w:szCs w:val="22"/>
        </w:rPr>
        <w:t xml:space="preserve">n. zm.),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wydatki zwi</w:t>
      </w:r>
      <w:r w:rsidRPr="000E0CEB">
        <w:rPr>
          <w:rFonts w:asciiTheme="minorHAnsi" w:eastAsia="Arial" w:hAnsiTheme="minorHAnsi" w:cs="Arial"/>
          <w:szCs w:val="22"/>
        </w:rPr>
        <w:t>ą</w:t>
      </w:r>
      <w:r w:rsidRPr="000E0CEB">
        <w:rPr>
          <w:rFonts w:asciiTheme="minorHAnsi" w:hAnsiTheme="minorHAnsi"/>
          <w:szCs w:val="22"/>
        </w:rPr>
        <w:t>zane z czynno</w:t>
      </w:r>
      <w:r w:rsidRPr="000E0CEB">
        <w:rPr>
          <w:rFonts w:asciiTheme="minorHAnsi" w:eastAsia="Arial" w:hAnsiTheme="minorHAnsi" w:cs="Arial"/>
          <w:szCs w:val="22"/>
        </w:rPr>
        <w:t>ś</w:t>
      </w:r>
      <w:r w:rsidRPr="000E0CEB">
        <w:rPr>
          <w:rFonts w:asciiTheme="minorHAnsi" w:hAnsiTheme="minorHAnsi"/>
          <w:szCs w:val="22"/>
        </w:rPr>
        <w:t>ci</w:t>
      </w:r>
      <w:r w:rsidRPr="000E0CEB">
        <w:rPr>
          <w:rFonts w:asciiTheme="minorHAnsi" w:eastAsia="Arial" w:hAnsiTheme="minorHAnsi" w:cs="Arial"/>
          <w:szCs w:val="22"/>
        </w:rPr>
        <w:t>ą</w:t>
      </w:r>
      <w:r w:rsidRPr="000E0CEB">
        <w:rPr>
          <w:rFonts w:asciiTheme="minorHAnsi" w:hAnsiTheme="minorHAnsi"/>
          <w:szCs w:val="22"/>
        </w:rPr>
        <w:t xml:space="preserve"> techniczn</w:t>
      </w:r>
      <w:r w:rsidRPr="000E0CEB">
        <w:rPr>
          <w:rFonts w:asciiTheme="minorHAnsi" w:eastAsia="Arial" w:hAnsiTheme="minorHAnsi" w:cs="Arial"/>
          <w:szCs w:val="22"/>
        </w:rPr>
        <w:t>ą</w:t>
      </w:r>
      <w:r w:rsidRPr="000E0CEB">
        <w:rPr>
          <w:rFonts w:asciiTheme="minorHAnsi" w:hAnsiTheme="minorHAnsi"/>
          <w:szCs w:val="22"/>
        </w:rPr>
        <w:t xml:space="preserve"> polegaj</w:t>
      </w:r>
      <w:r w:rsidRPr="000E0CEB">
        <w:rPr>
          <w:rFonts w:asciiTheme="minorHAnsi" w:eastAsia="Arial" w:hAnsiTheme="minorHAnsi" w:cs="Arial"/>
          <w:szCs w:val="22"/>
        </w:rPr>
        <w:t>ą</w:t>
      </w:r>
      <w:r w:rsidRPr="000E0CEB">
        <w:rPr>
          <w:rFonts w:asciiTheme="minorHAnsi" w:hAnsiTheme="minorHAnsi"/>
          <w:szCs w:val="22"/>
        </w:rPr>
        <w:t>c</w:t>
      </w:r>
      <w:r w:rsidRPr="000E0CEB">
        <w:rPr>
          <w:rFonts w:asciiTheme="minorHAnsi" w:eastAsia="Arial" w:hAnsiTheme="minorHAnsi" w:cs="Arial"/>
          <w:szCs w:val="22"/>
        </w:rPr>
        <w:t>ą</w:t>
      </w:r>
      <w:r w:rsidRPr="000E0CEB">
        <w:rPr>
          <w:rFonts w:asciiTheme="minorHAnsi" w:hAnsiTheme="minorHAnsi"/>
          <w:szCs w:val="22"/>
        </w:rPr>
        <w:t xml:space="preserve"> na wypełnieniu formularza wniosku o dofinansowanie projektu w przypadku wszystkich projektów, lub formularza wniosku o potwierdzenie wkładu finansowego w przypadku du</w:t>
      </w:r>
      <w:r w:rsidRPr="000E0CEB">
        <w:rPr>
          <w:rFonts w:asciiTheme="minorHAnsi" w:eastAsia="Arial" w:hAnsiTheme="minorHAnsi" w:cs="Arial"/>
          <w:szCs w:val="22"/>
        </w:rPr>
        <w:t>ż</w:t>
      </w:r>
      <w:r w:rsidRPr="000E0CEB">
        <w:rPr>
          <w:rFonts w:asciiTheme="minorHAnsi" w:hAnsiTheme="minorHAnsi"/>
          <w:szCs w:val="22"/>
        </w:rPr>
        <w:t xml:space="preserve">ych projektów,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premia dla współautora wniosku o dofinansowanie opracowuj</w:t>
      </w:r>
      <w:r w:rsidRPr="000E0CEB">
        <w:rPr>
          <w:rFonts w:asciiTheme="minorHAnsi" w:eastAsia="Arial" w:hAnsiTheme="minorHAnsi" w:cs="Arial"/>
          <w:szCs w:val="22"/>
        </w:rPr>
        <w:t>ą</w:t>
      </w:r>
      <w:r w:rsidRPr="000E0CEB">
        <w:rPr>
          <w:rFonts w:asciiTheme="minorHAnsi" w:hAnsiTheme="minorHAnsi"/>
          <w:szCs w:val="22"/>
        </w:rPr>
        <w:t>cego np. studium wykonalno</w:t>
      </w:r>
      <w:r w:rsidRPr="000E0CEB">
        <w:rPr>
          <w:rFonts w:asciiTheme="minorHAnsi" w:eastAsia="Arial" w:hAnsiTheme="minorHAnsi" w:cs="Arial"/>
          <w:szCs w:val="22"/>
        </w:rPr>
        <w:t>ś</w:t>
      </w:r>
      <w:r w:rsidRPr="000E0CEB">
        <w:rPr>
          <w:rFonts w:asciiTheme="minorHAnsi" w:hAnsiTheme="minorHAnsi"/>
          <w:szCs w:val="22"/>
        </w:rPr>
        <w:t xml:space="preserve">ci, naliczana jako procent wnioskowanej/uzyskanej kwoty dofinansowania i wypłacana przez beneficjenta (ang. </w:t>
      </w:r>
      <w:r w:rsidRPr="000E0CEB">
        <w:rPr>
          <w:rFonts w:asciiTheme="minorHAnsi" w:eastAsia="Arial" w:hAnsiTheme="minorHAnsi" w:cs="Arial"/>
          <w:i/>
          <w:szCs w:val="22"/>
        </w:rPr>
        <w:t>success fee</w:t>
      </w:r>
      <w:r w:rsidRPr="000E0CEB">
        <w:rPr>
          <w:rFonts w:asciiTheme="minorHAnsi" w:hAnsiTheme="minorHAnsi"/>
          <w:szCs w:val="22"/>
        </w:rPr>
        <w:t xml:space="preserve">), </w:t>
      </w:r>
    </w:p>
    <w:p w:rsidR="00471B61" w:rsidRPr="000E0CEB" w:rsidRDefault="00477DF1">
      <w:pPr>
        <w:numPr>
          <w:ilvl w:val="1"/>
          <w:numId w:val="54"/>
        </w:numPr>
        <w:spacing w:before="0" w:line="240" w:lineRule="auto"/>
        <w:ind w:right="81"/>
        <w:jc w:val="both"/>
        <w:rPr>
          <w:rFonts w:asciiTheme="minorHAnsi" w:hAnsiTheme="minorHAnsi"/>
          <w:szCs w:val="22"/>
        </w:rPr>
      </w:pPr>
      <w:r w:rsidRPr="000E0CEB">
        <w:rPr>
          <w:rFonts w:asciiTheme="minorHAnsi" w:hAnsiTheme="minorHAnsi"/>
          <w:szCs w:val="22"/>
        </w:rPr>
        <w:t>w przypadku projektów współfinansowanych z EFS – wydatki zwi</w:t>
      </w:r>
      <w:r w:rsidRPr="000E0CEB">
        <w:rPr>
          <w:rFonts w:asciiTheme="minorHAnsi" w:eastAsia="Arial" w:hAnsiTheme="minorHAnsi" w:cs="Arial"/>
          <w:szCs w:val="22"/>
        </w:rPr>
        <w:t>ą</w:t>
      </w:r>
      <w:r w:rsidRPr="000E0CEB">
        <w:rPr>
          <w:rFonts w:asciiTheme="minorHAnsi" w:hAnsiTheme="minorHAnsi"/>
          <w:szCs w:val="22"/>
        </w:rPr>
        <w:t>zane z zakupem nieruchomo</w:t>
      </w:r>
      <w:r w:rsidRPr="000E0CEB">
        <w:rPr>
          <w:rFonts w:asciiTheme="minorHAnsi" w:eastAsia="Arial" w:hAnsiTheme="minorHAnsi" w:cs="Arial"/>
          <w:szCs w:val="22"/>
        </w:rPr>
        <w:t>ś</w:t>
      </w:r>
      <w:r w:rsidRPr="000E0CEB">
        <w:rPr>
          <w:rFonts w:asciiTheme="minorHAnsi" w:hAnsiTheme="minorHAnsi"/>
          <w:szCs w:val="22"/>
        </w:rPr>
        <w:t>ci i infrastruktury oraz z dostosowaniem lub adaptacj</w:t>
      </w:r>
      <w:r w:rsidRPr="000E0CEB">
        <w:rPr>
          <w:rFonts w:asciiTheme="minorHAnsi" w:eastAsia="Arial" w:hAnsiTheme="minorHAnsi" w:cs="Arial"/>
          <w:szCs w:val="22"/>
        </w:rPr>
        <w:t>ą</w:t>
      </w:r>
      <w:r w:rsidRPr="000E0CEB">
        <w:rPr>
          <w:rFonts w:asciiTheme="minorHAnsi" w:hAnsiTheme="minorHAnsi"/>
          <w:szCs w:val="22"/>
        </w:rPr>
        <w:t xml:space="preserve"> budynków  i pomieszcze</w:t>
      </w:r>
      <w:r w:rsidRPr="000E0CEB">
        <w:rPr>
          <w:rFonts w:asciiTheme="minorHAnsi" w:eastAsia="Arial" w:hAnsiTheme="minorHAnsi" w:cs="Arial"/>
          <w:szCs w:val="22"/>
        </w:rPr>
        <w:t>ń</w:t>
      </w:r>
      <w:r w:rsidRPr="000E0CEB">
        <w:rPr>
          <w:rFonts w:asciiTheme="minorHAnsi" w:hAnsiTheme="minorHAnsi"/>
          <w:szCs w:val="22"/>
        </w:rPr>
        <w:t>, za wyj</w:t>
      </w:r>
      <w:r w:rsidRPr="000E0CEB">
        <w:rPr>
          <w:rFonts w:asciiTheme="minorHAnsi" w:eastAsia="Arial" w:hAnsiTheme="minorHAnsi" w:cs="Arial"/>
          <w:szCs w:val="22"/>
        </w:rPr>
        <w:t>ą</w:t>
      </w:r>
      <w:r w:rsidRPr="000E0CEB">
        <w:rPr>
          <w:rFonts w:asciiTheme="minorHAnsi" w:hAnsiTheme="minorHAnsi"/>
          <w:szCs w:val="22"/>
        </w:rPr>
        <w:t xml:space="preserve">tkiem wydatków ponoszonych jako </w:t>
      </w:r>
      <w:r w:rsidRPr="000E0CEB">
        <w:rPr>
          <w:rFonts w:asciiTheme="minorHAnsi" w:eastAsia="Arial" w:hAnsiTheme="minorHAnsi" w:cs="Arial"/>
          <w:i/>
          <w:szCs w:val="22"/>
        </w:rPr>
        <w:t>cross-financing</w:t>
      </w:r>
      <w:r w:rsidRPr="000E0CEB">
        <w:rPr>
          <w:rFonts w:asciiTheme="minorHAnsi" w:hAnsiTheme="minorHAnsi"/>
          <w:szCs w:val="22"/>
        </w:rPr>
        <w:t>, o którym mowa w podrozdziale 8.7 z zastrze</w:t>
      </w:r>
      <w:r w:rsidRPr="000E0CEB">
        <w:rPr>
          <w:rFonts w:asciiTheme="minorHAnsi" w:eastAsia="Arial" w:hAnsiTheme="minorHAnsi" w:cs="Arial"/>
          <w:szCs w:val="22"/>
        </w:rPr>
        <w:t>ż</w:t>
      </w:r>
      <w:r w:rsidRPr="000E0CEB">
        <w:rPr>
          <w:rFonts w:asciiTheme="minorHAnsi" w:hAnsiTheme="minorHAnsi"/>
          <w:szCs w:val="22"/>
        </w:rPr>
        <w:t xml:space="preserve">eniem lit. l,  </w:t>
      </w:r>
    </w:p>
    <w:p w:rsidR="00471B61" w:rsidRPr="000E0CEB" w:rsidRDefault="00477DF1">
      <w:pPr>
        <w:spacing w:before="0" w:line="240" w:lineRule="auto"/>
        <w:jc w:val="both"/>
        <w:rPr>
          <w:rFonts w:asciiTheme="minorHAnsi" w:hAnsiTheme="minorHAnsi" w:cs="Arial"/>
          <w:szCs w:val="22"/>
        </w:rPr>
      </w:pPr>
      <w:r w:rsidRPr="000E0CEB">
        <w:rPr>
          <w:rFonts w:asciiTheme="minorHAnsi" w:eastAsia="Calibri" w:hAnsiTheme="minorHAnsi" w:cs="Arial"/>
          <w:color w:val="000000"/>
          <w:szCs w:val="22"/>
          <w:lang w:eastAsia="en-US"/>
        </w:rPr>
        <w:lastRenderedPageBreak/>
        <w:t>Wydatki uznane za niekwalifikowalne, a związane z realizacją projektu, ponosi beneficjent jako strona umowy o dofinansowanie projektu.</w:t>
      </w:r>
    </w:p>
    <w:p w:rsidR="00B63284" w:rsidRPr="000E0CEB" w:rsidRDefault="004D576A">
      <w:pPr>
        <w:pStyle w:val="Nagwek2"/>
        <w:numPr>
          <w:ilvl w:val="6"/>
          <w:numId w:val="24"/>
        </w:numPr>
        <w:ind w:left="284" w:hanging="284"/>
      </w:pPr>
      <w:bookmarkStart w:id="168" w:name="_Toc430826834"/>
      <w:bookmarkStart w:id="169" w:name="_Toc426632934"/>
      <w:bookmarkStart w:id="170" w:name="_Toc438125956"/>
      <w:bookmarkStart w:id="171" w:name="_Toc441241693"/>
      <w:bookmarkEnd w:id="168"/>
      <w:bookmarkEnd w:id="169"/>
      <w:r w:rsidRPr="000E0CEB">
        <w:t>Podatek od towarów i usług (VAT)</w:t>
      </w:r>
      <w:bookmarkEnd w:id="170"/>
      <w:bookmarkEnd w:id="171"/>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471B61" w:rsidRPr="000E0CEB" w:rsidRDefault="00477DF1">
      <w:pPr>
        <w:spacing w:before="120" w:after="120" w:line="240" w:lineRule="auto"/>
        <w:jc w:val="both"/>
        <w:rPr>
          <w:rFonts w:asciiTheme="minorHAnsi" w:hAnsiTheme="minorHAnsi" w:cs="Arial"/>
          <w:b/>
          <w:szCs w:val="22"/>
        </w:rPr>
      </w:pPr>
      <w:r w:rsidRPr="000E0CEB">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B63284" w:rsidRPr="000E0CEB" w:rsidRDefault="004D576A">
      <w:pPr>
        <w:pStyle w:val="Nagwek2"/>
        <w:numPr>
          <w:ilvl w:val="6"/>
          <w:numId w:val="24"/>
        </w:numPr>
        <w:ind w:left="284" w:hanging="284"/>
      </w:pPr>
      <w:bookmarkStart w:id="172" w:name="_Toc430826835"/>
      <w:bookmarkStart w:id="173" w:name="_Toc426632935"/>
      <w:bookmarkStart w:id="174" w:name="_Toc438125957"/>
      <w:bookmarkStart w:id="175" w:name="_Toc441241694"/>
      <w:bookmarkEnd w:id="172"/>
      <w:bookmarkEnd w:id="173"/>
      <w:r w:rsidRPr="000E0CEB">
        <w:t>Cross – financing</w:t>
      </w:r>
      <w:bookmarkEnd w:id="174"/>
      <w:bookmarkEnd w:id="175"/>
    </w:p>
    <w:p w:rsidR="00471B61" w:rsidRPr="000E0CEB" w:rsidRDefault="00477DF1">
      <w:pPr>
        <w:pStyle w:val="Akapitzlist"/>
        <w:spacing w:line="240" w:lineRule="auto"/>
        <w:ind w:left="0"/>
        <w:jc w:val="both"/>
        <w:rPr>
          <w:rFonts w:asciiTheme="minorHAnsi" w:hAnsiTheme="minorHAnsi"/>
          <w:sz w:val="22"/>
          <w:szCs w:val="22"/>
        </w:rPr>
      </w:pPr>
      <w:r w:rsidRPr="000E0CEB">
        <w:rPr>
          <w:rFonts w:asciiTheme="minorHAnsi" w:hAnsiTheme="minorHAnsi"/>
          <w:sz w:val="22"/>
          <w:szCs w:val="22"/>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Beneficjenta. Na przykład realizując projekt szkoleniowy możliwe jest sfinansowanie prac z zakresu przystosowania budynków i pomieszczeń do korzystania z nich przez osoby niepełnosprawne poprzez wykonanie podjazdu dla osób niepełnosprawnych. </w:t>
      </w:r>
    </w:p>
    <w:p w:rsidR="00471B61" w:rsidRPr="000E0CEB" w:rsidRDefault="00477DF1">
      <w:pPr>
        <w:spacing w:before="0" w:line="240" w:lineRule="auto"/>
        <w:jc w:val="both"/>
        <w:rPr>
          <w:rFonts w:asciiTheme="minorHAnsi" w:eastAsia="Calibri" w:hAnsiTheme="minorHAnsi" w:cs="Calibri"/>
          <w:color w:val="000000"/>
          <w:szCs w:val="22"/>
          <w:lang w:eastAsia="en-US"/>
        </w:rPr>
      </w:pPr>
      <w:r w:rsidRPr="000E0CEB">
        <w:rPr>
          <w:rFonts w:asciiTheme="minorHAnsi" w:eastAsia="Calibri" w:hAnsiTheme="minorHAnsi" w:cs="Calibri"/>
          <w:color w:val="000000"/>
          <w:szCs w:val="22"/>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471B61" w:rsidRPr="000E0CEB" w:rsidRDefault="00477DF1">
      <w:pPr>
        <w:pStyle w:val="Akapitzlist"/>
        <w:spacing w:line="240" w:lineRule="auto"/>
        <w:ind w:left="0"/>
        <w:jc w:val="both"/>
        <w:rPr>
          <w:rFonts w:asciiTheme="minorHAnsi" w:hAnsiTheme="minorHAnsi"/>
          <w:sz w:val="22"/>
          <w:szCs w:val="22"/>
        </w:rPr>
      </w:pPr>
      <w:r w:rsidRPr="000E0CEB">
        <w:rPr>
          <w:rFonts w:asciiTheme="minorHAnsi" w:eastAsia="Calibri" w:hAnsiTheme="minorHAnsi" w:cs="Calibri"/>
          <w:color w:val="000000"/>
          <w:sz w:val="22"/>
          <w:szCs w:val="22"/>
          <w:lang w:eastAsia="en-US"/>
        </w:rPr>
        <w:t xml:space="preserve">Wartość wydatków w ramach cross- financingu nie może stanowić więcej niż 10% finansowania unijnego na poziomie projektu. </w:t>
      </w:r>
    </w:p>
    <w:p w:rsidR="00471B61" w:rsidRPr="000E0CEB" w:rsidRDefault="00477DF1">
      <w:pPr>
        <w:spacing w:line="240" w:lineRule="auto"/>
        <w:jc w:val="both"/>
        <w:rPr>
          <w:rFonts w:asciiTheme="minorHAnsi" w:hAnsiTheme="minorHAnsi"/>
          <w:szCs w:val="22"/>
        </w:rPr>
      </w:pPr>
      <w:r w:rsidRPr="000E0CEB">
        <w:rPr>
          <w:rFonts w:asciiTheme="minorHAnsi" w:hAnsiTheme="minorHAnsi"/>
          <w:szCs w:val="22"/>
        </w:rPr>
        <w:t>Cross-financing</w:t>
      </w:r>
      <w:r w:rsidRPr="000E0CEB">
        <w:rPr>
          <w:rFonts w:asciiTheme="minorHAnsi" w:hAnsiTheme="minorHAnsi" w:cs="Helvetica"/>
          <w:i/>
          <w:iCs/>
          <w:szCs w:val="22"/>
        </w:rPr>
        <w:t xml:space="preserve"> </w:t>
      </w:r>
      <w:r w:rsidRPr="000E0CEB">
        <w:rPr>
          <w:rFonts w:asciiTheme="minorHAnsi" w:hAnsiTheme="minorHAnsi" w:cs="Helvetica"/>
          <w:szCs w:val="22"/>
        </w:rPr>
        <w:t>w ramach projektów współfinansowanych z EFS mo</w:t>
      </w:r>
      <w:r w:rsidRPr="000E0CEB">
        <w:rPr>
          <w:rFonts w:asciiTheme="minorHAnsi" w:hAnsiTheme="minorHAnsi" w:cs="Arial"/>
          <w:szCs w:val="22"/>
        </w:rPr>
        <w:t>ż</w:t>
      </w:r>
      <w:r w:rsidRPr="000E0CEB">
        <w:rPr>
          <w:rFonts w:asciiTheme="minorHAnsi" w:hAnsiTheme="minorHAnsi" w:cs="Helvetica"/>
          <w:szCs w:val="22"/>
        </w:rPr>
        <w:t>e dotyczy</w:t>
      </w:r>
      <w:r w:rsidRPr="000E0CEB">
        <w:rPr>
          <w:rFonts w:asciiTheme="minorHAnsi" w:hAnsiTheme="minorHAnsi" w:cs="Arial"/>
          <w:szCs w:val="22"/>
        </w:rPr>
        <w:t xml:space="preserve">ć </w:t>
      </w:r>
      <w:r w:rsidRPr="000E0CEB">
        <w:rPr>
          <w:rFonts w:asciiTheme="minorHAnsi" w:hAnsiTheme="minorHAnsi" w:cs="Helvetica"/>
          <w:szCs w:val="22"/>
        </w:rPr>
        <w:t>wył</w:t>
      </w:r>
      <w:r w:rsidRPr="000E0CEB">
        <w:rPr>
          <w:rFonts w:asciiTheme="minorHAnsi" w:hAnsiTheme="minorHAnsi" w:cs="Arial"/>
          <w:szCs w:val="22"/>
        </w:rPr>
        <w:t>ą</w:t>
      </w:r>
      <w:r w:rsidRPr="000E0CEB">
        <w:rPr>
          <w:rFonts w:asciiTheme="minorHAnsi" w:hAnsiTheme="minorHAnsi" w:cs="Helvetica"/>
          <w:szCs w:val="22"/>
        </w:rPr>
        <w:t>cznie takich kategorii wydatków, bez których realizacja projektu nie byłaby mo</w:t>
      </w:r>
      <w:r w:rsidRPr="000E0CEB">
        <w:rPr>
          <w:rFonts w:asciiTheme="minorHAnsi" w:hAnsiTheme="minorHAnsi" w:cs="Arial"/>
          <w:szCs w:val="22"/>
        </w:rPr>
        <w:t>ż</w:t>
      </w:r>
      <w:r w:rsidRPr="000E0CEB">
        <w:rPr>
          <w:rFonts w:asciiTheme="minorHAnsi" w:hAnsiTheme="minorHAnsi" w:cs="Helvetica"/>
          <w:szCs w:val="22"/>
        </w:rPr>
        <w:t>liwa, w szczególno</w:t>
      </w:r>
      <w:r w:rsidRPr="000E0CEB">
        <w:rPr>
          <w:rFonts w:asciiTheme="minorHAnsi" w:hAnsiTheme="minorHAnsi" w:cs="Arial"/>
          <w:szCs w:val="22"/>
        </w:rPr>
        <w:t>ś</w:t>
      </w:r>
      <w:r w:rsidRPr="000E0CEB">
        <w:rPr>
          <w:rFonts w:asciiTheme="minorHAnsi" w:hAnsiTheme="minorHAnsi" w:cs="Helvetica"/>
          <w:szCs w:val="22"/>
        </w:rPr>
        <w:t>ci w zwi</w:t>
      </w:r>
      <w:r w:rsidRPr="000E0CEB">
        <w:rPr>
          <w:rFonts w:asciiTheme="minorHAnsi" w:hAnsiTheme="minorHAnsi" w:cs="Arial"/>
          <w:szCs w:val="22"/>
        </w:rPr>
        <w:t>ą</w:t>
      </w:r>
      <w:r w:rsidRPr="000E0CEB">
        <w:rPr>
          <w:rFonts w:asciiTheme="minorHAnsi" w:hAnsiTheme="minorHAnsi" w:cs="Helvetica"/>
          <w:szCs w:val="22"/>
        </w:rPr>
        <w:t>zku z zapewnieniem realizacji zasady równo</w:t>
      </w:r>
      <w:r w:rsidRPr="000E0CEB">
        <w:rPr>
          <w:rFonts w:asciiTheme="minorHAnsi" w:hAnsiTheme="minorHAnsi" w:cs="Arial"/>
          <w:szCs w:val="22"/>
        </w:rPr>
        <w:t>ś</w:t>
      </w:r>
      <w:r w:rsidRPr="000E0CEB">
        <w:rPr>
          <w:rFonts w:asciiTheme="minorHAnsi" w:hAnsiTheme="minorHAnsi" w:cs="Helvetica"/>
          <w:szCs w:val="22"/>
        </w:rPr>
        <w:t>ci szans, a zwłaszcza potrzeb osób z niepełnosprawno</w:t>
      </w:r>
      <w:r w:rsidRPr="000E0CEB">
        <w:rPr>
          <w:rFonts w:asciiTheme="minorHAnsi" w:hAnsiTheme="minorHAnsi" w:cs="Arial"/>
          <w:szCs w:val="22"/>
        </w:rPr>
        <w:t>ś</w:t>
      </w:r>
      <w:r w:rsidRPr="000E0CEB">
        <w:rPr>
          <w:rFonts w:asciiTheme="minorHAnsi" w:hAnsiTheme="minorHAnsi" w:cs="Helvetica"/>
          <w:szCs w:val="22"/>
        </w:rPr>
        <w:t>ciami. Wydatki</w:t>
      </w:r>
      <w:r w:rsidRPr="000E0CEB">
        <w:rPr>
          <w:rFonts w:asciiTheme="minorHAnsi" w:hAnsiTheme="minorHAnsi"/>
          <w:szCs w:val="22"/>
        </w:rPr>
        <w:t>, powinny wynikać z potrzeby realizacji danego projektu i stanowić logiczne uzupełnienie działań. Cross-financing powinien być powiązany wprost z głównymi zadaniami realizowanymi w ramach danego projektu. Cross-financing nie może dotyczyć kosztów pośrednich.</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Helvetica"/>
          <w:szCs w:val="22"/>
        </w:rPr>
        <w:t xml:space="preserve">Zakup </w:t>
      </w:r>
      <w:r w:rsidRPr="000E0CEB">
        <w:rPr>
          <w:rFonts w:asciiTheme="minorHAnsi" w:hAnsiTheme="minorHAnsi" w:cs="Arial"/>
          <w:szCs w:val="22"/>
        </w:rPr>
        <w:t>ś</w:t>
      </w:r>
      <w:r w:rsidRPr="000E0CEB">
        <w:rPr>
          <w:rFonts w:asciiTheme="minorHAnsi" w:hAnsiTheme="minorHAnsi" w:cs="Helvetica"/>
          <w:szCs w:val="22"/>
        </w:rPr>
        <w:t xml:space="preserve">rodków trwałych, </w:t>
      </w:r>
      <w:r w:rsidRPr="000E0CEB">
        <w:rPr>
          <w:rFonts w:asciiTheme="minorHAnsi" w:hAnsiTheme="minorHAnsi" w:cs="Helvetica"/>
          <w:b/>
          <w:szCs w:val="22"/>
        </w:rPr>
        <w:t>za wyj</w:t>
      </w:r>
      <w:r w:rsidRPr="000E0CEB">
        <w:rPr>
          <w:rFonts w:asciiTheme="minorHAnsi" w:hAnsiTheme="minorHAnsi" w:cs="Arial"/>
          <w:b/>
          <w:szCs w:val="22"/>
        </w:rPr>
        <w:t>ą</w:t>
      </w:r>
      <w:r w:rsidRPr="000E0CEB">
        <w:rPr>
          <w:rFonts w:asciiTheme="minorHAnsi" w:hAnsiTheme="minorHAnsi" w:cs="Helvetica"/>
          <w:b/>
          <w:szCs w:val="22"/>
        </w:rPr>
        <w:t>tkiem zakupu nieruchomo</w:t>
      </w:r>
      <w:r w:rsidRPr="000E0CEB">
        <w:rPr>
          <w:rFonts w:asciiTheme="minorHAnsi" w:hAnsiTheme="minorHAnsi" w:cs="Arial"/>
          <w:b/>
          <w:szCs w:val="22"/>
        </w:rPr>
        <w:t>ś</w:t>
      </w:r>
      <w:r w:rsidRPr="000E0CEB">
        <w:rPr>
          <w:rFonts w:asciiTheme="minorHAnsi" w:hAnsiTheme="minorHAnsi" w:cs="Helvetica"/>
          <w:b/>
          <w:szCs w:val="22"/>
        </w:rPr>
        <w:t xml:space="preserve">ci, infrastruktury i </w:t>
      </w:r>
      <w:r w:rsidRPr="000E0CEB">
        <w:rPr>
          <w:rFonts w:asciiTheme="minorHAnsi" w:hAnsiTheme="minorHAnsi" w:cs="Arial"/>
          <w:b/>
          <w:szCs w:val="22"/>
        </w:rPr>
        <w:t>ś</w:t>
      </w:r>
      <w:r w:rsidRPr="000E0CEB">
        <w:rPr>
          <w:rFonts w:asciiTheme="minorHAnsi" w:hAnsiTheme="minorHAnsi" w:cs="Helvetica"/>
          <w:b/>
          <w:szCs w:val="22"/>
        </w:rPr>
        <w:t>rodków trwałych przeznaczonych na dostosowanie lub adaptacj</w:t>
      </w:r>
      <w:r w:rsidRPr="000E0CEB">
        <w:rPr>
          <w:rFonts w:asciiTheme="minorHAnsi" w:hAnsiTheme="minorHAnsi" w:cs="Arial"/>
          <w:b/>
          <w:szCs w:val="22"/>
        </w:rPr>
        <w:t xml:space="preserve">ę </w:t>
      </w:r>
      <w:r w:rsidRPr="000E0CEB">
        <w:rPr>
          <w:rFonts w:asciiTheme="minorHAnsi" w:hAnsiTheme="minorHAnsi" w:cs="Helvetica"/>
          <w:b/>
          <w:szCs w:val="22"/>
        </w:rPr>
        <w:t>budynków i pomieszcze</w:t>
      </w:r>
      <w:r w:rsidRPr="000E0CEB">
        <w:rPr>
          <w:rFonts w:asciiTheme="minorHAnsi" w:hAnsiTheme="minorHAnsi" w:cs="Arial"/>
          <w:b/>
          <w:szCs w:val="22"/>
        </w:rPr>
        <w:t>ń</w:t>
      </w:r>
      <w:r w:rsidRPr="000E0CEB">
        <w:rPr>
          <w:rFonts w:asciiTheme="minorHAnsi" w:hAnsiTheme="minorHAnsi" w:cs="Helvetica"/>
          <w:b/>
          <w:szCs w:val="22"/>
        </w:rPr>
        <w:t xml:space="preserve">, </w:t>
      </w:r>
      <w:r w:rsidRPr="000E0CEB">
        <w:rPr>
          <w:rFonts w:asciiTheme="minorHAnsi" w:hAnsiTheme="minorHAnsi" w:cs="Helvetica"/>
          <w:szCs w:val="22"/>
        </w:rPr>
        <w:t xml:space="preserve">nie stanowi wydatku w ramach </w:t>
      </w:r>
      <w:r w:rsidRPr="000E0CEB">
        <w:rPr>
          <w:rFonts w:asciiTheme="minorHAnsi" w:hAnsiTheme="minorHAnsi"/>
          <w:szCs w:val="22"/>
        </w:rPr>
        <w:t>cross-financingu</w:t>
      </w:r>
      <w:r w:rsidRPr="000E0CEB">
        <w:rPr>
          <w:rFonts w:asciiTheme="minorHAnsi" w:hAnsiTheme="minorHAnsi" w:cs="Helvetica"/>
          <w:i/>
          <w:iCs/>
          <w:szCs w:val="22"/>
        </w:rPr>
        <w:t xml:space="preserve">. </w:t>
      </w:r>
      <w:r w:rsidRPr="000E0CEB">
        <w:rPr>
          <w:rFonts w:asciiTheme="minorHAnsi" w:hAnsiTheme="minorHAnsi" w:cs="Helvetica"/>
          <w:iCs/>
          <w:szCs w:val="22"/>
        </w:rPr>
        <w:t>Ponadto n</w:t>
      </w:r>
      <w:r w:rsidRPr="000E0CEB">
        <w:rPr>
          <w:rFonts w:asciiTheme="minorHAnsi" w:hAnsiTheme="minorHAnsi"/>
          <w:szCs w:val="22"/>
        </w:rPr>
        <w:t xml:space="preserve">ależy zwrócić uwagę na rozróżnienie pomiędzy remontem budynku, który nie jest dopuszczalny w ramach cross-financingu, a dostosowaniem budynku do potrzeb projektu. </w:t>
      </w:r>
      <w:r w:rsidRPr="000E0CEB">
        <w:rPr>
          <w:rFonts w:asciiTheme="minorHAnsi" w:hAnsiTheme="minorHAnsi" w:cs="Arial"/>
          <w:szCs w:val="22"/>
        </w:rPr>
        <w:t xml:space="preserve">Remontem budynku będzie w szczególności wykonywanie prac związanych z elewacją budynku lub innych prac remontowych niezwiązanych bezpośrednio z realizowanym projektem (np. wymiana okien w całym budynku). Natomiast, jako dostosowanie należy przyjąć wykonanie takich robót budowlanych, w wyniku, </w:t>
      </w:r>
      <w:r w:rsidRPr="000E0CEB">
        <w:rPr>
          <w:rFonts w:asciiTheme="minorHAnsi" w:hAnsiTheme="minorHAnsi" w:cs="Arial"/>
          <w:szCs w:val="22"/>
        </w:rPr>
        <w:lastRenderedPageBreak/>
        <w:t>których nastąpi przystosowanie pomieszczenia do spełnienia funkcji, którą to pomieszczenie będzie miało spełniać w projekcie.</w:t>
      </w:r>
    </w:p>
    <w:p w:rsidR="00471B61" w:rsidRPr="000E0CEB" w:rsidRDefault="00477DF1">
      <w:pPr>
        <w:pStyle w:val="Default"/>
        <w:jc w:val="both"/>
        <w:rPr>
          <w:rFonts w:asciiTheme="minorHAnsi" w:eastAsia="Calibri" w:hAnsiTheme="minorHAnsi" w:cs="Calibri"/>
          <w:color w:val="000000"/>
          <w:sz w:val="22"/>
          <w:szCs w:val="22"/>
          <w:lang w:eastAsia="en-US"/>
        </w:rPr>
      </w:pPr>
      <w:r w:rsidRPr="000E0CEB">
        <w:rPr>
          <w:rFonts w:asciiTheme="minorHAnsi" w:eastAsia="Calibri" w:hAnsiTheme="minorHAnsi" w:cs="Calibri"/>
          <w:color w:val="000000"/>
          <w:sz w:val="22"/>
          <w:szCs w:val="22"/>
          <w:lang w:eastAsia="en-US"/>
        </w:rPr>
        <w:t xml:space="preserve">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z wyjątkiem wyposażenia pracowni TIK oraz pracowni przedmiotowych, gdzie łączny limit wydatków związanych z zakupem sprzętu nie przekroczy 30% wydatków projektu (włączając </w:t>
      </w:r>
      <w:r w:rsidRPr="000E0CEB">
        <w:rPr>
          <w:rFonts w:asciiTheme="minorHAnsi" w:hAnsiTheme="minorHAnsi"/>
          <w:sz w:val="22"/>
          <w:szCs w:val="22"/>
        </w:rPr>
        <w:t>cross-financing).</w:t>
      </w:r>
    </w:p>
    <w:p w:rsidR="00B63284" w:rsidRPr="000E0CEB" w:rsidRDefault="004D576A">
      <w:pPr>
        <w:pStyle w:val="Nagwek2"/>
        <w:numPr>
          <w:ilvl w:val="6"/>
          <w:numId w:val="24"/>
        </w:numPr>
        <w:ind w:left="284" w:hanging="284"/>
      </w:pPr>
      <w:bookmarkStart w:id="176" w:name="_Toc430826836"/>
      <w:bookmarkStart w:id="177" w:name="_Toc426632936"/>
      <w:bookmarkStart w:id="178" w:name="_Toc438125958"/>
      <w:bookmarkStart w:id="179" w:name="_Toc441241695"/>
      <w:bookmarkEnd w:id="176"/>
      <w:bookmarkEnd w:id="177"/>
      <w:r w:rsidRPr="000E0CEB">
        <w:t>Zabezpieczenie prawidłowej realizacji umowy</w:t>
      </w:r>
      <w:bookmarkEnd w:id="178"/>
      <w:bookmarkEnd w:id="179"/>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Arial"/>
          <w:szCs w:val="22"/>
        </w:rPr>
        <w:t xml:space="preserve">Zabezpieczeniem prawidłowej realizacji umowy jest składany przez Wnioskodawcę, nie później niż w terminie 15 dni roboczych od daty podpisania umowy o dofinansowanie </w:t>
      </w:r>
      <w:r w:rsidRPr="000E0CEB">
        <w:rPr>
          <w:rFonts w:asciiTheme="minorHAnsi" w:hAnsiTheme="minorHAnsi" w:cs="Arial"/>
          <w:b/>
          <w:szCs w:val="22"/>
        </w:rPr>
        <w:t>weksel in blanco</w:t>
      </w:r>
      <w:r w:rsidRPr="000E0CEB">
        <w:rPr>
          <w:rFonts w:asciiTheme="minorHAnsi" w:hAnsiTheme="minorHAnsi" w:cs="Arial"/>
          <w:szCs w:val="22"/>
        </w:rPr>
        <w:t xml:space="preserve"> </w:t>
      </w:r>
      <w:r w:rsidRPr="000E0CEB">
        <w:rPr>
          <w:rFonts w:asciiTheme="minorHAnsi" w:hAnsiTheme="minorHAnsi" w:cs="Arial"/>
          <w:b/>
          <w:szCs w:val="22"/>
        </w:rPr>
        <w:t>wraz z wypełnioną deklaracją wystawcy weksla in blanco</w:t>
      </w:r>
      <w:r w:rsidRPr="000E0CEB">
        <w:rPr>
          <w:rFonts w:asciiTheme="minorHAnsi" w:hAnsiTheme="minorHAnsi" w:cs="Arial"/>
          <w:szCs w:val="22"/>
        </w:rPr>
        <w:t>.</w:t>
      </w:r>
    </w:p>
    <w:p w:rsidR="00471B61" w:rsidRPr="000E0CEB" w:rsidRDefault="00477DF1">
      <w:pPr>
        <w:spacing w:before="120" w:after="120" w:line="240" w:lineRule="auto"/>
        <w:jc w:val="both"/>
        <w:rPr>
          <w:rFonts w:asciiTheme="minorHAnsi" w:hAnsiTheme="minorHAnsi" w:cs="Calibri"/>
          <w:szCs w:val="22"/>
        </w:rPr>
      </w:pPr>
      <w:r w:rsidRPr="000E0CEB">
        <w:rPr>
          <w:rFonts w:asciiTheme="minorHAnsi" w:hAnsiTheme="minorHAnsi" w:cs="Arial"/>
          <w:szCs w:val="22"/>
        </w:rPr>
        <w:t>W przypadku, gdy</w:t>
      </w:r>
      <w:r w:rsidRPr="000E0CEB">
        <w:rPr>
          <w:rFonts w:asciiTheme="minorHAnsi" w:hAnsiTheme="minorHAnsi"/>
          <w:szCs w:val="22"/>
        </w:rPr>
        <w:t xml:space="preserve"> wartość dofinansowania projektu przekracza limit</w:t>
      </w:r>
      <w:r w:rsidRPr="000E0CEB">
        <w:rPr>
          <w:rFonts w:asciiTheme="minorHAnsi" w:hAnsiTheme="minorHAnsi" w:cs="Arial"/>
          <w:szCs w:val="22"/>
        </w:rPr>
        <w:t xml:space="preserve"> określony</w:t>
      </w:r>
      <w:r w:rsidRPr="000E0CEB">
        <w:rPr>
          <w:rFonts w:asciiTheme="minorHAnsi" w:hAnsiTheme="minorHAnsi" w:cs="Calibri"/>
          <w:szCs w:val="22"/>
        </w:rPr>
        <w:t xml:space="preserve"> w rozporządzeniu Ministra Infrastruktury i Rozwoju wydanym na podstawie art. 189 ust. 4 ustawy z dnia 27 sierpnia 2009 r. o finansach publicznych, stosuje się przepisy ww. rozporządzenia.</w:t>
      </w:r>
    </w:p>
    <w:p w:rsidR="00471B61" w:rsidRPr="000E0CEB" w:rsidRDefault="00477DF1">
      <w:pPr>
        <w:pStyle w:val="Tekstkomentarza"/>
        <w:jc w:val="both"/>
        <w:rPr>
          <w:rFonts w:asciiTheme="minorHAnsi" w:hAnsiTheme="minorHAnsi"/>
          <w:sz w:val="22"/>
          <w:szCs w:val="22"/>
        </w:rPr>
      </w:pPr>
      <w:r w:rsidRPr="000E0CEB">
        <w:rPr>
          <w:rFonts w:asciiTheme="minorHAnsi" w:hAnsiTheme="minorHAnsi"/>
          <w:sz w:val="22"/>
          <w:szCs w:val="22"/>
        </w:rPr>
        <w:t>Jeśli nie jest możliwe ustanowienie zabezpieczenia w formie weksla in blanco wraz z deklaracją wekslową lub Beneficjent wskaże, jako preferowaną jedną z innych form zabezpieczenia, jest ono ustanawiane w jednej lub w kilku formach wybranych przez IZ RPO WD.</w:t>
      </w:r>
    </w:p>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cs="Calibri"/>
          <w:szCs w:val="22"/>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E0CEB">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E0CEB">
        <w:rPr>
          <w:rFonts w:asciiTheme="minorHAnsi" w:hAnsiTheme="minorHAnsi" w:cs="Calibri"/>
          <w:szCs w:val="22"/>
        </w:rPr>
        <w:t>.</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szCs w:val="22"/>
        </w:rPr>
        <w:t>W przypadku, gdy wniosek przewiduje trwałość projektu lub rezultatów, zwrot dokumentu stanowiącego zabezpieczenie następuje po upływie okresu trwałości.</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Arial"/>
          <w:b/>
          <w:szCs w:val="22"/>
        </w:rPr>
        <w:t>Koszt zabezpieczenia</w:t>
      </w:r>
      <w:r w:rsidRPr="000E0CEB">
        <w:rPr>
          <w:rFonts w:asciiTheme="minorHAnsi" w:hAnsiTheme="minorHAnsi" w:cs="Arial"/>
          <w:szCs w:val="22"/>
        </w:rPr>
        <w:t xml:space="preserve"> prawidłowej realizacji umowy jako </w:t>
      </w:r>
      <w:r w:rsidRPr="000E0CEB">
        <w:rPr>
          <w:rFonts w:asciiTheme="minorHAnsi" w:hAnsiTheme="minorHAnsi" w:cs="Arial"/>
          <w:b/>
          <w:szCs w:val="22"/>
        </w:rPr>
        <w:t xml:space="preserve">koszt pośredni </w:t>
      </w:r>
      <w:r w:rsidRPr="000E0CEB">
        <w:rPr>
          <w:rFonts w:asciiTheme="minorHAnsi" w:hAnsiTheme="minorHAnsi" w:cs="Arial"/>
          <w:szCs w:val="22"/>
        </w:rPr>
        <w:t>stanowi wydatek kwalifikowalny w projekcie.</w:t>
      </w:r>
    </w:p>
    <w:p w:rsidR="00B63284" w:rsidRPr="000E0CEB" w:rsidRDefault="004D576A">
      <w:pPr>
        <w:pStyle w:val="Nagwek2"/>
        <w:numPr>
          <w:ilvl w:val="6"/>
          <w:numId w:val="24"/>
        </w:numPr>
        <w:ind w:left="284" w:hanging="284"/>
      </w:pPr>
      <w:bookmarkStart w:id="180" w:name="_Toc426632937"/>
      <w:bookmarkStart w:id="181" w:name="_Toc430826837"/>
      <w:bookmarkStart w:id="182" w:name="_Toc438125959"/>
      <w:bookmarkStart w:id="183" w:name="_Toc441241696"/>
      <w:r w:rsidRPr="000E0CEB">
        <w:t xml:space="preserve">Rozliczanie wydatków w </w:t>
      </w:r>
      <w:bookmarkStart w:id="184" w:name="_Toc426632940"/>
      <w:bookmarkEnd w:id="180"/>
      <w:bookmarkEnd w:id="181"/>
      <w:r w:rsidRPr="000E0CEB">
        <w:t>projekcie</w:t>
      </w:r>
      <w:bookmarkEnd w:id="182"/>
      <w:bookmarkEnd w:id="183"/>
    </w:p>
    <w:bookmarkEnd w:id="184"/>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Zgodnie z pkt. 3 niniejszego rozdziału i na określonych tam zasadach, Beneficjent rozlicza koszty bezpośrednie w projekcie w następujący sposób:</w:t>
      </w:r>
    </w:p>
    <w:p w:rsidR="00471B61" w:rsidRPr="000E0CEB" w:rsidRDefault="00477DF1">
      <w:pPr>
        <w:pStyle w:val="Akapitzlist"/>
        <w:numPr>
          <w:ilvl w:val="0"/>
          <w:numId w:val="40"/>
        </w:numPr>
        <w:spacing w:before="120" w:after="120" w:line="240" w:lineRule="auto"/>
        <w:ind w:left="426"/>
        <w:jc w:val="both"/>
        <w:rPr>
          <w:rFonts w:asciiTheme="minorHAnsi" w:eastAsia="Calibri" w:hAnsiTheme="minorHAnsi"/>
          <w:b/>
          <w:szCs w:val="22"/>
        </w:rPr>
      </w:pPr>
      <w:r w:rsidRPr="000E0CEB">
        <w:rPr>
          <w:rFonts w:asciiTheme="minorHAnsi" w:eastAsia="Calibri" w:hAnsiTheme="minorHAnsi"/>
          <w:b/>
          <w:szCs w:val="22"/>
        </w:rPr>
        <w:t xml:space="preserve">na podstawie rzeczywiście poniesionych kosztów </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lastRenderedPageBreak/>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późn. zm.). W przypadku tego typu Beneficjenta, wymóg zapewnienia oddzielnej ewidencji dla projektu może być spełniony jedynie poprzez wprowadzenie odpowiedniego (wyodrębnionego) kodu księgowego dla wszystkich transakcji dotyczących projektu.</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Obowiązek ten dotyczy każdego z partnerów (o ile występują), w zakresie tej części projektu, za której realizację odpowiada dany partner.</w:t>
      </w:r>
    </w:p>
    <w:p w:rsidR="00471B61" w:rsidRPr="000E0CEB" w:rsidRDefault="00477DF1">
      <w:pPr>
        <w:pStyle w:val="Akapitzlist"/>
        <w:numPr>
          <w:ilvl w:val="0"/>
          <w:numId w:val="40"/>
        </w:numPr>
        <w:spacing w:before="120" w:after="120" w:line="240" w:lineRule="auto"/>
        <w:ind w:left="284" w:hanging="284"/>
        <w:jc w:val="both"/>
        <w:rPr>
          <w:rFonts w:asciiTheme="minorHAnsi" w:eastAsia="Calibri" w:hAnsiTheme="minorHAnsi"/>
          <w:b/>
          <w:sz w:val="22"/>
          <w:szCs w:val="22"/>
        </w:rPr>
      </w:pPr>
      <w:r w:rsidRPr="000E0CEB">
        <w:rPr>
          <w:rFonts w:asciiTheme="minorHAnsi" w:eastAsia="Calibri" w:hAnsiTheme="minorHAnsi"/>
          <w:b/>
          <w:sz w:val="22"/>
          <w:szCs w:val="22"/>
        </w:rPr>
        <w:t xml:space="preserve">na podstawie metod uproszczonych: </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W przypadku takiego projektu wydatki rozliczone uproszczoną metodą są traktowane jako wydatki poniesione. Beneficjent nie ma obowiązku gromadzenia i opisywania dokumentów księgowych w ramach projektu.</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Beneficjent oświadcza w drugim i kolejnych wnioskach o płatność o kwocie poniesionych w ramach Projektu wydatków bezpośrednich i pośrednich w związku z realizacją kwot ryczałtowych oraz informuje o przebiegu postępu rzeczowego Projektu.</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 xml:space="preserve">Ponadto, Beneficjent ma obowiązek bieżącego monitorowania oraz ewidencjonowania transz dofinansowania, z których ponoszone są wydatki w ramach projektu. Przedmiotowe dane będą przedstawione do wglądu na każdorazowe wezwanie </w:t>
      </w:r>
      <w:r w:rsidRPr="000E0CEB">
        <w:rPr>
          <w:rFonts w:asciiTheme="minorHAnsi" w:hAnsiTheme="minorHAnsi"/>
          <w:szCs w:val="22"/>
        </w:rPr>
        <w:t xml:space="preserve"> </w:t>
      </w:r>
      <w:r w:rsidRPr="000E0CEB">
        <w:rPr>
          <w:rFonts w:asciiTheme="minorHAnsi" w:hAnsiTheme="minorHAnsi"/>
          <w:b/>
          <w:szCs w:val="22"/>
        </w:rPr>
        <w:t>IZ RPO WD</w:t>
      </w:r>
      <w:r w:rsidRPr="000E0CEB">
        <w:rPr>
          <w:rFonts w:asciiTheme="minorHAnsi" w:eastAsia="Calibri" w:hAnsiTheme="minorHAnsi"/>
          <w:szCs w:val="22"/>
        </w:rPr>
        <w:t>.</w:t>
      </w:r>
    </w:p>
    <w:p w:rsidR="00471B61" w:rsidRPr="000E0CEB" w:rsidRDefault="00477DF1">
      <w:pPr>
        <w:spacing w:before="120" w:after="120" w:line="240" w:lineRule="auto"/>
        <w:jc w:val="both"/>
        <w:rPr>
          <w:rFonts w:asciiTheme="minorHAnsi" w:eastAsia="Calibri" w:hAnsiTheme="minorHAnsi"/>
          <w:b/>
          <w:szCs w:val="22"/>
        </w:rPr>
      </w:pPr>
      <w:r w:rsidRPr="000E0CEB">
        <w:rPr>
          <w:rFonts w:asciiTheme="minorHAnsi" w:eastAsia="Calibri" w:hAnsiTheme="minorHAnsi"/>
          <w:b/>
          <w:szCs w:val="22"/>
        </w:rPr>
        <w:t>W przypadku nieosiągnięcia w ramach danej kwoty ryczałtowej wskaźników, uznaje się, iż Beneficjent nie wykonał zadania prawidłowo oraz nie rozliczył przyznanej kwoty ryczałtowej.</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Wydatki, które Beneficjent poniósł na zadanie objęte kwotą ryczałtową, która nie została uznana za rozliczoną, uznaje się za niekwalifikowalne.</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Obowiązek ten dotyczy każdego z partnerów (o ile występują), w zakresie tej części projektu, za której realizację odpowiada dany partner.</w:t>
      </w:r>
    </w:p>
    <w:p w:rsidR="00471B61" w:rsidRPr="000E0CEB" w:rsidRDefault="00477DF1">
      <w:pPr>
        <w:spacing w:before="120" w:after="120" w:line="240" w:lineRule="auto"/>
        <w:rPr>
          <w:rFonts w:asciiTheme="minorHAnsi" w:eastAsia="Calibri" w:hAnsiTheme="minorHAnsi"/>
          <w:szCs w:val="22"/>
        </w:rPr>
      </w:pPr>
      <w:r w:rsidRPr="000E0CEB">
        <w:rPr>
          <w:rFonts w:asciiTheme="minorHAnsi" w:eastAsia="Calibri" w:hAnsiTheme="minorHAnsi"/>
          <w:szCs w:val="22"/>
        </w:rPr>
        <w:lastRenderedPageBreak/>
        <w:t>Weryfikacja wydatków zadeklarowanych według uproszczonych metod dokonywana jest w oparciu o faktyczny postęp realizacji projektu i osiągnięte wskaźniki, przy czym:</w:t>
      </w:r>
    </w:p>
    <w:p w:rsidR="00471B61" w:rsidRPr="000E0CEB" w:rsidRDefault="00477DF1">
      <w:pPr>
        <w:pStyle w:val="Akapitzlist"/>
        <w:numPr>
          <w:ilvl w:val="0"/>
          <w:numId w:val="38"/>
        </w:numPr>
        <w:spacing w:before="0" w:line="240" w:lineRule="auto"/>
        <w:ind w:left="426"/>
        <w:jc w:val="both"/>
        <w:rPr>
          <w:rFonts w:asciiTheme="minorHAnsi" w:hAnsiTheme="minorHAnsi" w:cs="Arial"/>
          <w:sz w:val="22"/>
          <w:szCs w:val="22"/>
        </w:rPr>
      </w:pPr>
      <w:r w:rsidRPr="000E0CEB">
        <w:rPr>
          <w:rFonts w:asciiTheme="minorHAnsi" w:eastAsia="Calibri" w:hAnsiTheme="minorHAnsi"/>
          <w:sz w:val="22"/>
          <w:szCs w:val="22"/>
        </w:rPr>
        <w:t>w przypadku stawek jednostkowych – weryfikacja wydatków polega na sprawdzeniu, czy działania zadeklarowane przez Wnioskodawcę zostały zrealizowane i określone w umowie o dofinansowanie wskaźniki produktu lub rezultatu osiągnięte; rozliczenie następuje według ustalonej stawki w zależności od faktycznie wykonanej ilości dóbr/usług w ramach danego projektu,</w:t>
      </w:r>
    </w:p>
    <w:p w:rsidR="00471B61" w:rsidRPr="000E0CEB" w:rsidRDefault="00477DF1">
      <w:pPr>
        <w:pStyle w:val="Akapitzlist"/>
        <w:numPr>
          <w:ilvl w:val="0"/>
          <w:numId w:val="38"/>
        </w:numPr>
        <w:spacing w:before="0" w:line="240" w:lineRule="auto"/>
        <w:ind w:left="426"/>
        <w:jc w:val="both"/>
        <w:rPr>
          <w:rFonts w:asciiTheme="minorHAnsi" w:hAnsiTheme="minorHAnsi" w:cs="Arial"/>
          <w:sz w:val="22"/>
          <w:szCs w:val="22"/>
        </w:rPr>
      </w:pPr>
      <w:r w:rsidRPr="000E0CEB">
        <w:rPr>
          <w:rFonts w:asciiTheme="minorHAnsi" w:eastAsia="Calibri" w:hAnsiTheme="minorHAnsi"/>
          <w:sz w:val="22"/>
          <w:szCs w:val="22"/>
        </w:rPr>
        <w:t>w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eastAsia="Calibri" w:hAnsiTheme="minorHAnsi"/>
          <w:szCs w:val="22"/>
        </w:rPr>
        <w:t>Szczegółowe warunki rozliczania kosztów w ramach danego projektu na podstawie uproszczonych metod określa umowa o dofinansowania i Wytyczne w zakresie kwalifikowalności wydatków w ramach Europejskiego Funduszu Rozwoju Regionalnego, Europejskiego Funduszu Społecznego oraz Funduszu Spójności na lata 2014-2020.</w:t>
      </w:r>
    </w:p>
    <w:p w:rsidR="00471B61" w:rsidRPr="000E0CEB" w:rsidRDefault="00471B61">
      <w:pPr>
        <w:spacing w:before="120" w:after="120" w:line="240" w:lineRule="auto"/>
        <w:jc w:val="both"/>
        <w:rPr>
          <w:rFonts w:asciiTheme="minorHAnsi" w:hAnsiTheme="minorHAnsi" w:cs="Arial"/>
          <w:szCs w:val="22"/>
        </w:rPr>
      </w:pPr>
    </w:p>
    <w:p w:rsidR="00B63284" w:rsidRPr="000E0CEB" w:rsidRDefault="004D576A">
      <w:pPr>
        <w:pStyle w:val="Nagwek2"/>
        <w:numPr>
          <w:ilvl w:val="3"/>
          <w:numId w:val="24"/>
        </w:numPr>
        <w:ind w:left="284" w:hanging="284"/>
      </w:pPr>
      <w:bookmarkStart w:id="185" w:name="_Toc426632942"/>
      <w:bookmarkStart w:id="186" w:name="_Toc430826838"/>
      <w:bookmarkStart w:id="187" w:name="_Toc438125960"/>
      <w:bookmarkStart w:id="188" w:name="_Toc441241697"/>
      <w:bookmarkEnd w:id="185"/>
      <w:bookmarkEnd w:id="186"/>
      <w:r w:rsidRPr="000E0CEB">
        <w:t>Przekazywanie dofinansowania</w:t>
      </w:r>
      <w:bookmarkEnd w:id="187"/>
      <w:bookmarkEnd w:id="188"/>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przypadku projektów rozliczanych na podstawie rzeczywiście poniesionych wydatków.</w:t>
      </w:r>
    </w:p>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pozaprojektowej działalności.</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Pierwsza transza dofinansowania jest przekazywana w wysokości określonej w pierwszym wniosku o płatność, pod warunkiem wniesienia zabezpieczenia prawidłowej realizacji umowy o dofinansowanie. Kolejne transze dofinansowania (n+1) są przekazywane po:</w:t>
      </w:r>
    </w:p>
    <w:p w:rsidR="00471B61" w:rsidRPr="000E0CEB" w:rsidRDefault="00477DF1">
      <w:pPr>
        <w:numPr>
          <w:ilvl w:val="0"/>
          <w:numId w:val="8"/>
        </w:numPr>
        <w:spacing w:before="0" w:line="240" w:lineRule="auto"/>
        <w:ind w:left="567" w:hanging="567"/>
        <w:jc w:val="both"/>
        <w:rPr>
          <w:rFonts w:asciiTheme="minorHAnsi" w:hAnsiTheme="minorHAnsi"/>
          <w:szCs w:val="22"/>
        </w:rPr>
      </w:pPr>
      <w:r w:rsidRPr="000E0CEB">
        <w:rPr>
          <w:rFonts w:asciiTheme="minorHAnsi" w:hAnsiTheme="minorHAnsi" w:cs="Calibri"/>
          <w:szCs w:val="22"/>
        </w:rPr>
        <w:t>złożeniu przez Beneficjenta i zweryfikowaniu wniosku o płatność rozliczającego ostatnią transzę dofinansowania (n) przez IZ RPO WD  zgodnie z § 12 ust. 1 i 2 umowy, w którym wykazano narastająco wydatki kwalifikowalne rozliczające co najmniej 70% łącznej kwoty otrzymanych transz dofinansowania, z zastrzeżeniem, że nie stwierdzono okoliczności, o których mowa w § 26 ust. 1 umowy,</w:t>
      </w:r>
    </w:p>
    <w:p w:rsidR="00471B61" w:rsidRPr="000E0CEB" w:rsidRDefault="00477DF1">
      <w:pPr>
        <w:pStyle w:val="Akapitzlist"/>
        <w:numPr>
          <w:ilvl w:val="0"/>
          <w:numId w:val="8"/>
        </w:numPr>
        <w:spacing w:before="0" w:line="240" w:lineRule="auto"/>
        <w:ind w:left="567" w:hanging="567"/>
        <w:jc w:val="both"/>
        <w:rPr>
          <w:rFonts w:asciiTheme="minorHAnsi" w:hAnsiTheme="minorHAnsi"/>
          <w:sz w:val="22"/>
          <w:szCs w:val="22"/>
        </w:rPr>
      </w:pPr>
      <w:r w:rsidRPr="000E0CEB">
        <w:rPr>
          <w:rFonts w:asciiTheme="minorHAnsi" w:hAnsiTheme="minorHAnsi"/>
          <w:sz w:val="22"/>
          <w:szCs w:val="22"/>
        </w:rPr>
        <w:t xml:space="preserve">zatwierdzeniu przez </w:t>
      </w:r>
      <w:r w:rsidRPr="000E0CEB">
        <w:rPr>
          <w:rFonts w:asciiTheme="minorHAnsi" w:hAnsiTheme="minorHAnsi" w:cs="Arial"/>
          <w:sz w:val="22"/>
          <w:szCs w:val="22"/>
        </w:rPr>
        <w:t>IZ RPO WD</w:t>
      </w:r>
      <w:r w:rsidRPr="000E0CEB">
        <w:rPr>
          <w:rFonts w:asciiTheme="minorHAnsi" w:hAnsiTheme="minorHAnsi"/>
          <w:sz w:val="22"/>
          <w:szCs w:val="22"/>
        </w:rPr>
        <w:t xml:space="preserve"> wniosku o płatność rozliczającego przedostatnią transzę dofinansowania (n-1).</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Transze dofinansowania są przekazywane 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 :</w:t>
      </w:r>
    </w:p>
    <w:p w:rsidR="00471B61" w:rsidRPr="000E0CEB" w:rsidRDefault="00477DF1">
      <w:pPr>
        <w:numPr>
          <w:ilvl w:val="0"/>
          <w:numId w:val="41"/>
        </w:numPr>
        <w:spacing w:before="0" w:line="240" w:lineRule="auto"/>
        <w:ind w:left="567" w:hanging="567"/>
        <w:jc w:val="both"/>
        <w:rPr>
          <w:rFonts w:asciiTheme="minorHAnsi" w:hAnsiTheme="minorHAnsi"/>
          <w:szCs w:val="22"/>
        </w:rPr>
      </w:pPr>
      <w:r w:rsidRPr="000E0CEB">
        <w:rPr>
          <w:rFonts w:asciiTheme="minorHAnsi" w:hAnsiTheme="minorHAnsi"/>
          <w:szCs w:val="22"/>
        </w:rPr>
        <w:t xml:space="preserve">w zakresie środków stanowiących dofinansowanie z EFS w terminie płatności, o którym mowa w § 2 pkt. 5 rozporządzenia Ministra Finansów z dnia 21 grudnia 2012 r. w sprawie płatności w ramach </w:t>
      </w:r>
      <w:r w:rsidRPr="000E0CEB">
        <w:rPr>
          <w:rFonts w:asciiTheme="minorHAnsi" w:hAnsiTheme="minorHAnsi"/>
          <w:szCs w:val="22"/>
        </w:rPr>
        <w:lastRenderedPageBreak/>
        <w:t>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w:t>
      </w:r>
    </w:p>
    <w:p w:rsidR="00471B61" w:rsidRPr="000E0CEB" w:rsidRDefault="00477DF1">
      <w:pPr>
        <w:numPr>
          <w:ilvl w:val="0"/>
          <w:numId w:val="41"/>
        </w:numPr>
        <w:spacing w:before="0" w:line="240" w:lineRule="auto"/>
        <w:ind w:left="567" w:hanging="567"/>
        <w:jc w:val="both"/>
        <w:rPr>
          <w:rFonts w:asciiTheme="minorHAnsi" w:hAnsiTheme="minorHAnsi"/>
          <w:szCs w:val="22"/>
        </w:rPr>
      </w:pPr>
      <w:r w:rsidRPr="000E0CEB">
        <w:rPr>
          <w:rFonts w:asciiTheme="minorHAnsi" w:hAnsiTheme="minorHAnsi"/>
          <w:szCs w:val="22"/>
        </w:rPr>
        <w:t>w zakresie środków stanowiących dofinansowanie ze środków krajowych w terminie płatności, o którym mowa w pkt. a).</w:t>
      </w:r>
    </w:p>
    <w:p w:rsidR="00471B61" w:rsidRPr="000E0CEB" w:rsidRDefault="00477DF1">
      <w:pPr>
        <w:pStyle w:val="Default"/>
        <w:spacing w:before="120" w:after="120"/>
        <w:jc w:val="both"/>
        <w:rPr>
          <w:rFonts w:asciiTheme="minorHAnsi" w:hAnsiTheme="minorHAnsi"/>
          <w:sz w:val="22"/>
          <w:szCs w:val="22"/>
        </w:rPr>
      </w:pPr>
      <w:r w:rsidRPr="000E0CEB">
        <w:rPr>
          <w:rFonts w:asciiTheme="minorHAnsi" w:hAnsiTheme="minorHAnsi"/>
          <w:sz w:val="22"/>
          <w:szCs w:val="22"/>
        </w:rPr>
        <w:t>W przypadku projektów rozliczanych z zastosowaniem kwot ryczałtowych:</w:t>
      </w:r>
    </w:p>
    <w:p w:rsidR="00471B61" w:rsidRPr="000E0CEB" w:rsidRDefault="00477DF1">
      <w:pPr>
        <w:pStyle w:val="Default"/>
        <w:spacing w:before="120" w:after="120"/>
        <w:jc w:val="both"/>
        <w:rPr>
          <w:rFonts w:asciiTheme="minorHAnsi" w:hAnsiTheme="minorHAnsi"/>
          <w:sz w:val="22"/>
          <w:szCs w:val="22"/>
        </w:rPr>
      </w:pPr>
      <w:r w:rsidRPr="000E0CEB">
        <w:rPr>
          <w:rFonts w:asciiTheme="minorHAnsi" w:hAnsiTheme="minorHAnsi"/>
          <w:sz w:val="22"/>
          <w:szCs w:val="22"/>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471B61" w:rsidRPr="000E0CEB" w:rsidRDefault="00477DF1">
      <w:pPr>
        <w:pStyle w:val="Default"/>
        <w:spacing w:before="120" w:after="120"/>
        <w:jc w:val="both"/>
        <w:rPr>
          <w:rFonts w:asciiTheme="minorHAnsi" w:hAnsiTheme="minorHAnsi"/>
          <w:sz w:val="22"/>
          <w:szCs w:val="22"/>
        </w:rPr>
      </w:pPr>
      <w:r w:rsidRPr="000E0CEB">
        <w:rPr>
          <w:rFonts w:asciiTheme="minorHAnsi" w:hAnsiTheme="minorHAnsi"/>
          <w:sz w:val="22"/>
          <w:szCs w:val="22"/>
        </w:rPr>
        <w:t>Transze dofinansowania są przekazywane na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rsidR="00471B61" w:rsidRPr="000E0CEB" w:rsidRDefault="00477DF1">
      <w:pPr>
        <w:pStyle w:val="Default"/>
        <w:numPr>
          <w:ilvl w:val="2"/>
          <w:numId w:val="53"/>
        </w:numPr>
        <w:spacing w:before="120" w:after="120"/>
        <w:jc w:val="both"/>
        <w:rPr>
          <w:rFonts w:asciiTheme="minorHAnsi" w:hAnsiTheme="minorHAnsi"/>
          <w:sz w:val="22"/>
          <w:szCs w:val="22"/>
        </w:rPr>
      </w:pPr>
      <w:r w:rsidRPr="000E0CEB">
        <w:rPr>
          <w:rFonts w:asciiTheme="minorHAnsi" w:hAnsiTheme="minorHAnsi"/>
          <w:sz w:val="22"/>
          <w:szCs w:val="22"/>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 </w:t>
      </w:r>
    </w:p>
    <w:p w:rsidR="00471B61" w:rsidRPr="000E0CEB" w:rsidRDefault="00477DF1">
      <w:pPr>
        <w:pStyle w:val="Default"/>
        <w:numPr>
          <w:ilvl w:val="2"/>
          <w:numId w:val="53"/>
        </w:numPr>
        <w:spacing w:before="120" w:after="120"/>
        <w:jc w:val="both"/>
        <w:rPr>
          <w:rFonts w:asciiTheme="minorHAnsi" w:hAnsiTheme="minorHAnsi"/>
          <w:sz w:val="22"/>
          <w:szCs w:val="22"/>
        </w:rPr>
      </w:pPr>
      <w:r w:rsidRPr="000E0CEB">
        <w:rPr>
          <w:rFonts w:asciiTheme="minorHAnsi" w:hAnsiTheme="minorHAnsi"/>
          <w:sz w:val="22"/>
          <w:szCs w:val="22"/>
        </w:rPr>
        <w:t>w zakresie środków stanowiących dofinansowanie ze środków krajowych w terminie płatności, o którym mowa w pkt. a).</w:t>
      </w:r>
    </w:p>
    <w:p w:rsidR="00471B61" w:rsidRPr="000E0CEB" w:rsidRDefault="00477DF1">
      <w:pPr>
        <w:pStyle w:val="Default"/>
        <w:jc w:val="both"/>
        <w:rPr>
          <w:rFonts w:asciiTheme="minorHAnsi" w:hAnsiTheme="minorHAnsi"/>
          <w:sz w:val="22"/>
          <w:szCs w:val="22"/>
        </w:rPr>
      </w:pPr>
      <w:r w:rsidRPr="000E0CEB">
        <w:rPr>
          <w:rFonts w:asciiTheme="minorHAnsi" w:hAnsiTheme="minorHAnsi"/>
          <w:sz w:val="22"/>
          <w:szCs w:val="22"/>
        </w:rPr>
        <w:t>W przypadku wszystkich projektów (zarówno rozliczanych na podstawie rzeczywiście poniesionych wydatków, jak i rozliczanych z zastosowaniem kwot ryczałtowych):</w:t>
      </w:r>
    </w:p>
    <w:p w:rsidR="00471B61" w:rsidRPr="000E0CEB" w:rsidRDefault="00471B61">
      <w:pPr>
        <w:pStyle w:val="Default"/>
        <w:jc w:val="both"/>
        <w:rPr>
          <w:rFonts w:asciiTheme="minorHAnsi" w:hAnsiTheme="minorHAnsi"/>
          <w:sz w:val="22"/>
          <w:szCs w:val="22"/>
        </w:rPr>
      </w:pPr>
    </w:p>
    <w:p w:rsidR="00471B61" w:rsidRPr="000E0CEB" w:rsidRDefault="00477DF1">
      <w:pPr>
        <w:pStyle w:val="Default"/>
        <w:jc w:val="both"/>
        <w:rPr>
          <w:rFonts w:asciiTheme="minorHAnsi" w:hAnsiTheme="minorHAnsi"/>
          <w:sz w:val="22"/>
          <w:szCs w:val="22"/>
        </w:rPr>
      </w:pPr>
      <w:r w:rsidRPr="000E0CEB">
        <w:rPr>
          <w:rFonts w:asciiTheme="minorHAnsi" w:hAnsiTheme="minorHAnsi"/>
          <w:sz w:val="22"/>
          <w:szCs w:val="22"/>
        </w:rPr>
        <w:t>W przypadku niemożliwości dokonania wypłaty i transzy dofinansowania spowodowanej okresowym brakiem środków, Wnioskodawca ma prawo renegocjować harmonogram realizacji projektu i harmonogram płatności.</w:t>
      </w:r>
    </w:p>
    <w:p w:rsidR="00471B61" w:rsidRPr="000E0CEB" w:rsidRDefault="00477DF1">
      <w:pPr>
        <w:pStyle w:val="CM4"/>
        <w:spacing w:before="60" w:after="60"/>
        <w:jc w:val="both"/>
        <w:rPr>
          <w:rFonts w:asciiTheme="minorHAnsi" w:hAnsiTheme="minorHAnsi" w:cs="EUAlbertina"/>
          <w:color w:val="000000"/>
          <w:sz w:val="22"/>
          <w:szCs w:val="22"/>
        </w:rPr>
      </w:pPr>
      <w:r w:rsidRPr="000E0CEB">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AA4FE7" w:rsidRPr="000E0CEB" w:rsidRDefault="00477DF1" w:rsidP="00AA4FE7">
      <w:pPr>
        <w:spacing w:before="120" w:after="120" w:line="240" w:lineRule="auto"/>
        <w:jc w:val="both"/>
        <w:rPr>
          <w:rFonts w:asciiTheme="minorHAnsi" w:hAnsiTheme="minorHAnsi"/>
          <w:szCs w:val="22"/>
        </w:rPr>
      </w:pPr>
      <w:r w:rsidRPr="000E0CEB">
        <w:rPr>
          <w:rFonts w:asciiTheme="minorHAnsi" w:hAnsiTheme="minorHAnsi" w:cs="Arial"/>
          <w:szCs w:val="22"/>
        </w:rPr>
        <w:t>IZ RPO</w:t>
      </w:r>
      <w:r w:rsidRPr="000E0CEB">
        <w:rPr>
          <w:rFonts w:asciiTheme="minorHAnsi" w:hAnsiTheme="minorHAnsi"/>
          <w:szCs w:val="22"/>
        </w:rPr>
        <w:t xml:space="preserve"> WD informuje Beneficjenta pisemnie o zawieszeniu biegu terminu wypłaty transzy dofinansowania i jego przyczynach.</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Arial"/>
          <w:szCs w:val="22"/>
        </w:rPr>
        <w:t>IZ RPO WD</w:t>
      </w:r>
      <w:r w:rsidRPr="000E0CEB">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471B61" w:rsidRPr="000E0CEB" w:rsidRDefault="00477DF1">
      <w:pPr>
        <w:pStyle w:val="CM4"/>
        <w:spacing w:before="60" w:after="60"/>
        <w:jc w:val="both"/>
        <w:rPr>
          <w:rFonts w:asciiTheme="minorHAnsi" w:hAnsiTheme="minorHAnsi" w:cs="EUAlbertina"/>
          <w:color w:val="000000"/>
          <w:sz w:val="22"/>
          <w:szCs w:val="22"/>
        </w:rPr>
      </w:pPr>
      <w:r w:rsidRPr="000E0CEB">
        <w:rPr>
          <w:rFonts w:asciiTheme="minorHAnsi" w:hAnsiTheme="minorHAnsi" w:cs="EUAlbertina"/>
          <w:color w:val="000000"/>
          <w:sz w:val="22"/>
          <w:szCs w:val="22"/>
        </w:rPr>
        <w:t xml:space="preserve">Bieg terminu płatności może zostać przerwany przez </w:t>
      </w:r>
      <w:r w:rsidRPr="000E0CEB">
        <w:rPr>
          <w:rFonts w:asciiTheme="minorHAnsi" w:hAnsiTheme="minorHAnsi" w:cs="Arial"/>
          <w:sz w:val="22"/>
          <w:szCs w:val="22"/>
        </w:rPr>
        <w:t>IZ RPO</w:t>
      </w:r>
      <w:r w:rsidRPr="000E0CEB">
        <w:rPr>
          <w:rFonts w:asciiTheme="minorHAnsi" w:hAnsiTheme="minorHAnsi" w:cs="EUAlbertina"/>
          <w:color w:val="000000"/>
          <w:sz w:val="22"/>
          <w:szCs w:val="22"/>
        </w:rPr>
        <w:t xml:space="preserve"> WD w jednym z poniższych, należycie uzasadnionych przypadków: </w:t>
      </w:r>
    </w:p>
    <w:p w:rsidR="00471B61" w:rsidRPr="000E0CEB" w:rsidRDefault="00477DF1">
      <w:pPr>
        <w:pStyle w:val="CM4"/>
        <w:numPr>
          <w:ilvl w:val="1"/>
          <w:numId w:val="42"/>
        </w:numPr>
        <w:ind w:left="284" w:hanging="284"/>
        <w:jc w:val="both"/>
        <w:rPr>
          <w:rFonts w:asciiTheme="minorHAnsi" w:hAnsiTheme="minorHAnsi" w:cs="EUAlbertina"/>
          <w:color w:val="000000"/>
          <w:sz w:val="22"/>
          <w:szCs w:val="22"/>
        </w:rPr>
      </w:pPr>
      <w:r w:rsidRPr="000E0CEB">
        <w:rPr>
          <w:rFonts w:asciiTheme="minorHAnsi" w:hAnsiTheme="minorHAns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rsidR="00471B61" w:rsidRPr="000E0CEB" w:rsidRDefault="00477DF1">
      <w:pPr>
        <w:pStyle w:val="CM4"/>
        <w:numPr>
          <w:ilvl w:val="1"/>
          <w:numId w:val="42"/>
        </w:numPr>
        <w:ind w:left="284" w:hanging="284"/>
        <w:jc w:val="both"/>
        <w:rPr>
          <w:rFonts w:asciiTheme="minorHAnsi" w:hAnsiTheme="minorHAnsi" w:cs="EUAlbertina"/>
          <w:color w:val="000000"/>
          <w:sz w:val="22"/>
          <w:szCs w:val="22"/>
        </w:rPr>
      </w:pPr>
      <w:r w:rsidRPr="000E0CEB">
        <w:rPr>
          <w:rFonts w:asciiTheme="minorHAnsi" w:hAnsiTheme="minorHAnsi" w:cs="EUAlbertina"/>
          <w:color w:val="000000"/>
          <w:sz w:val="22"/>
          <w:szCs w:val="22"/>
        </w:rPr>
        <w:t xml:space="preserve">wszczęto dochodzenie w związku z ewentualnymi nieprawidłowościami mającymi wpływ na dane wydatki.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szCs w:val="22"/>
        </w:rPr>
        <w:t xml:space="preserve">Beneficjent jest zobowiązany do rozliczenia całości otrzymanego dofinansowania wraz z wkładem własnym w końcowym wniosku o płatność. W przypadku, gdy z rozliczenia wynika, że dofinansowanie nie zostało w </w:t>
      </w:r>
      <w:r w:rsidRPr="000E0CEB">
        <w:rPr>
          <w:rFonts w:asciiTheme="minorHAnsi" w:hAnsiTheme="minorHAnsi"/>
          <w:szCs w:val="22"/>
        </w:rPr>
        <w:lastRenderedPageBreak/>
        <w:t>całości wykorzystane na wydatki kwalifikowalne, Beneficjent zwraca tę część dofinansowania w terminie 30 dni kalendarzowych od dnia zakończenia okresu realizacji projektu.</w:t>
      </w:r>
    </w:p>
    <w:p w:rsidR="00B63284" w:rsidRPr="000E0CEB" w:rsidRDefault="004D576A">
      <w:pPr>
        <w:pStyle w:val="Nagwek2"/>
        <w:numPr>
          <w:ilvl w:val="3"/>
          <w:numId w:val="24"/>
        </w:numPr>
        <w:ind w:left="284" w:hanging="284"/>
      </w:pPr>
      <w:bookmarkStart w:id="189" w:name="_Toc430826839"/>
      <w:bookmarkStart w:id="190" w:name="_Toc428787532"/>
      <w:bookmarkStart w:id="191" w:name="_Toc426632944"/>
      <w:bookmarkStart w:id="192" w:name="_Toc438125961"/>
      <w:bookmarkStart w:id="193" w:name="_Toc441241698"/>
      <w:bookmarkEnd w:id="189"/>
      <w:bookmarkEnd w:id="190"/>
      <w:bookmarkEnd w:id="191"/>
      <w:r w:rsidRPr="000E0CEB">
        <w:t>Pomoc publiczna</w:t>
      </w:r>
      <w:bookmarkEnd w:id="192"/>
      <w:bookmarkEnd w:id="193"/>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Ze względu na specyfikę konkursu IOK dopuszcza możliwość występowania pomocy de minimis udzielanej na podstawie rozporządzenia Komisji (UE) nr 1407/2013 z 18 grudnia 2013 roku w sprawie stosowania art.107 i 108 Traktatu o funkcjonowaniu Unii Europejskiej do pomocy de minimis oraz zgodnie z rozporządzeniem Ministra Infrastruktury i Rozwoju z dnia 2 lipca 2015 r. w sprawie udzielania pomocy de minimis oraz pomocy publicznej w ramach programów operacyjnych finansowanych z Europejskiego Funduszu Społecznego na lata 2014–2020. </w:t>
      </w:r>
    </w:p>
    <w:p w:rsidR="00471B61" w:rsidRPr="000E0CEB" w:rsidRDefault="00471B61">
      <w:pPr>
        <w:spacing w:before="120" w:after="120" w:line="240" w:lineRule="auto"/>
        <w:jc w:val="both"/>
        <w:rPr>
          <w:rFonts w:asciiTheme="minorHAnsi" w:hAnsiTheme="minorHAnsi"/>
          <w:szCs w:val="22"/>
        </w:rPr>
      </w:pPr>
    </w:p>
    <w:p w:rsidR="00471B61" w:rsidRPr="000E0CEB" w:rsidRDefault="00477DF1">
      <w:pPr>
        <w:spacing w:before="0" w:after="200" w:line="276" w:lineRule="auto"/>
        <w:rPr>
          <w:rFonts w:asciiTheme="minorHAnsi" w:eastAsia="Calibri" w:hAnsiTheme="minorHAnsi"/>
          <w:szCs w:val="22"/>
          <w:highlight w:val="yellow"/>
        </w:rPr>
      </w:pPr>
      <w:r w:rsidRPr="000E0CEB">
        <w:rPr>
          <w:rFonts w:asciiTheme="minorHAnsi" w:hAnsiTheme="minorHAnsi"/>
        </w:rPr>
        <w:br w:type="page"/>
      </w:r>
    </w:p>
    <w:p w:rsidR="00471B61" w:rsidRPr="000E0CEB" w:rsidRDefault="00471B61">
      <w:pPr>
        <w:pStyle w:val="Akapitzlist"/>
        <w:spacing w:before="120" w:after="120" w:line="240" w:lineRule="auto"/>
        <w:ind w:left="709"/>
        <w:jc w:val="both"/>
        <w:rPr>
          <w:rFonts w:asciiTheme="minorHAnsi" w:hAnsiTheme="minorHAnsi"/>
          <w:szCs w:val="22"/>
          <w:highlight w:val="yellow"/>
        </w:rPr>
      </w:pP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194" w:name="_Toc430826840"/>
      <w:bookmarkStart w:id="195" w:name="_Toc426632945"/>
      <w:bookmarkStart w:id="196" w:name="_Toc438125962"/>
      <w:bookmarkStart w:id="197" w:name="_Toc441241699"/>
      <w:bookmarkEnd w:id="194"/>
      <w:bookmarkEnd w:id="195"/>
      <w:r w:rsidRPr="000E0CEB">
        <w:rPr>
          <w:sz w:val="22"/>
          <w:szCs w:val="22"/>
        </w:rPr>
        <w:t>IV. Składanie wniosku o dofinansowanie</w:t>
      </w:r>
      <w:bookmarkEnd w:id="196"/>
      <w:bookmarkEnd w:id="197"/>
    </w:p>
    <w:p w:rsidR="00B63284" w:rsidRPr="000E0CEB" w:rsidRDefault="004D576A">
      <w:pPr>
        <w:pStyle w:val="Nagwek2"/>
        <w:numPr>
          <w:ilvl w:val="6"/>
          <w:numId w:val="24"/>
        </w:numPr>
        <w:ind w:left="284" w:hanging="284"/>
      </w:pPr>
      <w:bookmarkStart w:id="198" w:name="_Toc430826841"/>
      <w:bookmarkStart w:id="199" w:name="_Toc428787534"/>
      <w:bookmarkStart w:id="200" w:name="_Toc426632946"/>
      <w:bookmarkStart w:id="201" w:name="_Toc438125963"/>
      <w:bookmarkStart w:id="202" w:name="_Toc441241700"/>
      <w:bookmarkEnd w:id="198"/>
      <w:bookmarkEnd w:id="199"/>
      <w:bookmarkEnd w:id="200"/>
      <w:r w:rsidRPr="000E0CEB">
        <w:t>Termin złożenia wniosku o dofinansowanie</w:t>
      </w:r>
      <w:bookmarkEnd w:id="201"/>
      <w:bookmarkEnd w:id="202"/>
    </w:p>
    <w:p w:rsidR="00471B61" w:rsidRPr="000E0CEB" w:rsidRDefault="00477DF1" w:rsidP="00594838">
      <w:pPr>
        <w:spacing w:before="120" w:after="240" w:line="240" w:lineRule="auto"/>
        <w:jc w:val="both"/>
        <w:rPr>
          <w:rFonts w:asciiTheme="minorHAnsi" w:hAnsiTheme="minorHAnsi"/>
          <w:szCs w:val="22"/>
        </w:rPr>
      </w:pPr>
      <w:r w:rsidRPr="000E0CEB">
        <w:rPr>
          <w:rFonts w:asciiTheme="minorHAnsi" w:hAnsiTheme="minorHAnsi"/>
          <w:szCs w:val="22"/>
        </w:rPr>
        <w:t xml:space="preserve">Wybór projektów do dofinansowania następuje w trybie konkursowym w oparciu o wniosek o dofinansowanie. </w:t>
      </w:r>
    </w:p>
    <w:p w:rsidR="00AA4FE7" w:rsidRPr="000E0CEB" w:rsidRDefault="00477DF1" w:rsidP="00AA4FE7">
      <w:pPr>
        <w:autoSpaceDE w:val="0"/>
        <w:autoSpaceDN w:val="0"/>
        <w:adjustRightInd w:val="0"/>
        <w:spacing w:before="120" w:after="120" w:line="240" w:lineRule="auto"/>
        <w:jc w:val="both"/>
        <w:rPr>
          <w:rFonts w:asciiTheme="minorHAnsi" w:hAnsiTheme="minorHAnsi"/>
          <w:szCs w:val="22"/>
        </w:rPr>
      </w:pPr>
      <w:r w:rsidRPr="000E0CEB">
        <w:rPr>
          <w:rFonts w:asciiTheme="minorHAnsi" w:hAnsiTheme="minorHAnsi"/>
          <w:szCs w:val="22"/>
        </w:rPr>
        <w:t>Wnioskodawca wypełnia wniosek o dofinansowanie za pośrednictwem Generatora i przesyła do IOK w ramach niniejszego konkursu od dnia 3 lutego 2016 r. do 2 marca 2016 r.</w:t>
      </w:r>
      <w:r w:rsidRPr="000E0CEB">
        <w:rPr>
          <w:rFonts w:asciiTheme="minorHAnsi" w:eastAsia="Calibri" w:hAnsiTheme="minorHAnsi" w:cs="Arial"/>
          <w:color w:val="000000"/>
          <w:szCs w:val="22"/>
          <w:lang w:eastAsia="en-US"/>
        </w:rPr>
        <w:t xml:space="preserve"> Wnioski należy składać wyłącznie w formie dokumentu elektronicznego za pośrednictwem Generatora. </w:t>
      </w:r>
      <w:r w:rsidRPr="000E0CEB">
        <w:rPr>
          <w:rFonts w:asciiTheme="minorHAnsi" w:hAnsiTheme="minorHAnsi"/>
          <w:szCs w:val="22"/>
        </w:rPr>
        <w:t>Logowanie do Generatora w celu złożenia wniosku o dofinansowanie będzie możliwe w czasie naboru wniosków.</w:t>
      </w:r>
    </w:p>
    <w:p w:rsidR="00AA4FE7" w:rsidRPr="000E0CEB" w:rsidRDefault="00477DF1" w:rsidP="00AA4FE7">
      <w:pPr>
        <w:autoSpaceDE w:val="0"/>
        <w:autoSpaceDN w:val="0"/>
        <w:adjustRightInd w:val="0"/>
        <w:spacing w:before="120" w:after="120" w:line="240" w:lineRule="auto"/>
        <w:jc w:val="both"/>
        <w:rPr>
          <w:rFonts w:asciiTheme="minorHAnsi" w:eastAsia="Calibri" w:hAnsiTheme="minorHAnsi" w:cs="Arial"/>
          <w:color w:val="000000"/>
          <w:szCs w:val="22"/>
          <w:lang w:eastAsia="en-US"/>
        </w:rPr>
      </w:pPr>
      <w:r w:rsidRPr="000E0CEB">
        <w:rPr>
          <w:rFonts w:asciiTheme="minorHAnsi" w:eastAsia="Calibri" w:hAnsiTheme="minorHAnsi" w:cs="MS Sans Serif"/>
          <w:color w:val="000000"/>
          <w:szCs w:val="22"/>
        </w:rPr>
        <w:t>W przypadku ewentualnych problem</w:t>
      </w:r>
      <w:r w:rsidRPr="000E0CEB">
        <w:rPr>
          <w:rFonts w:asciiTheme="minorHAnsi" w:eastAsia="Calibri" w:hAnsiTheme="minorHAnsi" w:cs="Tahoma"/>
          <w:color w:val="000000"/>
          <w:szCs w:val="22"/>
        </w:rPr>
        <w:t xml:space="preserve">ów z </w:t>
      </w:r>
      <w:r w:rsidRPr="000E0CEB">
        <w:rPr>
          <w:rFonts w:asciiTheme="minorHAnsi" w:hAnsiTheme="minorHAnsi"/>
          <w:color w:val="000000"/>
          <w:szCs w:val="22"/>
        </w:rPr>
        <w:t>Generatorem</w:t>
      </w:r>
      <w:r w:rsidRPr="000E0CEB">
        <w:rPr>
          <w:rFonts w:asciiTheme="minorHAnsi" w:eastAsia="Calibri" w:hAnsiTheme="minorHAnsi" w:cs="Tahoma"/>
          <w:color w:val="000000"/>
          <w:szCs w:val="22"/>
        </w:rPr>
        <w:t>, IZ RPO WD zastrzega sobie możliwość wydłużenia terminu składania wniosków lub złożenia ich w innej formie niż elektroniczna. Decyzja w powyższej kwestii zostanie przedstawiona w formie komunikatu we wszystkich miejscach, w których opublikowano ogłoszenie.</w:t>
      </w:r>
    </w:p>
    <w:p w:rsidR="00AA4FE7" w:rsidRPr="000E0CEB" w:rsidRDefault="00477DF1" w:rsidP="00AA4FE7">
      <w:pPr>
        <w:autoSpaceDE w:val="0"/>
        <w:autoSpaceDN w:val="0"/>
        <w:adjustRightInd w:val="0"/>
        <w:spacing w:before="120" w:after="12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Wniosek o dofinansowanie złożony w formie formularza elektronicznego </w:t>
      </w:r>
      <w:r w:rsidRPr="000E0CEB">
        <w:rPr>
          <w:rFonts w:asciiTheme="minorHAnsi" w:eastAsia="Calibri" w:hAnsiTheme="minorHAnsi" w:cs="Arial"/>
          <w:b/>
          <w:bCs/>
          <w:color w:val="000000"/>
          <w:szCs w:val="22"/>
          <w:lang w:eastAsia="en-US"/>
        </w:rPr>
        <w:t xml:space="preserve">musi być podpisany </w:t>
      </w:r>
      <w:r w:rsidRPr="000E0CEB">
        <w:rPr>
          <w:rFonts w:asciiTheme="minorHAnsi" w:eastAsia="Calibri" w:hAnsiTheme="minorHAnsi" w:cs="Arial"/>
          <w:color w:val="000000"/>
          <w:szCs w:val="22"/>
          <w:lang w:eastAsia="en-US"/>
        </w:rPr>
        <w:t xml:space="preserve">z użyciem podpisu elektronicznego, weryfikowanego za pomocą kwalifikowanego certyfikatu lub podpisu potwierdzonego Profilem Zaufanym w ramach ePUAP. </w:t>
      </w:r>
    </w:p>
    <w:p w:rsidR="00471B61" w:rsidRPr="000E0CEB" w:rsidRDefault="00477DF1">
      <w:pPr>
        <w:spacing w:before="120" w:after="120" w:line="240" w:lineRule="auto"/>
        <w:jc w:val="both"/>
        <w:rPr>
          <w:rFonts w:asciiTheme="minorHAnsi" w:hAnsiTheme="minorHAnsi"/>
          <w:szCs w:val="22"/>
        </w:rPr>
      </w:pPr>
      <w:r w:rsidRPr="000E0CEB">
        <w:rPr>
          <w:rFonts w:asciiTheme="minorHAnsi" w:eastAsia="Calibri" w:hAnsiTheme="minorHAnsi" w:cs="Arial"/>
          <w:color w:val="000000"/>
          <w:szCs w:val="22"/>
          <w:lang w:eastAsia="en-US"/>
        </w:rPr>
        <w:t>Instrukcja wypełniania wniosku o dofinansowanie stanowi załącznik nr 19. Zakres informacji wymagany na etapie sporządzania wniosku o dofinansowanie projektu zawiera załącznik nr 18.</w:t>
      </w:r>
    </w:p>
    <w:p w:rsidR="00B63284" w:rsidRPr="000E0CEB" w:rsidRDefault="004D576A">
      <w:pPr>
        <w:pStyle w:val="Nagwek2"/>
        <w:numPr>
          <w:ilvl w:val="6"/>
          <w:numId w:val="24"/>
        </w:numPr>
        <w:ind w:left="284" w:hanging="284"/>
      </w:pPr>
      <w:bookmarkStart w:id="203" w:name="_Toc430826842"/>
      <w:bookmarkStart w:id="204" w:name="_Toc438125964"/>
      <w:bookmarkStart w:id="205" w:name="_Toc441241701"/>
      <w:bookmarkEnd w:id="203"/>
      <w:r w:rsidRPr="000E0CEB">
        <w:t>Uzupełnienie formalnych braków i oczywistych omyłek</w:t>
      </w:r>
      <w:bookmarkEnd w:id="204"/>
      <w:bookmarkEnd w:id="205"/>
    </w:p>
    <w:p w:rsidR="00471B61" w:rsidRPr="000E0CEB" w:rsidRDefault="00477DF1" w:rsidP="00594838">
      <w:pPr>
        <w:pStyle w:val="Tekstkomentarza"/>
        <w:spacing w:after="240"/>
        <w:rPr>
          <w:rFonts w:asciiTheme="minorHAnsi" w:hAnsiTheme="minorHAnsi"/>
          <w:sz w:val="22"/>
          <w:szCs w:val="22"/>
        </w:rPr>
      </w:pPr>
      <w:r w:rsidRPr="000E0CEB">
        <w:rPr>
          <w:rFonts w:asciiTheme="minorHAnsi" w:hAnsiTheme="minorHAnsi"/>
          <w:sz w:val="22"/>
          <w:szCs w:val="22"/>
        </w:rPr>
        <w:t>W razie stwierdzonych, podczas weryfikacji technicznej braków formalnych i oczywistych omyłek we wniosku o dofinansowanie, IOK  wzywa Wnioskodawcę do uzupełnienia lub korekty pod warunkiem, że korekta nie będzie prowadziła do istotnej modyfikacji wniosku o dofinansowanie. Ostateczna ocena czy uzupełnienie wniosku o dofinansowanie lub poprawienie w nim oczywistej omyłki doprowadziło do istotnej modyfikacji wniosku o dofinansowanie, o której mowa w art. 43 ust. 2 ustawy, jest dokonywana przez IOK.</w:t>
      </w:r>
    </w:p>
    <w:p w:rsidR="00471B61" w:rsidRPr="000E0CEB" w:rsidRDefault="00477DF1">
      <w:pPr>
        <w:pStyle w:val="Tekstkomentarza"/>
        <w:rPr>
          <w:rFonts w:asciiTheme="minorHAnsi" w:eastAsia="Calibri" w:hAnsiTheme="minorHAnsi" w:cs="Arial"/>
          <w:color w:val="000000"/>
          <w:sz w:val="22"/>
          <w:szCs w:val="22"/>
          <w:lang w:eastAsia="en-US"/>
        </w:rPr>
      </w:pPr>
      <w:r w:rsidRPr="000E0CEB">
        <w:rPr>
          <w:rFonts w:asciiTheme="minorHAnsi" w:hAnsiTheme="minorHAnsi"/>
          <w:sz w:val="22"/>
          <w:szCs w:val="22"/>
        </w:rPr>
        <w:t>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Wnioskodawca w przypadku poprawy wniosku wprowadza poprawki we wniosku o dofinansowanie oraz wysyła go w udostępnionym Generatorze. Poniżej przykładowa l</w:t>
      </w:r>
      <w:r w:rsidRPr="000E0CEB">
        <w:rPr>
          <w:rFonts w:asciiTheme="minorHAnsi" w:eastAsia="Calibri" w:hAnsiTheme="minorHAnsi" w:cs="Arial"/>
          <w:b/>
          <w:bCs/>
          <w:color w:val="000000"/>
          <w:sz w:val="22"/>
          <w:szCs w:val="22"/>
          <w:lang w:eastAsia="en-US"/>
        </w:rPr>
        <w:t>ista braków formalnych i, które mogą podlegać jednorazowej  korekcie lub uzupełnieniu:</w:t>
      </w:r>
    </w:p>
    <w:p w:rsidR="00471B61" w:rsidRPr="000E0CEB" w:rsidRDefault="00477DF1">
      <w:pPr>
        <w:pStyle w:val="Akapitzlist"/>
        <w:numPr>
          <w:ilvl w:val="0"/>
          <w:numId w:val="50"/>
        </w:numPr>
        <w:spacing w:before="0" w:after="200" w:line="276" w:lineRule="auto"/>
        <w:contextualSpacing/>
        <w:jc w:val="both"/>
        <w:rPr>
          <w:rFonts w:asciiTheme="minorHAnsi" w:hAnsiTheme="minorHAnsi"/>
          <w:sz w:val="22"/>
          <w:szCs w:val="22"/>
        </w:rPr>
      </w:pPr>
      <w:r w:rsidRPr="000E0CEB">
        <w:rPr>
          <w:rFonts w:asciiTheme="minorHAnsi" w:hAnsiTheme="minorHAnsi"/>
          <w:sz w:val="22"/>
          <w:szCs w:val="22"/>
        </w:rPr>
        <w:t>brak wypełnienia punktu E. wniosku zgodnie z wymogami określonymi w instrukcji wypełniania wniosku;</w:t>
      </w:r>
    </w:p>
    <w:p w:rsidR="00471B61" w:rsidRPr="000E0CEB" w:rsidRDefault="00477DF1">
      <w:pPr>
        <w:pStyle w:val="Akapitzlist"/>
        <w:numPr>
          <w:ilvl w:val="0"/>
          <w:numId w:val="50"/>
        </w:numPr>
        <w:spacing w:before="0" w:after="200" w:line="276" w:lineRule="auto"/>
        <w:contextualSpacing/>
        <w:jc w:val="both"/>
        <w:rPr>
          <w:rFonts w:asciiTheme="minorHAnsi" w:hAnsiTheme="minorHAnsi"/>
          <w:sz w:val="22"/>
          <w:szCs w:val="22"/>
        </w:rPr>
      </w:pPr>
      <w:r w:rsidRPr="000E0CEB">
        <w:rPr>
          <w:rFonts w:asciiTheme="minorHAnsi" w:hAnsiTheme="minorHAnsi"/>
          <w:sz w:val="22"/>
          <w:szCs w:val="22"/>
        </w:rPr>
        <w:t>brak wymaganych załączników;</w:t>
      </w:r>
    </w:p>
    <w:p w:rsidR="00471B61" w:rsidRPr="000E0CEB" w:rsidRDefault="00477DF1">
      <w:pPr>
        <w:pStyle w:val="Akapitzlist"/>
        <w:numPr>
          <w:ilvl w:val="0"/>
          <w:numId w:val="50"/>
        </w:numPr>
        <w:spacing w:before="0" w:after="200" w:line="276" w:lineRule="auto"/>
        <w:contextualSpacing/>
        <w:jc w:val="both"/>
        <w:rPr>
          <w:rFonts w:asciiTheme="minorHAnsi" w:hAnsiTheme="minorHAnsi"/>
          <w:sz w:val="22"/>
          <w:szCs w:val="22"/>
        </w:rPr>
      </w:pPr>
      <w:r w:rsidRPr="000E0CEB">
        <w:rPr>
          <w:rFonts w:asciiTheme="minorHAnsi" w:hAnsiTheme="minorHAnsi"/>
          <w:sz w:val="22"/>
          <w:szCs w:val="22"/>
        </w:rPr>
        <w:t>brak podpisu osoby uprawnionej wymienionej w pkt. B.1.1.10. wniosku;</w:t>
      </w:r>
    </w:p>
    <w:p w:rsidR="00471B61" w:rsidRPr="000E0CEB" w:rsidRDefault="00477DF1">
      <w:pPr>
        <w:pStyle w:val="Akapitzlist"/>
        <w:numPr>
          <w:ilvl w:val="0"/>
          <w:numId w:val="50"/>
        </w:numPr>
        <w:spacing w:before="0" w:after="200" w:line="276" w:lineRule="auto"/>
        <w:contextualSpacing/>
        <w:jc w:val="both"/>
        <w:rPr>
          <w:rFonts w:asciiTheme="minorHAnsi" w:hAnsiTheme="minorHAnsi"/>
          <w:sz w:val="22"/>
          <w:szCs w:val="22"/>
        </w:rPr>
      </w:pPr>
      <w:r w:rsidRPr="000E0CEB">
        <w:rPr>
          <w:rFonts w:asciiTheme="minorHAnsi" w:hAnsiTheme="minorHAnsi"/>
          <w:sz w:val="22"/>
          <w:szCs w:val="22"/>
        </w:rPr>
        <w:t>podpisanie wniosku przez inną osobę niż wymieniona w pkt. B.1.1.10.</w:t>
      </w:r>
    </w:p>
    <w:p w:rsidR="00471B61" w:rsidRPr="000E0CEB" w:rsidRDefault="00477DF1">
      <w:pPr>
        <w:spacing w:before="0" w:line="240" w:lineRule="auto"/>
        <w:jc w:val="both"/>
        <w:rPr>
          <w:rFonts w:asciiTheme="minorHAnsi" w:eastAsia="Calibri" w:hAnsiTheme="minorHAnsi" w:cs="Arial"/>
          <w:color w:val="000000"/>
          <w:szCs w:val="22"/>
          <w:lang w:eastAsia="en-US"/>
        </w:rPr>
      </w:pPr>
      <w:r w:rsidRPr="000E0CEB">
        <w:rPr>
          <w:rFonts w:asciiTheme="minorHAnsi" w:eastAsia="Calibri" w:hAnsiTheme="minorHAnsi" w:cs="Arial"/>
          <w:color w:val="000000"/>
          <w:szCs w:val="22"/>
          <w:lang w:eastAsia="en-US"/>
        </w:rPr>
        <w:t xml:space="preserve">Możliwość dokonania jednokrotnego uzupełnienia wniosku o dofinansowanie jest możliwa w terminie 7 dni kalendarzowych od dnia otrzymania pisma informującego. </w:t>
      </w:r>
    </w:p>
    <w:p w:rsidR="00471B61" w:rsidRPr="000E0CEB" w:rsidRDefault="00477DF1">
      <w:pPr>
        <w:jc w:val="both"/>
        <w:rPr>
          <w:rFonts w:asciiTheme="minorHAnsi" w:hAnsiTheme="minorHAnsi"/>
          <w:szCs w:val="22"/>
        </w:rPr>
      </w:pPr>
      <w:r w:rsidRPr="000E0CEB">
        <w:rPr>
          <w:rFonts w:asciiTheme="minorHAnsi" w:hAnsiTheme="minorHAnsi"/>
          <w:szCs w:val="22"/>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lastRenderedPageBreak/>
        <w:t xml:space="preserve">Informacje do Wnioskodawcy dotyczące poprawy/uzupełnienia wniosku doręczane są zgodnie z przepisami Kodeksu postępowania administracyjnego (KPA) o doręczaniu.  </w:t>
      </w:r>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hAnsiTheme="minorHAnsi"/>
          <w:szCs w:val="22"/>
        </w:rPr>
        <w:t xml:space="preserve">Po uzupełnieniu/korekcie wniosku, pracownik IOK </w:t>
      </w:r>
      <w:r w:rsidRPr="000E0CEB">
        <w:rPr>
          <w:rFonts w:asciiTheme="minorHAnsi" w:eastAsia="Calibri" w:hAnsiTheme="minorHAnsi" w:cs="Arial"/>
          <w:szCs w:val="22"/>
          <w:lang w:eastAsia="en-US"/>
        </w:rPr>
        <w:t xml:space="preserve">dokonuje </w:t>
      </w:r>
      <w:r w:rsidRPr="000E0CEB">
        <w:rPr>
          <w:rFonts w:asciiTheme="minorHAnsi" w:eastAsia="Calibri" w:hAnsiTheme="minorHAnsi" w:cs="Arial"/>
          <w:b/>
          <w:bCs/>
          <w:szCs w:val="22"/>
          <w:lang w:eastAsia="en-US"/>
        </w:rPr>
        <w:t xml:space="preserve">ponownej weryfikacji wniosku. </w:t>
      </w:r>
    </w:p>
    <w:p w:rsidR="00471B61" w:rsidRPr="000E0CEB" w:rsidRDefault="00477DF1">
      <w:pPr>
        <w:spacing w:before="120" w:after="120" w:line="240" w:lineRule="auto"/>
        <w:jc w:val="both"/>
        <w:rPr>
          <w:rFonts w:asciiTheme="minorHAnsi" w:eastAsia="Calibri" w:hAnsiTheme="minorHAnsi"/>
          <w:szCs w:val="22"/>
          <w:lang w:eastAsia="en-US"/>
        </w:rPr>
      </w:pPr>
      <w:r w:rsidRPr="000E0CEB">
        <w:rPr>
          <w:rFonts w:asciiTheme="minorHAnsi" w:hAnsiTheme="minorHAnsi"/>
          <w:szCs w:val="22"/>
        </w:rPr>
        <w:t>Poprawnie uzupełniony lub skorygowany wniosek jest kierowany do oceny zgodności ze Strategią ZIT dokonywanej w ramach KOP.</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471B61" w:rsidRPr="000E0CEB" w:rsidRDefault="00477DF1">
      <w:pPr>
        <w:spacing w:before="0" w:line="240" w:lineRule="auto"/>
        <w:jc w:val="both"/>
        <w:rPr>
          <w:rFonts w:asciiTheme="minorHAnsi" w:hAnsiTheme="minorHAnsi"/>
          <w:szCs w:val="22"/>
        </w:rPr>
      </w:pPr>
      <w:r w:rsidRPr="000E0CEB">
        <w:rPr>
          <w:rFonts w:asciiTheme="minorHAnsi" w:eastAsia="Calibri" w:hAnsiTheme="minorHAnsi" w:cs="Arial"/>
          <w:szCs w:val="22"/>
        </w:rPr>
        <w:t>W związku z tym, że wymogi formalne w odniesieniu do wniosku o dofinansowanie nie są kryteriami, wnioskodawcy, w przypadku pozostawienia jego wniosku o dofinansowanie bez rozpatrzenia, nie przysługuje protest w rozumieniu rozdziału 15 ustawy.</w:t>
      </w:r>
    </w:p>
    <w:p w:rsidR="00471B61" w:rsidRPr="000E0CEB" w:rsidRDefault="00471B61">
      <w:pPr>
        <w:spacing w:before="0" w:line="240" w:lineRule="auto"/>
        <w:jc w:val="both"/>
        <w:rPr>
          <w:rFonts w:asciiTheme="minorHAnsi" w:hAnsiTheme="minorHAnsi"/>
          <w:szCs w:val="22"/>
        </w:rPr>
      </w:pPr>
    </w:p>
    <w:p w:rsidR="00471B61" w:rsidRPr="000E0CEB" w:rsidRDefault="00477DF1">
      <w:pPr>
        <w:spacing w:before="0" w:after="200" w:line="276" w:lineRule="auto"/>
        <w:rPr>
          <w:rFonts w:asciiTheme="minorHAnsi" w:hAnsiTheme="minorHAnsi"/>
          <w:szCs w:val="22"/>
        </w:rPr>
      </w:pPr>
      <w:r w:rsidRPr="000E0CEB">
        <w:rPr>
          <w:rFonts w:asciiTheme="minorHAnsi" w:hAnsiTheme="minorHAnsi"/>
        </w:rPr>
        <w:br w:type="page"/>
      </w:r>
    </w:p>
    <w:p w:rsidR="00471B61" w:rsidRPr="000E0CEB" w:rsidRDefault="00477DF1">
      <w:pPr>
        <w:tabs>
          <w:tab w:val="left" w:pos="7095"/>
        </w:tabs>
        <w:spacing w:before="120" w:after="120" w:line="240" w:lineRule="auto"/>
        <w:ind w:left="360"/>
        <w:jc w:val="both"/>
        <w:rPr>
          <w:rFonts w:asciiTheme="minorHAnsi" w:hAnsiTheme="minorHAnsi"/>
          <w:szCs w:val="22"/>
        </w:rPr>
      </w:pPr>
      <w:r w:rsidRPr="000E0CEB">
        <w:rPr>
          <w:rFonts w:asciiTheme="minorHAnsi" w:hAnsiTheme="minorHAnsi"/>
          <w:szCs w:val="22"/>
        </w:rPr>
        <w:lastRenderedPageBreak/>
        <w:tab/>
      </w: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206" w:name="_Toc430826843"/>
      <w:bookmarkStart w:id="207" w:name="_Toc426632949"/>
      <w:bookmarkStart w:id="208" w:name="_Toc438125965"/>
      <w:bookmarkStart w:id="209" w:name="_Toc441241702"/>
      <w:bookmarkEnd w:id="206"/>
      <w:bookmarkEnd w:id="207"/>
      <w:r w:rsidRPr="000E0CEB">
        <w:rPr>
          <w:sz w:val="22"/>
          <w:szCs w:val="22"/>
        </w:rPr>
        <w:t>V. Wybór projektów</w:t>
      </w:r>
      <w:bookmarkEnd w:id="208"/>
      <w:bookmarkEnd w:id="209"/>
    </w:p>
    <w:p w:rsidR="00B63284" w:rsidRPr="000E0CEB" w:rsidRDefault="00B06A11">
      <w:pPr>
        <w:pStyle w:val="Nagwek2"/>
      </w:pPr>
      <w:bookmarkStart w:id="210" w:name="_Toc430826844"/>
      <w:bookmarkStart w:id="211" w:name="_Toc438125966"/>
      <w:bookmarkStart w:id="212" w:name="_Toc441241703"/>
      <w:bookmarkEnd w:id="210"/>
      <w:r w:rsidRPr="000E0CEB">
        <w:t xml:space="preserve">1. </w:t>
      </w:r>
      <w:r w:rsidR="004D576A" w:rsidRPr="000E0CEB">
        <w:t>Komisja Oceny Projektów</w:t>
      </w:r>
      <w:bookmarkEnd w:id="211"/>
      <w:bookmarkEnd w:id="212"/>
    </w:p>
    <w:p w:rsidR="00471B61" w:rsidRPr="000E0CEB" w:rsidRDefault="00477DF1">
      <w:pPr>
        <w:spacing w:before="120" w:after="120" w:line="240" w:lineRule="auto"/>
        <w:jc w:val="both"/>
        <w:rPr>
          <w:rFonts w:asciiTheme="minorHAnsi" w:eastAsia="Calibri" w:hAnsiTheme="minorHAnsi" w:cs="Arial"/>
          <w:szCs w:val="22"/>
          <w:lang w:eastAsia="en-US"/>
        </w:rPr>
      </w:pPr>
      <w:r w:rsidRPr="000E0CEB">
        <w:rPr>
          <w:rFonts w:asciiTheme="minorHAnsi" w:hAnsiTheme="minorHAnsi"/>
          <w:szCs w:val="22"/>
        </w:rPr>
        <w:t xml:space="preserve">Zgodnie z art. 44 </w:t>
      </w:r>
      <w:r w:rsidRPr="000E0CEB">
        <w:rPr>
          <w:rFonts w:asciiTheme="minorHAnsi" w:eastAsia="Calibri" w:hAnsiTheme="minorHAnsi" w:cs="Arial"/>
          <w:szCs w:val="22"/>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(pracownicy IZ RPO WD i pracownicy ZIT AJ) oraz mogą wchodzić eksperci zewnętrzni, o których mowa w art. 49 ustawy wymienionej powyżej. </w:t>
      </w:r>
    </w:p>
    <w:p w:rsidR="00471B61" w:rsidRPr="000E0CEB" w:rsidRDefault="00477DF1">
      <w:pPr>
        <w:pStyle w:val="Akapitzlist"/>
        <w:spacing w:before="120" w:after="120" w:line="240" w:lineRule="auto"/>
        <w:ind w:left="0"/>
        <w:jc w:val="both"/>
        <w:rPr>
          <w:rFonts w:asciiTheme="minorHAnsi" w:hAnsiTheme="minorHAnsi"/>
          <w:sz w:val="22"/>
          <w:szCs w:val="22"/>
        </w:rPr>
      </w:pPr>
      <w:r w:rsidRPr="000E0CEB">
        <w:rPr>
          <w:rFonts w:asciiTheme="minorHAnsi" w:hAnsiTheme="minorHAnsi"/>
          <w:sz w:val="22"/>
          <w:szCs w:val="22"/>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Na potrzeby oceny każdego projektu członkowie KOP wybierani są w drodze losowania przeprowadzonego przez przewodniczącego KOP na posiedzeniu KOP w obecności, co najmniej 3 członków KOP oraz obserwatorów wskazanych przez KM (o ile KM wskaże swoich obserwatorów).</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Przed rozpoczęciem prac KOP, IOK sporządza listę wszystkich projektów złożonych w odpowiedzi na konkurs (wraz z nazwą Wnioskodawcy i Partnerów oraz tytułem projektu) i przedstawia ją do wiadomości członkom KOP przed podpisaniem przez nich oświadczenia o bezstronności.</w:t>
      </w:r>
    </w:p>
    <w:p w:rsidR="00B63284" w:rsidRPr="000E0CEB" w:rsidRDefault="004D576A">
      <w:pPr>
        <w:pStyle w:val="Nagwek2"/>
        <w:numPr>
          <w:ilvl w:val="0"/>
          <w:numId w:val="53"/>
        </w:numPr>
      </w:pPr>
      <w:bookmarkStart w:id="213" w:name="_Toc441241704"/>
      <w:r w:rsidRPr="000E0CEB">
        <w:t>Ocena zgodności ze Strategią ZIT AJ</w:t>
      </w:r>
      <w:bookmarkEnd w:id="213"/>
    </w:p>
    <w:p w:rsidR="00471B61" w:rsidRPr="000E0CEB" w:rsidRDefault="00477DF1">
      <w:pPr>
        <w:numPr>
          <w:ilvl w:val="0"/>
          <w:numId w:val="46"/>
        </w:numPr>
        <w:spacing w:after="120" w:line="276" w:lineRule="auto"/>
        <w:ind w:left="426" w:hanging="426"/>
        <w:jc w:val="both"/>
        <w:rPr>
          <w:rFonts w:asciiTheme="minorHAnsi" w:hAnsiTheme="minorHAnsi" w:cs="Arial"/>
          <w:bCs/>
          <w:szCs w:val="22"/>
        </w:rPr>
      </w:pPr>
      <w:r w:rsidRPr="000E0CEB">
        <w:rPr>
          <w:rFonts w:asciiTheme="minorHAnsi" w:hAnsiTheme="minorHAnsi" w:cs="Arial"/>
          <w:bCs/>
          <w:szCs w:val="22"/>
        </w:rPr>
        <w:t>Ocenie spełnienia kryteriów wyboru projektu w zakresie zgodności ze Strategią ZIT AJ podlega każdy złożony w trakcie trwania naboru wniosek o dofinansowanie (o ile nie został wycofany przez Wnioskodawcę albo pozostawiony bez rozpatrzenia zgodnie z art. 43 ust. 1 ustawy), a także każdy projekt  przywrócony do oceny zgodności ze Strategią ZIT AJ wskutek uwzględnienia przez IZ RPO WD 2014-2020 lub sąd administracyjny środka odwoławczego od tego etapu oceny (odpowiednio protest lub skarga).</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bCs/>
          <w:szCs w:val="22"/>
        </w:rPr>
        <w:t xml:space="preserve">Oceny </w:t>
      </w:r>
      <w:r w:rsidRPr="000E0CEB">
        <w:rPr>
          <w:rFonts w:asciiTheme="minorHAnsi" w:hAnsiTheme="minorHAnsi" w:cs="Arial"/>
          <w:szCs w:val="22"/>
        </w:rPr>
        <w:t>zgodności ze Strategią ZIT AJ</w:t>
      </w:r>
      <w:r w:rsidRPr="000E0CEB">
        <w:rPr>
          <w:rFonts w:asciiTheme="minorHAnsi" w:hAnsiTheme="minorHAnsi" w:cs="Arial"/>
          <w:bCs/>
          <w:szCs w:val="22"/>
        </w:rPr>
        <w:t xml:space="preserve"> dokonuje Komisja Oceny Projektów, która realizuje swoje zadania zgodnie z Regulaminem KOP.</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szCs w:val="22"/>
        </w:rPr>
        <w:t>Ocena zgodności projektu ze Strategią ZIT AJ dokonywana jest przez  dwóch członków KOP, zgodnie z zasadą „dwóch par oczu”. Proces oceny zgodności ze Strategią ZIT AJ nadzorują pracownicy ZIT AJ zgodnie z Regulaminem KOP.</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szCs w:val="22"/>
        </w:rPr>
        <w:t>Oceny dokonuje się w oparciu o obowiązujące kryteria oceny zatwierdzone przez KM RPO WD.</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szCs w:val="22"/>
        </w:rPr>
        <w:t>Ocena zgodności ze Strategią ZIT AJ jest dokonywana przy pomocy Karty oceny zgodności ze Strategią ZIT AJ, która stanowi załącznik nr 5 do niniejszego Regulaminu konkursu.</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szCs w:val="22"/>
        </w:rPr>
        <w:t>W przypadku projektów ocenianych przez ZIT AJ za spełnianie kryteriów zgodności ze Strategią ZIT AJ oceniający może przyznać maksymalnie 50 punktów.</w:t>
      </w:r>
    </w:p>
    <w:p w:rsidR="00471B61" w:rsidRPr="000E0CEB" w:rsidRDefault="00477DF1">
      <w:pPr>
        <w:numPr>
          <w:ilvl w:val="0"/>
          <w:numId w:val="46"/>
        </w:numPr>
        <w:spacing w:after="120" w:line="276" w:lineRule="auto"/>
        <w:ind w:left="426" w:hanging="426"/>
        <w:jc w:val="both"/>
        <w:rPr>
          <w:rFonts w:asciiTheme="minorHAnsi" w:hAnsiTheme="minorHAnsi" w:cs="Arial"/>
          <w:szCs w:val="22"/>
        </w:rPr>
      </w:pPr>
      <w:r w:rsidRPr="000E0CEB">
        <w:rPr>
          <w:rFonts w:asciiTheme="minorHAnsi" w:hAnsiTheme="minorHAnsi" w:cs="Arial"/>
          <w:szCs w:val="22"/>
        </w:rPr>
        <w:lastRenderedPageBreak/>
        <w:t>Niespełnienie któregokolwiek z kryteriów obligatoryjnych lub zerojedynkowych weryfikowanych na ocenie zgodności ze Strategią ZIT AJ i/lub nieosiągnięcie wymaganego progu punktowego zgodnie z zatwierdzonymi przez KM kryteriami oceny oznacza odrzucenie wniosku.</w:t>
      </w:r>
    </w:p>
    <w:p w:rsidR="00471B61" w:rsidRPr="000E0CEB" w:rsidRDefault="00477DF1">
      <w:pPr>
        <w:numPr>
          <w:ilvl w:val="0"/>
          <w:numId w:val="46"/>
        </w:numPr>
        <w:spacing w:after="120" w:line="276" w:lineRule="auto"/>
        <w:ind w:left="426" w:hanging="426"/>
        <w:jc w:val="both"/>
        <w:rPr>
          <w:rFonts w:asciiTheme="minorHAnsi" w:hAnsiTheme="minorHAnsi"/>
          <w:szCs w:val="22"/>
        </w:rPr>
      </w:pPr>
      <w:r w:rsidRPr="000E0CEB">
        <w:rPr>
          <w:rFonts w:asciiTheme="minorHAnsi" w:hAnsiTheme="minorHAnsi" w:cs="Arial"/>
          <w:szCs w:val="22"/>
        </w:rPr>
        <w:t xml:space="preserve">ZIT AJ informuje pisemnie Wnioskodawców o negatywnym wyniku oceny zgodności ze Strategią ZIT.AJ wraz ze zgodnym z art. 46 ust. 5 ustawy pouczeniem </w:t>
      </w:r>
      <w:r w:rsidRPr="000E0CEB">
        <w:rPr>
          <w:rFonts w:asciiTheme="minorHAnsi" w:hAnsiTheme="minorHAnsi"/>
          <w:szCs w:val="22"/>
        </w:rPr>
        <w:t>o możliwości wniesienia protestu, o którym mowa w art. 53 ust. 1 ustawy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Arial"/>
          <w:szCs w:val="22"/>
        </w:rPr>
        <w:t xml:space="preserve">Lista wniosków zakwalifikowanych do kolejnego etapu oceny (formalno-merytorycznej) jest zamieszczana na stronie internetowej ZIT AJ www.zitaj.jeleniagora.pl  oraz na stronie internetowej www.rpo.dolnyslask.pl. Kontynuacja oceny spełniania kryteriów wyboru projektów, tj. ocena formalno-merytoryczna przeprowadzana jest w </w:t>
      </w:r>
      <w:r w:rsidRPr="000E0CEB">
        <w:rPr>
          <w:rFonts w:asciiTheme="minorHAnsi" w:eastAsia="Calibri" w:hAnsiTheme="minorHAnsi" w:cs="Arial"/>
          <w:szCs w:val="22"/>
          <w:lang w:eastAsia="en-US"/>
        </w:rPr>
        <w:t>IZ RPO WD</w:t>
      </w:r>
      <w:r w:rsidRPr="000E0CEB">
        <w:rPr>
          <w:rFonts w:asciiTheme="minorHAnsi" w:hAnsiTheme="minorHAnsi" w:cs="Arial"/>
          <w:szCs w:val="22"/>
        </w:rPr>
        <w:t>.</w:t>
      </w:r>
    </w:p>
    <w:p w:rsidR="00B63284" w:rsidRPr="000E0CEB" w:rsidRDefault="004D576A">
      <w:pPr>
        <w:pStyle w:val="Nagwek2"/>
        <w:numPr>
          <w:ilvl w:val="0"/>
          <w:numId w:val="53"/>
        </w:numPr>
      </w:pPr>
      <w:bookmarkStart w:id="214" w:name="_Toc426632950"/>
      <w:bookmarkStart w:id="215" w:name="_Toc426632953"/>
      <w:bookmarkStart w:id="216" w:name="_Toc426630264"/>
      <w:bookmarkStart w:id="217" w:name="_Toc425494953"/>
      <w:bookmarkStart w:id="218" w:name="_Toc425141318"/>
      <w:bookmarkStart w:id="219" w:name="_Toc420591540"/>
      <w:bookmarkStart w:id="220" w:name="_Toc420591295"/>
      <w:bookmarkStart w:id="221" w:name="_Toc420584922"/>
      <w:bookmarkStart w:id="222" w:name="_Toc420583726"/>
      <w:bookmarkStart w:id="223" w:name="_Toc420068500"/>
      <w:bookmarkStart w:id="224" w:name="_Toc419982565"/>
      <w:bookmarkStart w:id="225" w:name="_Toc419981511"/>
      <w:bookmarkStart w:id="226" w:name="_Toc419961784"/>
      <w:bookmarkStart w:id="227" w:name="_Toc419820647"/>
      <w:bookmarkStart w:id="228" w:name="_Toc419820578"/>
      <w:bookmarkStart w:id="229" w:name="_Toc418855136"/>
      <w:bookmarkStart w:id="230" w:name="_Toc418854779"/>
      <w:bookmarkStart w:id="231" w:name="_Toc418854715"/>
      <w:bookmarkStart w:id="232" w:name="_Toc418854590"/>
      <w:bookmarkStart w:id="233" w:name="_Toc418854526"/>
      <w:bookmarkStart w:id="234" w:name="_Toc418774738"/>
      <w:bookmarkStart w:id="235" w:name="_Toc418680327"/>
      <w:bookmarkStart w:id="236" w:name="_Toc418676955"/>
      <w:bookmarkStart w:id="237" w:name="_Toc418673711"/>
      <w:bookmarkStart w:id="238" w:name="_Toc418601350"/>
      <w:bookmarkStart w:id="239" w:name="_Toc418589385"/>
      <w:bookmarkStart w:id="240" w:name="_Toc418508796"/>
      <w:bookmarkStart w:id="241" w:name="_Toc418277001"/>
      <w:bookmarkStart w:id="242" w:name="_Toc418164251"/>
      <w:bookmarkStart w:id="243" w:name="_Toc418162904"/>
      <w:bookmarkStart w:id="244" w:name="_Toc418162786"/>
      <w:bookmarkStart w:id="245" w:name="_Toc418162594"/>
      <w:bookmarkStart w:id="246" w:name="_Toc418161970"/>
      <w:bookmarkStart w:id="247" w:name="_Toc428787542"/>
      <w:bookmarkStart w:id="248" w:name="_Toc426632954"/>
      <w:bookmarkStart w:id="249" w:name="_Toc430826845"/>
      <w:bookmarkStart w:id="250" w:name="_Toc438125967"/>
      <w:bookmarkStart w:id="251" w:name="_Toc44124170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E0CEB">
        <w:t>Procedura oceny formaln</w:t>
      </w:r>
      <w:bookmarkEnd w:id="247"/>
      <w:bookmarkEnd w:id="248"/>
      <w:bookmarkEnd w:id="249"/>
      <w:r w:rsidRPr="000E0CEB">
        <w:t>o-merytorycznej</w:t>
      </w:r>
      <w:bookmarkEnd w:id="250"/>
      <w:bookmarkEnd w:id="251"/>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Oceny spełniania kryteriów wyboru projektów przez projekty uczestniczące w konkursie dokonuje KOP poprzez ocenę formalno-merytoryczną projektów. Ocenie formalno - merytorycznej podlega każdy złożony w trakcie trwania naboru wniosek o dofinansowanie, który uzyskał pozytywna ocenę zgodności ze Strategią ZIT AJ.</w:t>
      </w:r>
    </w:p>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b/>
          <w:szCs w:val="22"/>
        </w:rPr>
        <w:t>Kryteria oceny formalnej</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Ocenie formalnej, która jest częścią oceny formalno-merytorycznej, podlega każdy złożony w trakcie trwania naboru wniosek o dofinansowanie, o ile nie został wycofany przez Wnioskodawcę albo pozostawiony bez rozpatrzenia na etapie weryfikacji technicznej i został pozytywnie oceniony na etapie oceny zgodności ze strategią ZIT.</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4B00EB" w:rsidRPr="000E0CEB" w:rsidRDefault="00477DF1" w:rsidP="004B00EB">
      <w:pPr>
        <w:spacing w:before="120" w:after="120" w:line="240" w:lineRule="auto"/>
        <w:jc w:val="both"/>
        <w:rPr>
          <w:rFonts w:asciiTheme="minorHAnsi" w:hAnsiTheme="minorHAnsi"/>
          <w:szCs w:val="22"/>
        </w:rPr>
      </w:pPr>
      <w:r w:rsidRPr="000E0CEB">
        <w:rPr>
          <w:rFonts w:asciiTheme="minorHAnsi" w:hAnsiTheme="minorHAnsi"/>
          <w:szCs w:val="22"/>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ocenie merytorycznej.</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przypadku wystąpienia rozbieżności w ocenie formalnej przewodniczący KOP rozstrzyga je lub podejmuje decyzję o innym sposobie ich rozstrzygnięcia. Decyzja przewodniczącego jest dokumentowana w protokole z prac KOP.</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przypadku odrzucenia wniosku z powodu niespełniania co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cs="Tahoma"/>
          <w:szCs w:val="22"/>
        </w:rPr>
        <w:t xml:space="preserve">Kryteria oceny formalnej są weryfikowane na podstawie zapisów wniosku o dofinansowanie projektu oraz załączników. </w:t>
      </w:r>
      <w:r w:rsidRPr="000E0CEB">
        <w:rPr>
          <w:rFonts w:asciiTheme="minorHAnsi" w:hAnsiTheme="minorHAnsi" w:cs="Arial"/>
          <w:szCs w:val="22"/>
        </w:rPr>
        <w:t>Nie wyklucza to wykorzystania w ocenie spełnienia kryteriów informacji udzielonych przez Wnioskodawcę, pozyskanych na temat Wnioskodawcy lub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Ocena formalna będzie prowadzona w oparciu o następujące kryteria:</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87"/>
        <w:gridCol w:w="3526"/>
        <w:gridCol w:w="3052"/>
      </w:tblGrid>
      <w:tr w:rsidR="00471B61" w:rsidRPr="000E0CEB" w:rsidTr="0010724C">
        <w:trPr>
          <w:trHeight w:val="432"/>
        </w:trPr>
        <w:tc>
          <w:tcPr>
            <w:tcW w:w="623"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b/>
                <w:szCs w:val="22"/>
              </w:rPr>
            </w:pPr>
            <w:r w:rsidRPr="000E0CEB">
              <w:rPr>
                <w:rFonts w:asciiTheme="minorHAnsi" w:eastAsia="Calibri" w:hAnsiTheme="minorHAnsi" w:cs="Arial"/>
                <w:b/>
                <w:szCs w:val="22"/>
              </w:rPr>
              <w:t>Lp.</w:t>
            </w:r>
          </w:p>
        </w:tc>
        <w:tc>
          <w:tcPr>
            <w:tcW w:w="2687"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b/>
                <w:szCs w:val="22"/>
              </w:rPr>
            </w:pPr>
            <w:r w:rsidRPr="000E0CEB">
              <w:rPr>
                <w:rFonts w:asciiTheme="minorHAnsi" w:eastAsia="Calibri" w:hAnsiTheme="minorHAnsi" w:cs="Arial"/>
                <w:b/>
                <w:szCs w:val="22"/>
              </w:rPr>
              <w:t>Nazwa kryterium</w:t>
            </w:r>
          </w:p>
        </w:tc>
        <w:tc>
          <w:tcPr>
            <w:tcW w:w="3526"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b/>
                <w:szCs w:val="22"/>
              </w:rPr>
            </w:pPr>
            <w:r w:rsidRPr="000E0CEB">
              <w:rPr>
                <w:rFonts w:asciiTheme="minorHAnsi" w:eastAsia="Calibri" w:hAnsiTheme="minorHAnsi" w:cs="Arial"/>
                <w:b/>
                <w:szCs w:val="22"/>
              </w:rPr>
              <w:t>Definicja kryterium</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Tahoma"/>
                <w:b/>
                <w:szCs w:val="22"/>
              </w:rPr>
            </w:pPr>
            <w:r w:rsidRPr="000E0CEB">
              <w:rPr>
                <w:rFonts w:asciiTheme="minorHAnsi" w:eastAsia="Calibri" w:hAnsiTheme="minorHAnsi" w:cs="Arial"/>
                <w:b/>
                <w:szCs w:val="22"/>
              </w:rPr>
              <w:t>Opis znaczenia kryterium</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1.</w:t>
            </w:r>
          </w:p>
        </w:tc>
        <w:tc>
          <w:tcPr>
            <w:tcW w:w="2687" w:type="dxa"/>
            <w:shd w:val="clear" w:color="auto" w:fill="auto"/>
            <w:tcMar>
              <w:left w:w="108" w:type="dxa"/>
            </w:tcMar>
          </w:tcPr>
          <w:p w:rsidR="00471B61" w:rsidRPr="000E0CEB" w:rsidRDefault="00477DF1" w:rsidP="0010724C">
            <w:pPr>
              <w:spacing w:before="0" w:line="240" w:lineRule="auto"/>
              <w:jc w:val="both"/>
              <w:rPr>
                <w:rFonts w:asciiTheme="minorHAnsi" w:hAnsiTheme="minorHAnsi"/>
                <w:szCs w:val="22"/>
              </w:rPr>
            </w:pPr>
            <w:r w:rsidRPr="000E0CEB">
              <w:rPr>
                <w:rFonts w:asciiTheme="minorHAnsi" w:eastAsia="Calibri" w:hAnsiTheme="minorHAnsi" w:cs="Arial"/>
                <w:szCs w:val="22"/>
              </w:rPr>
              <w:t xml:space="preserve">Poprawność wypełnienia </w:t>
            </w:r>
            <w:r w:rsidRPr="000E0CEB">
              <w:rPr>
                <w:rFonts w:asciiTheme="minorHAnsi" w:eastAsia="Calibri" w:hAnsiTheme="minorHAnsi" w:cs="Arial"/>
                <w:szCs w:val="22"/>
              </w:rPr>
              <w:lastRenderedPageBreak/>
              <w:t>wniosku</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 xml:space="preserve">Wniosek o dofinansowanie został </w:t>
            </w:r>
            <w:r w:rsidRPr="000E0CEB">
              <w:rPr>
                <w:rFonts w:asciiTheme="minorHAnsi" w:eastAsia="Calibri" w:hAnsiTheme="minorHAnsi" w:cs="Arial"/>
                <w:szCs w:val="22"/>
              </w:rPr>
              <w:lastRenderedPageBreak/>
              <w:t xml:space="preserve">sporządzony </w:t>
            </w:r>
            <w:r w:rsidRPr="000E0CEB">
              <w:rPr>
                <w:rFonts w:asciiTheme="minorHAnsi" w:eastAsia="Calibri" w:hAnsiTheme="minorHAnsi" w:cs="Tahoma"/>
                <w:szCs w:val="22"/>
              </w:rPr>
              <w:t>w języku polskim</w:t>
            </w:r>
            <w:r w:rsidRPr="000E0CEB">
              <w:rPr>
                <w:rFonts w:asciiTheme="minorHAnsi" w:eastAsia="Calibri" w:hAnsiTheme="minorHAnsi"/>
                <w:szCs w:val="22"/>
              </w:rPr>
              <w:t xml:space="preserve"> </w:t>
            </w:r>
            <w:r w:rsidRPr="000E0CEB">
              <w:rPr>
                <w:rFonts w:asciiTheme="minorHAnsi" w:eastAsia="Calibri" w:hAnsiTheme="minorHAnsi" w:cs="Arial"/>
                <w:szCs w:val="22"/>
              </w:rPr>
              <w:t xml:space="preserve">oraz został podpisany zgodnie z prawem reprezentacji. </w:t>
            </w:r>
          </w:p>
          <w:p w:rsidR="00471B61" w:rsidRPr="000E0CEB" w:rsidRDefault="00471B61" w:rsidP="0010724C">
            <w:pPr>
              <w:spacing w:before="0" w:line="240" w:lineRule="auto"/>
              <w:jc w:val="both"/>
              <w:rPr>
                <w:rFonts w:asciiTheme="minorHAnsi" w:eastAsia="Calibri" w:hAnsiTheme="minorHAnsi" w:cs="Arial"/>
                <w:sz w:val="20"/>
              </w:rPr>
            </w:pPr>
          </w:p>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sz w:val="20"/>
              </w:rPr>
              <w:t>Kryterium jest weryfikowane na podstawie zapisów wniosku o dofinansowanie lub załączników.</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rPr>
          <w:trHeight w:val="2522"/>
        </w:trPr>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2.</w:t>
            </w:r>
          </w:p>
        </w:tc>
        <w:tc>
          <w:tcPr>
            <w:tcW w:w="2687"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Wskaźniki obligatoryjne dla danego typu projektu</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471B61" w:rsidRPr="000E0CEB" w:rsidRDefault="00471B61" w:rsidP="0010724C">
            <w:pPr>
              <w:snapToGrid w:val="0"/>
              <w:spacing w:before="0" w:line="240" w:lineRule="auto"/>
              <w:jc w:val="both"/>
              <w:rPr>
                <w:rFonts w:asciiTheme="minorHAnsi" w:eastAsia="Calibri" w:hAnsiTheme="minorHAnsi" w:cs="Tahoma"/>
                <w:sz w:val="20"/>
              </w:rPr>
            </w:pPr>
          </w:p>
          <w:p w:rsidR="00471B61" w:rsidRPr="000E0CEB" w:rsidRDefault="00477DF1" w:rsidP="0010724C">
            <w:pPr>
              <w:snapToGrid w:val="0"/>
              <w:spacing w:before="0" w:line="240" w:lineRule="auto"/>
              <w:jc w:val="both"/>
              <w:rPr>
                <w:rFonts w:asciiTheme="minorHAnsi" w:hAnsiTheme="minorHAnsi" w:cs="Tahoma"/>
                <w:sz w:val="20"/>
              </w:rPr>
            </w:pPr>
            <w:r w:rsidRPr="000E0CEB">
              <w:rPr>
                <w:rFonts w:asciiTheme="minorHAnsi" w:eastAsia="Calibr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Tak/Nie/Nie dotyczy</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p w:rsidR="00471B61" w:rsidRPr="000E0CEB" w:rsidRDefault="00471B61" w:rsidP="0010724C">
            <w:pPr>
              <w:spacing w:before="0" w:line="240" w:lineRule="auto"/>
              <w:jc w:val="center"/>
              <w:rPr>
                <w:rFonts w:asciiTheme="minorHAnsi" w:eastAsia="Calibri" w:hAnsiTheme="minorHAnsi" w:cs="Arial"/>
                <w:szCs w:val="22"/>
              </w:rPr>
            </w:pP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3.</w:t>
            </w:r>
          </w:p>
        </w:tc>
        <w:tc>
          <w:tcPr>
            <w:tcW w:w="2687"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Kwalifikowalność typu projektu</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Projekt jest zgodny z typem projektów dopuszczonych do dofinansowania w regulaminie konkursu.</w:t>
            </w:r>
          </w:p>
          <w:p w:rsidR="00471B61" w:rsidRPr="000E0CEB" w:rsidRDefault="00471B61" w:rsidP="0010724C">
            <w:pPr>
              <w:spacing w:before="0" w:line="240" w:lineRule="auto"/>
              <w:jc w:val="both"/>
              <w:rPr>
                <w:rFonts w:asciiTheme="minorHAnsi" w:eastAsia="Calibri" w:hAnsiTheme="minorHAnsi" w:cs="Arial"/>
                <w:sz w:val="20"/>
              </w:rPr>
            </w:pPr>
          </w:p>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 w:val="20"/>
              </w:rPr>
              <w:t>Kryterium weryfikowane jest na podstawie zapisów wniosku o dofinansowanie.</w:t>
            </w:r>
            <w:r w:rsidRPr="000E0CEB">
              <w:rPr>
                <w:rFonts w:asciiTheme="minorHAnsi" w:eastAsia="Calibri" w:hAnsiTheme="minorHAnsi" w:cs="Arial"/>
                <w:szCs w:val="22"/>
              </w:rPr>
              <w:t xml:space="preserve"> </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4.</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Kwalifikowalność Wnioskodawcy</w:t>
            </w:r>
          </w:p>
        </w:tc>
        <w:tc>
          <w:tcPr>
            <w:tcW w:w="3526"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Wnioskodawca jest uprawniony do ubiegania się o wsparcie zgodnie z zapisami regulaminu konkursu.</w:t>
            </w:r>
          </w:p>
          <w:p w:rsidR="00471B61" w:rsidRPr="000E0CEB" w:rsidRDefault="00471B61" w:rsidP="0010724C">
            <w:pPr>
              <w:snapToGrid w:val="0"/>
              <w:spacing w:before="0" w:line="240" w:lineRule="auto"/>
              <w:jc w:val="both"/>
              <w:rPr>
                <w:rFonts w:asciiTheme="minorHAnsi" w:eastAsia="Calibri" w:hAnsiTheme="minorHAnsi" w:cs="Arial"/>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Kryterium weryfikowane jest na podstawie zapisów wniosku o dofinansowanie.</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5.</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Prawidłowość wyboru partnerów w projekcie</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Wybór partnerów został dokonany w sposób prawidłowy, to znaczy:</w:t>
            </w:r>
          </w:p>
          <w:p w:rsidR="00471B61" w:rsidRPr="000E0CEB" w:rsidRDefault="00477DF1" w:rsidP="0010724C">
            <w:pPr>
              <w:pStyle w:val="Akapitzlist"/>
              <w:numPr>
                <w:ilvl w:val="0"/>
                <w:numId w:val="19"/>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Traktatu; </w:t>
            </w:r>
          </w:p>
          <w:p w:rsidR="00471B61" w:rsidRPr="000E0CEB" w:rsidRDefault="00477DF1" w:rsidP="0010724C">
            <w:pPr>
              <w:pStyle w:val="Akapitzlist"/>
              <w:numPr>
                <w:ilvl w:val="0"/>
                <w:numId w:val="19"/>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 xml:space="preserve">w przypadku, gdy Wnioskodawca jest podmiotem, o którym mowa w art. 3 ust. 1 </w:t>
            </w:r>
            <w:r w:rsidRPr="000E0CEB">
              <w:rPr>
                <w:rFonts w:asciiTheme="minorHAnsi" w:eastAsia="Calibri" w:hAnsiTheme="minorHAnsi" w:cs="Arial"/>
                <w:sz w:val="22"/>
                <w:szCs w:val="22"/>
              </w:rPr>
              <w:lastRenderedPageBreak/>
              <w:t>ustawy z dnia 29 stycznia 2004 r. – prawo zamówień publicznych, wybór partnerów spoza sektora finansów publicznych został dokonany z zachowaniem zasady przejrzystości i równego traktowania podmiotów;</w:t>
            </w:r>
          </w:p>
          <w:p w:rsidR="00471B61" w:rsidRPr="000E0CEB" w:rsidRDefault="00477DF1" w:rsidP="0010724C">
            <w:pPr>
              <w:pStyle w:val="Akapitzlist"/>
              <w:numPr>
                <w:ilvl w:val="0"/>
                <w:numId w:val="19"/>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wybór partnerów spoza sektora finansów publicznych został dokonany przed złożeniem wniosku o dofinansowanie projektu partnerskiego.</w:t>
            </w:r>
          </w:p>
          <w:p w:rsidR="00471B61" w:rsidRPr="000E0CEB" w:rsidRDefault="00471B61" w:rsidP="0010724C">
            <w:pPr>
              <w:spacing w:before="0" w:line="240" w:lineRule="auto"/>
              <w:jc w:val="both"/>
              <w:rPr>
                <w:rFonts w:asciiTheme="minorHAnsi" w:eastAsia="Calibri" w:hAnsiTheme="minorHAnsi" w:cs="Arial"/>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Spełnienie kryterium jest weryfikowane na podstawie podpisanego oświadczenia Wnioskodawcy. Kryterium nie dotyczy projektów realizowanych bez udziału partnerów.</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Tak/Nie/Nie dotyczy</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p w:rsidR="00471B61" w:rsidRPr="000E0CEB" w:rsidRDefault="00471B61" w:rsidP="0010724C">
            <w:pPr>
              <w:spacing w:before="0" w:line="240" w:lineRule="auto"/>
              <w:jc w:val="both"/>
              <w:rPr>
                <w:rFonts w:asciiTheme="minorHAnsi" w:eastAsia="Calibri" w:hAnsiTheme="minorHAnsi"/>
                <w:szCs w:val="22"/>
              </w:rPr>
            </w:pP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6.</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Niepodleganie wykluczeniu z możliwości otrzymania dofinansowania ze środków Unii Europejskiej</w:t>
            </w:r>
          </w:p>
        </w:tc>
        <w:tc>
          <w:tcPr>
            <w:tcW w:w="3526" w:type="dxa"/>
            <w:shd w:val="clear" w:color="auto" w:fill="auto"/>
            <w:tcMar>
              <w:left w:w="108" w:type="dxa"/>
            </w:tcMar>
          </w:tcPr>
          <w:p w:rsidR="00471B61" w:rsidRPr="000E0CEB" w:rsidRDefault="00477DF1" w:rsidP="0010724C">
            <w:pPr>
              <w:jc w:val="both"/>
              <w:rPr>
                <w:rFonts w:asciiTheme="minorHAnsi" w:hAnsiTheme="minorHAnsi" w:cs="Arial"/>
                <w:szCs w:val="22"/>
              </w:rPr>
            </w:pPr>
            <w:r w:rsidRPr="000E0CEB">
              <w:rPr>
                <w:rFonts w:asciiTheme="minorHAnsi" w:eastAsia="Calibri" w:hAnsiTheme="minorHAnsi" w:cs="Arial"/>
                <w:szCs w:val="22"/>
              </w:rPr>
              <w:t>Wnioskodawca oraz partnerzy (jeśli dotyczy) nie podlegają wykluczeniu z możliwości otrzymania dofinansowania ze środków Unii Europejskiej na podstawie:</w:t>
            </w:r>
          </w:p>
          <w:p w:rsidR="00471B61" w:rsidRPr="000E0CEB" w:rsidRDefault="00477DF1" w:rsidP="0010724C">
            <w:pPr>
              <w:pStyle w:val="Akapitzlist"/>
              <w:numPr>
                <w:ilvl w:val="0"/>
                <w:numId w:val="20"/>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art. 207 ust. 4 ustawy z dnia 27 sierpnia 2009 r. o finansach publicznych,</w:t>
            </w:r>
          </w:p>
          <w:p w:rsidR="00471B61" w:rsidRPr="000E0CEB" w:rsidRDefault="00477DF1" w:rsidP="0010724C">
            <w:pPr>
              <w:pStyle w:val="Akapitzlist"/>
              <w:numPr>
                <w:ilvl w:val="0"/>
                <w:numId w:val="20"/>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art.12 ust. 1 pkt 1 ustawy z dnia 15 czerwca 2012 r. o skutkach powierzania wykonywania pracy cudzoziemcom przebywającym wbrew przepisom na terytorium Rzeczypospolitej Polskiej,</w:t>
            </w:r>
          </w:p>
          <w:p w:rsidR="00471B61" w:rsidRPr="000E0CEB" w:rsidRDefault="00477DF1" w:rsidP="0010724C">
            <w:pPr>
              <w:pStyle w:val="Akapitzlist"/>
              <w:numPr>
                <w:ilvl w:val="0"/>
                <w:numId w:val="20"/>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art. 9 ust. 1 pkt 2a ustawy z dnia 28 października 2002 r. o odpowiedzialności podmiotów zbiorowych za czyny zabronione pod groźbą kary.</w:t>
            </w:r>
          </w:p>
          <w:p w:rsidR="00471B61" w:rsidRPr="000E0CEB" w:rsidRDefault="00471B61" w:rsidP="0010724C">
            <w:pPr>
              <w:jc w:val="both"/>
              <w:rPr>
                <w:rFonts w:asciiTheme="minorHAnsi" w:eastAsia="Calibri" w:hAnsiTheme="minorHAnsi" w:cs="Arial"/>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Spełnienie kryterium jest weryfikowane na podstawie podpisanego oświadczenia Wnioskodawcy.</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7.</w:t>
            </w:r>
          </w:p>
        </w:tc>
        <w:tc>
          <w:tcPr>
            <w:tcW w:w="2687"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Zgodność z przepisami art. 65 ust. 6 i art. 125 ust. 3 lit. e) i f) Rozporządzenia Parlamentu Europejskiego i Rady (UE) nr 1303/2013 z dnia 17 grudnia 2013 r.</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Wnioskodawca złożył oświadczenie, że:</w:t>
            </w:r>
          </w:p>
          <w:p w:rsidR="00471B61" w:rsidRPr="000E0CEB" w:rsidRDefault="00477DF1" w:rsidP="0010724C">
            <w:pPr>
              <w:pStyle w:val="Akapitzlist"/>
              <w:numPr>
                <w:ilvl w:val="0"/>
                <w:numId w:val="18"/>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projekt nie został zakończony w rozumieniu art. 65 ust. 6,</w:t>
            </w:r>
          </w:p>
          <w:p w:rsidR="00471B61" w:rsidRPr="000E0CEB" w:rsidRDefault="00477DF1" w:rsidP="0010724C">
            <w:pPr>
              <w:pStyle w:val="Akapitzlist"/>
              <w:numPr>
                <w:ilvl w:val="0"/>
                <w:numId w:val="18"/>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nie rozpoczął realizacji projektu przed dniem złożenia wniosku o dofinansowanie, lub jeśli dotyczy</w:t>
            </w:r>
          </w:p>
          <w:p w:rsidR="00471B61" w:rsidRPr="000E0CEB" w:rsidRDefault="00477DF1" w:rsidP="0010724C">
            <w:pPr>
              <w:pStyle w:val="Akapitzlist"/>
              <w:numPr>
                <w:ilvl w:val="0"/>
                <w:numId w:val="18"/>
              </w:numPr>
              <w:spacing w:before="0" w:line="240" w:lineRule="auto"/>
              <w:ind w:left="346" w:hanging="284"/>
              <w:contextualSpacing/>
              <w:jc w:val="both"/>
              <w:rPr>
                <w:rFonts w:asciiTheme="minorHAnsi" w:hAnsiTheme="minorHAnsi" w:cs="Arial"/>
                <w:sz w:val="22"/>
                <w:szCs w:val="22"/>
              </w:rPr>
            </w:pPr>
            <w:r w:rsidRPr="000E0CEB">
              <w:rPr>
                <w:rFonts w:asciiTheme="minorHAnsi" w:eastAsia="Calibri" w:hAnsiTheme="minorHAnsi" w:cs="Arial"/>
                <w:sz w:val="22"/>
                <w:szCs w:val="22"/>
              </w:rPr>
              <w:t xml:space="preserve">projekt nie obejmuje przedsięwzięć będących częścią </w:t>
            </w:r>
            <w:r w:rsidRPr="000E0CEB">
              <w:rPr>
                <w:rFonts w:asciiTheme="minorHAnsi" w:eastAsia="Calibri" w:hAnsiTheme="minorHAnsi" w:cs="Arial"/>
                <w:sz w:val="22"/>
                <w:szCs w:val="22"/>
              </w:rPr>
              <w:lastRenderedPageBreak/>
              <w:t>operacji, które zostały objęte lub powinny były zostać objęte procedurą odzyskiwania środków zgodnie z art. 71 (trwałość operacji) w następstwie przeniesienia działalności produkcyjnej poza obszar objęty programem.</w:t>
            </w:r>
          </w:p>
          <w:p w:rsidR="00471B61" w:rsidRPr="000E0CEB" w:rsidRDefault="00471B61" w:rsidP="0010724C">
            <w:pPr>
              <w:spacing w:before="0" w:line="240" w:lineRule="auto"/>
              <w:jc w:val="both"/>
              <w:rPr>
                <w:rFonts w:asciiTheme="minorHAnsi" w:eastAsia="Calibri" w:hAnsiTheme="minorHAnsi" w:cs="Arial"/>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 xml:space="preserve">Spełnienie kryterium jest weryfikowane na podstawie podpisanych oświadczeń Wnioskodawcy. </w:t>
            </w:r>
          </w:p>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rPr>
          <w:trHeight w:val="1970"/>
        </w:trPr>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8.</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Zakaz podwójnego finansowania</w:t>
            </w:r>
          </w:p>
        </w:tc>
        <w:tc>
          <w:tcPr>
            <w:tcW w:w="3526"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W wyniku otrzymania przez projekt dofinansowania we wnioskowanej wysokości, na określone wydatki kwalifikowalne, w projekcie nie dojdzie do podwójnego dofinansowania.</w:t>
            </w:r>
          </w:p>
          <w:p w:rsidR="00471B61" w:rsidRPr="000E0CEB" w:rsidRDefault="00471B61" w:rsidP="0010724C">
            <w:pPr>
              <w:snapToGrid w:val="0"/>
              <w:spacing w:before="0" w:line="240" w:lineRule="auto"/>
              <w:jc w:val="both"/>
              <w:rPr>
                <w:rFonts w:asciiTheme="minorHAnsi" w:eastAsia="Calibri" w:hAnsiTheme="minorHAnsi" w:cs="Tahoma"/>
                <w:szCs w:val="22"/>
              </w:rPr>
            </w:pPr>
          </w:p>
          <w:p w:rsidR="00471B61" w:rsidRPr="000E0CEB" w:rsidRDefault="00477DF1" w:rsidP="0010724C">
            <w:pPr>
              <w:snapToGrid w:val="0"/>
              <w:spacing w:before="0" w:line="240" w:lineRule="auto"/>
              <w:jc w:val="both"/>
              <w:rPr>
                <w:rFonts w:asciiTheme="minorHAnsi" w:hAnsiTheme="minorHAnsi" w:cs="Tahoma"/>
                <w:sz w:val="20"/>
              </w:rPr>
            </w:pPr>
            <w:r w:rsidRPr="000E0CEB">
              <w:rPr>
                <w:rFonts w:asciiTheme="minorHAnsi" w:eastAsia="Calibri" w:hAnsiTheme="minorHAnsi" w:cs="Tahoma"/>
                <w:sz w:val="20"/>
              </w:rPr>
              <w:t>Kryterium weryfikowane na podstawie podpisanego oświadczenia Wnioskodawcy we wniosku o dofinansowanie.</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9.</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Minimalna/maksymalna wartość projektu</w:t>
            </w:r>
          </w:p>
        </w:tc>
        <w:tc>
          <w:tcPr>
            <w:tcW w:w="3526"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Wartość projektu nie przekracza poziomów określonych w regulaminie konkursu.</w:t>
            </w:r>
          </w:p>
          <w:p w:rsidR="00471B61" w:rsidRPr="000E0CEB" w:rsidRDefault="00471B61" w:rsidP="0010724C">
            <w:pPr>
              <w:snapToGrid w:val="0"/>
              <w:spacing w:before="0" w:line="240" w:lineRule="auto"/>
              <w:jc w:val="both"/>
              <w:rPr>
                <w:rFonts w:asciiTheme="minorHAnsi" w:eastAsia="Calibri" w:hAnsiTheme="minorHAnsi" w:cs="Arial"/>
                <w:szCs w:val="22"/>
              </w:rPr>
            </w:pPr>
          </w:p>
          <w:p w:rsidR="00471B61" w:rsidRPr="000E0CEB" w:rsidRDefault="00477DF1" w:rsidP="0010724C">
            <w:pPr>
              <w:snapToGrid w:val="0"/>
              <w:spacing w:before="0" w:line="240" w:lineRule="auto"/>
              <w:jc w:val="both"/>
              <w:rPr>
                <w:rFonts w:asciiTheme="minorHAnsi" w:hAnsiTheme="minorHAnsi" w:cs="Tahoma"/>
                <w:sz w:val="20"/>
              </w:rPr>
            </w:pPr>
            <w:r w:rsidRPr="000E0CEB">
              <w:rPr>
                <w:rFonts w:asciiTheme="minorHAnsi" w:eastAsia="Calibri" w:hAnsiTheme="minorHAnsi" w:cs="Tahoma"/>
                <w:sz w:val="20"/>
              </w:rPr>
              <w:t xml:space="preserve">Kryterium będzie weryfikowane na podstawie zapisów budżetu projektu. Kryterium nie dotyczy naborów dla których nie określono minimalnej lub maksymalnej wartości projektu. </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Tak/Nie/Nie dotyczy</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10.</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 xml:space="preserve">Wkład własny </w:t>
            </w:r>
          </w:p>
        </w:tc>
        <w:tc>
          <w:tcPr>
            <w:tcW w:w="3526"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Wnioskodawca zapewnił odpowiedni poziom wkładu własnego określony w regulaminie konkursu.</w:t>
            </w:r>
          </w:p>
          <w:p w:rsidR="00471B61" w:rsidRPr="000E0CEB" w:rsidRDefault="00471B61" w:rsidP="0010724C">
            <w:pPr>
              <w:snapToGrid w:val="0"/>
              <w:spacing w:before="0" w:line="240" w:lineRule="auto"/>
              <w:jc w:val="both"/>
              <w:rPr>
                <w:rFonts w:asciiTheme="minorHAnsi" w:eastAsia="Calibri" w:hAnsiTheme="minorHAnsi" w:cs="Tahoma"/>
                <w:szCs w:val="22"/>
              </w:rPr>
            </w:pPr>
          </w:p>
          <w:p w:rsidR="00471B61" w:rsidRPr="000E0CEB" w:rsidRDefault="00477DF1" w:rsidP="0010724C">
            <w:pPr>
              <w:snapToGrid w:val="0"/>
              <w:spacing w:before="0" w:line="240" w:lineRule="auto"/>
              <w:jc w:val="both"/>
              <w:rPr>
                <w:rFonts w:asciiTheme="minorHAnsi" w:hAnsiTheme="minorHAnsi" w:cs="Arial"/>
                <w:sz w:val="20"/>
              </w:rPr>
            </w:pPr>
            <w:r w:rsidRPr="000E0CEB">
              <w:rPr>
                <w:rFonts w:asciiTheme="minorHAnsi" w:eastAsia="Calibri" w:hAnsiTheme="minorHAnsi" w:cs="Tahoma"/>
                <w:sz w:val="20"/>
              </w:rPr>
              <w:t xml:space="preserve">W ramach tego kryterium sprawdzane jest czy Wnioskodawca przewidział w projekcie odpowiedni procent wkładu własnego, który każdorazowo określony jest w regulaminie konkursu. </w:t>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p w:rsidR="00471B61" w:rsidRPr="000E0CEB" w:rsidRDefault="00471B61" w:rsidP="0010724C">
            <w:pPr>
              <w:spacing w:before="0" w:line="240" w:lineRule="auto"/>
              <w:jc w:val="center"/>
              <w:rPr>
                <w:rFonts w:asciiTheme="minorHAnsi" w:eastAsia="Calibri" w:hAnsiTheme="minorHAnsi" w:cs="Arial"/>
                <w:szCs w:val="22"/>
              </w:rPr>
            </w:pP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11.</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Tahoma"/>
                <w:szCs w:val="22"/>
              </w:rPr>
              <w:t xml:space="preserve">Poprawność zakwalifikowania projektu jako objętego/nieobjętego pomocą publiczną/pomocą </w:t>
            </w:r>
            <w:r w:rsidRPr="000E0CEB">
              <w:rPr>
                <w:rFonts w:asciiTheme="minorHAnsi" w:eastAsia="Calibri" w:hAnsiTheme="minorHAnsi" w:cs="Tahoma"/>
                <w:szCs w:val="22"/>
              </w:rPr>
              <w:lastRenderedPageBreak/>
              <w:t>de</w:t>
            </w:r>
            <w:r w:rsidRPr="000E0CEB">
              <w:rPr>
                <w:rFonts w:asciiTheme="minorHAnsi" w:eastAsia="Calibri" w:hAnsiTheme="minorHAnsi" w:cs="Arial"/>
                <w:szCs w:val="22"/>
              </w:rPr>
              <w:t xml:space="preserve"> minimis</w:t>
            </w:r>
          </w:p>
        </w:tc>
        <w:tc>
          <w:tcPr>
            <w:tcW w:w="3526"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Czy prawidłowo zakwalifikowano projekt pod kątem występowania pomocy publicznej/ pomocy de minimis?</w:t>
            </w:r>
          </w:p>
          <w:p w:rsidR="00471B61" w:rsidRPr="000E0CEB" w:rsidRDefault="00471B61" w:rsidP="0010724C">
            <w:pPr>
              <w:snapToGrid w:val="0"/>
              <w:spacing w:before="0" w:line="240" w:lineRule="auto"/>
              <w:jc w:val="both"/>
              <w:rPr>
                <w:rFonts w:asciiTheme="minorHAnsi" w:eastAsia="Calibri" w:hAnsiTheme="minorHAnsi" w:cs="Arial"/>
                <w:szCs w:val="22"/>
              </w:rPr>
            </w:pPr>
          </w:p>
          <w:p w:rsidR="00471B61" w:rsidRPr="000E0CEB" w:rsidRDefault="00477DF1" w:rsidP="0010724C">
            <w:pPr>
              <w:snapToGrid w:val="0"/>
              <w:spacing w:before="0" w:line="240" w:lineRule="auto"/>
              <w:jc w:val="both"/>
              <w:rPr>
                <w:rFonts w:asciiTheme="minorHAnsi" w:hAnsiTheme="minorHAnsi" w:cs="Arial"/>
                <w:sz w:val="20"/>
              </w:rPr>
            </w:pPr>
            <w:r w:rsidRPr="000E0CEB">
              <w:rPr>
                <w:rFonts w:asciiTheme="minorHAnsi" w:eastAsia="Calibri" w:hAnsiTheme="minorHAnsi" w:cs="Tahoma"/>
                <w:sz w:val="20"/>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3052" w:type="dxa"/>
            <w:shd w:val="clear" w:color="auto" w:fill="auto"/>
            <w:tcMar>
              <w:left w:w="108" w:type="dxa"/>
            </w:tcMar>
          </w:tcPr>
          <w:p w:rsidR="00471B61" w:rsidRPr="000E0CEB" w:rsidRDefault="00477DF1" w:rsidP="0010724C">
            <w:pPr>
              <w:snapToGrid w:val="0"/>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Tak/Nie/Nie dotyczy</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lastRenderedPageBreak/>
              <w:t>12.</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Okres realizacji projektu</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Tahoma"/>
                <w:szCs w:val="22"/>
              </w:rPr>
            </w:pPr>
            <w:r w:rsidRPr="000E0CEB">
              <w:rPr>
                <w:rFonts w:asciiTheme="minorHAnsi" w:eastAsia="Calibri" w:hAnsiTheme="minorHAnsi" w:cs="Arial"/>
                <w:szCs w:val="22"/>
              </w:rPr>
              <w:t xml:space="preserve">Okres realizacji projektu jest zgodny z podanym w </w:t>
            </w:r>
            <w:r w:rsidRPr="000E0CEB">
              <w:rPr>
                <w:rFonts w:asciiTheme="minorHAnsi" w:eastAsia="Calibri" w:hAnsiTheme="minorHAnsi" w:cs="Tahoma"/>
                <w:szCs w:val="22"/>
              </w:rPr>
              <w:t>regulaminie konkursu.</w:t>
            </w:r>
          </w:p>
          <w:p w:rsidR="00471B61" w:rsidRPr="000E0CEB" w:rsidRDefault="00471B61" w:rsidP="0010724C">
            <w:pPr>
              <w:spacing w:before="0" w:line="240" w:lineRule="auto"/>
              <w:jc w:val="both"/>
              <w:rPr>
                <w:rFonts w:asciiTheme="minorHAnsi" w:eastAsia="Calibri" w:hAnsiTheme="minorHAnsi" w:cs="Tahoma"/>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Calibri" w:hAnsiTheme="minorHAnsi" w:cs="Arial"/>
                <w:sz w:val="20"/>
              </w:rPr>
              <w:t>Kryterium weryfikowane jest na podstawie zapisów wniosku o dofinansowanie.</w:t>
            </w:r>
          </w:p>
        </w:tc>
        <w:tc>
          <w:tcPr>
            <w:tcW w:w="3052" w:type="dxa"/>
            <w:shd w:val="clear" w:color="auto" w:fill="auto"/>
            <w:tcMar>
              <w:left w:w="108" w:type="dxa"/>
            </w:tcMar>
          </w:tcPr>
          <w:p w:rsidR="00471B61" w:rsidRPr="000E0CEB" w:rsidRDefault="00477DF1" w:rsidP="0010724C">
            <w:pPr>
              <w:snapToGrid w:val="0"/>
              <w:spacing w:before="0" w:line="240" w:lineRule="auto"/>
              <w:jc w:val="center"/>
              <w:rPr>
                <w:rFonts w:asciiTheme="minorHAnsi" w:hAnsiTheme="minorHAnsi" w:cs="Tahoma"/>
                <w:szCs w:val="22"/>
              </w:rPr>
            </w:pPr>
            <w:r w:rsidRPr="000E0CEB">
              <w:rPr>
                <w:rFonts w:asciiTheme="minorHAnsi" w:eastAsia="Calibri" w:hAnsiTheme="minorHAnsi" w:cs="Tahoma"/>
                <w:szCs w:val="22"/>
              </w:rPr>
              <w:t>Tak/Nie</w:t>
            </w:r>
          </w:p>
          <w:p w:rsidR="00471B61" w:rsidRPr="000E0CEB" w:rsidRDefault="00477DF1" w:rsidP="0010724C">
            <w:pPr>
              <w:snapToGrid w:val="0"/>
              <w:spacing w:before="0" w:line="240" w:lineRule="auto"/>
              <w:jc w:val="center"/>
              <w:rPr>
                <w:rFonts w:asciiTheme="minorHAnsi" w:hAnsiTheme="minorHAnsi" w:cs="Tahoma"/>
                <w:szCs w:val="22"/>
              </w:rPr>
            </w:pPr>
            <w:r w:rsidRPr="000E0CEB">
              <w:rPr>
                <w:rFonts w:asciiTheme="minorHAnsi" w:eastAsia="Calibri" w:hAnsiTheme="minorHAnsi" w:cs="Tahoma"/>
                <w:szCs w:val="22"/>
              </w:rPr>
              <w:t>(niespełnienie kryterium oznacza 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Calibri" w:hAnsiTheme="minorHAnsi" w:cs="Arial"/>
                <w:szCs w:val="22"/>
              </w:rPr>
              <w:t>13.</w:t>
            </w:r>
          </w:p>
        </w:tc>
        <w:tc>
          <w:tcPr>
            <w:tcW w:w="2687" w:type="dxa"/>
            <w:shd w:val="clear" w:color="auto" w:fill="auto"/>
            <w:tcMar>
              <w:left w:w="108" w:type="dxa"/>
            </w:tcMar>
          </w:tcPr>
          <w:p w:rsidR="00471B61" w:rsidRPr="000E0CEB" w:rsidRDefault="00477DF1" w:rsidP="0010724C">
            <w:pPr>
              <w:snapToGrid w:val="0"/>
              <w:spacing w:before="0" w:line="240" w:lineRule="auto"/>
              <w:jc w:val="both"/>
              <w:rPr>
                <w:rFonts w:asciiTheme="minorHAnsi" w:hAnsiTheme="minorHAnsi" w:cs="Arial"/>
                <w:szCs w:val="22"/>
              </w:rPr>
            </w:pPr>
            <w:r w:rsidRPr="000E0CEB">
              <w:rPr>
                <w:rFonts w:asciiTheme="minorHAnsi" w:eastAsia="Calibri" w:hAnsiTheme="minorHAnsi" w:cs="Arial"/>
                <w:szCs w:val="22"/>
              </w:rPr>
              <w:t>Uproszczone metody rozliczania wydatków</w:t>
            </w:r>
          </w:p>
        </w:tc>
        <w:tc>
          <w:tcPr>
            <w:tcW w:w="3526" w:type="dxa"/>
            <w:shd w:val="clear" w:color="auto" w:fill="auto"/>
            <w:tcMar>
              <w:left w:w="108" w:type="dxa"/>
            </w:tcMar>
          </w:tcPr>
          <w:p w:rsidR="00471B61" w:rsidRPr="000E0CEB" w:rsidRDefault="00477DF1" w:rsidP="0010724C">
            <w:pPr>
              <w:jc w:val="both"/>
              <w:rPr>
                <w:rFonts w:asciiTheme="minorHAnsi" w:hAnsiTheme="minorHAnsi" w:cs="Arial"/>
                <w:szCs w:val="22"/>
              </w:rPr>
            </w:pPr>
            <w:r w:rsidRPr="000E0CEB">
              <w:rPr>
                <w:rFonts w:asciiTheme="minorHAnsi" w:hAnsiTheme="minorHAnsi" w:cs="Arial"/>
                <w:szCs w:val="22"/>
              </w:rPr>
              <w:t xml:space="preserve">W projekcie, w którym </w:t>
            </w:r>
            <w:r w:rsidRPr="000E0CEB">
              <w:rPr>
                <w:rFonts w:asciiTheme="minorHAnsi" w:hAnsiTheme="minorHAnsi"/>
                <w:szCs w:val="22"/>
              </w:rPr>
              <w:t>wartość wkładu publicznego (środków publicznych)</w:t>
            </w:r>
            <w:r w:rsidRPr="000E0CEB">
              <w:rPr>
                <w:rFonts w:asciiTheme="minorHAnsi" w:hAnsiTheme="minorHAnsi" w:cs="Arial"/>
                <w:szCs w:val="22"/>
              </w:rPr>
              <w:t xml:space="preserve">nie przekracza 100 000 EUR zastosowano kwoty ryczałtowe, o których mowa w </w:t>
            </w:r>
            <w:r w:rsidRPr="000E0CEB">
              <w:rPr>
                <w:rFonts w:asciiTheme="minorHAnsi" w:hAnsiTheme="minorHAnsi" w:cs="Arial"/>
                <w:i/>
                <w:szCs w:val="22"/>
              </w:rPr>
              <w:t>Wytycznych w zakresie kwalifikowalności wydatków w zakresie Europejskiego Funduszu Rozwoju Regionalnego, Europejskiego Funduszu Społecznego oraz Funduszu Spójności na lata 2014-2020</w:t>
            </w:r>
            <w:r w:rsidRPr="000E0CEB">
              <w:rPr>
                <w:rFonts w:asciiTheme="minorHAnsi" w:hAnsiTheme="minorHAnsi" w:cs="Arial"/>
                <w:szCs w:val="22"/>
              </w:rPr>
              <w:t xml:space="preserve">. W sytuacjach określonych w regulaminie konkursu zastosowano pozostałe uproszczone metody rozliczania wydatków, o których mowa w </w:t>
            </w:r>
            <w:r w:rsidRPr="000E0CEB">
              <w:rPr>
                <w:rFonts w:asciiTheme="minorHAnsi" w:hAnsiTheme="minorHAnsi" w:cs="Arial"/>
                <w:i/>
                <w:szCs w:val="22"/>
              </w:rPr>
              <w:t>Wytycznych w zakresie kwalifikowalności wydatków w zakresie Europejskiego Funduszu Rozwoju Regionalnego, Europejskiego Funduszu Społecznego oraz Funduszu Spójności na lata 2014-2020</w:t>
            </w:r>
            <w:r w:rsidRPr="000E0CEB">
              <w:rPr>
                <w:rFonts w:asciiTheme="minorHAnsi" w:hAnsiTheme="minorHAnsi" w:cs="Arial"/>
                <w:szCs w:val="22"/>
              </w:rPr>
              <w:t xml:space="preserve">. </w:t>
            </w:r>
          </w:p>
          <w:p w:rsidR="00471B61" w:rsidRPr="000E0CEB" w:rsidRDefault="00477DF1" w:rsidP="0010724C">
            <w:pPr>
              <w:jc w:val="both"/>
              <w:rPr>
                <w:rFonts w:asciiTheme="minorHAnsi" w:hAnsiTheme="minorHAnsi" w:cs="Arial"/>
                <w:sz w:val="20"/>
              </w:rPr>
            </w:pPr>
            <w:r w:rsidRPr="000E0CEB">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0E0CEB">
              <w:rPr>
                <w:rFonts w:asciiTheme="minorHAnsi" w:hAnsiTheme="minorHAnsi" w:cs="Arial"/>
                <w:sz w:val="20"/>
              </w:rPr>
              <w:t xml:space="preserve">Do przeliczenia ww. kwoty na PLN należy stosować miesięczny obrachunkowy kurs wymiany </w:t>
            </w:r>
            <w:r w:rsidRPr="000E0CEB">
              <w:rPr>
                <w:rFonts w:asciiTheme="minorHAnsi" w:hAnsiTheme="minorHAnsi" w:cs="Arial"/>
                <w:sz w:val="20"/>
              </w:rPr>
              <w:lastRenderedPageBreak/>
              <w:t xml:space="preserve">stosowany przez KE aktualny na dzień ogłoszenia konkursu. </w:t>
            </w:r>
          </w:p>
          <w:p w:rsidR="00471B61" w:rsidRPr="000E0CEB" w:rsidRDefault="00471B61" w:rsidP="0010724C">
            <w:pPr>
              <w:spacing w:before="0" w:line="240" w:lineRule="auto"/>
              <w:jc w:val="both"/>
              <w:rPr>
                <w:rFonts w:asciiTheme="minorHAnsi" w:hAnsiTheme="minorHAnsi" w:cs="Arial"/>
                <w:sz w:val="20"/>
              </w:rPr>
            </w:pPr>
          </w:p>
          <w:p w:rsidR="00471B61" w:rsidRPr="000E0CEB" w:rsidRDefault="00477DF1" w:rsidP="0010724C">
            <w:pPr>
              <w:spacing w:before="0" w:line="240" w:lineRule="auto"/>
              <w:jc w:val="both"/>
              <w:rPr>
                <w:rFonts w:asciiTheme="minorHAnsi" w:hAnsiTheme="minorHAnsi" w:cs="Arial"/>
                <w:szCs w:val="22"/>
              </w:rPr>
            </w:pPr>
            <w:r w:rsidRPr="000E0CEB">
              <w:rPr>
                <w:rFonts w:asciiTheme="minorHAnsi" w:eastAsia="Arial Unicode MS" w:hAnsiTheme="minorHAnsi"/>
                <w:sz w:val="20"/>
              </w:rPr>
              <w:t>Sytuacje, w których należy stosować inne uproszczone formy rozliczania wydatków zostaną określone w regulaminie konkursu.</w:t>
            </w:r>
            <w:r w:rsidRPr="000E0CEB">
              <w:rPr>
                <w:rStyle w:val="Zakotwiczenieprzypisudolnego"/>
                <w:rFonts w:asciiTheme="minorHAnsi" w:eastAsia="Arial Unicode MS" w:hAnsiTheme="minorHAnsi"/>
                <w:sz w:val="20"/>
              </w:rPr>
              <w:footnoteReference w:id="6"/>
            </w:r>
          </w:p>
        </w:tc>
        <w:tc>
          <w:tcPr>
            <w:tcW w:w="3052" w:type="dxa"/>
            <w:shd w:val="clear" w:color="auto" w:fill="auto"/>
            <w:tcMar>
              <w:left w:w="108" w:type="dxa"/>
            </w:tcMar>
          </w:tcPr>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lastRenderedPageBreak/>
              <w:t xml:space="preserve">Tak/Nie/Nie dotyczy </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Arial"/>
                <w:szCs w:val="22"/>
              </w:rPr>
              <w:t>(niespełnienie kryterium oznacza odrzucenie wniosku)</w:t>
            </w:r>
          </w:p>
        </w:tc>
      </w:tr>
      <w:tr w:rsidR="00471B61" w:rsidRPr="000E0CEB" w:rsidTr="0010724C">
        <w:tc>
          <w:tcPr>
            <w:tcW w:w="623" w:type="dxa"/>
            <w:shd w:val="clear" w:color="auto" w:fill="auto"/>
            <w:tcMar>
              <w:left w:w="108" w:type="dxa"/>
            </w:tcMar>
          </w:tcPr>
          <w:p w:rsidR="00471B61" w:rsidRPr="000E0CEB" w:rsidRDefault="00477DF1" w:rsidP="0010724C">
            <w:pPr>
              <w:spacing w:before="0" w:line="240" w:lineRule="auto"/>
              <w:rPr>
                <w:rFonts w:asciiTheme="minorHAnsi" w:hAnsiTheme="minorHAnsi" w:cs="Arial"/>
                <w:szCs w:val="22"/>
              </w:rPr>
            </w:pPr>
            <w:r w:rsidRPr="000E0CEB">
              <w:rPr>
                <w:rFonts w:asciiTheme="minorHAnsi" w:eastAsia="Calibri" w:hAnsiTheme="minorHAnsi" w:cs="Arial"/>
                <w:szCs w:val="22"/>
              </w:rPr>
              <w:lastRenderedPageBreak/>
              <w:t>14.</w:t>
            </w:r>
          </w:p>
        </w:tc>
        <w:tc>
          <w:tcPr>
            <w:tcW w:w="2687" w:type="dxa"/>
            <w:shd w:val="clear" w:color="auto" w:fill="auto"/>
            <w:tcMar>
              <w:left w:w="108" w:type="dxa"/>
            </w:tcMar>
          </w:tcPr>
          <w:p w:rsidR="00471B61" w:rsidRPr="000E0CEB" w:rsidRDefault="00477DF1" w:rsidP="0010724C">
            <w:pPr>
              <w:snapToGrid w:val="0"/>
              <w:spacing w:before="0" w:line="240" w:lineRule="auto"/>
              <w:rPr>
                <w:rFonts w:asciiTheme="minorHAnsi" w:hAnsiTheme="minorHAnsi" w:cs="Calibri"/>
                <w:szCs w:val="22"/>
              </w:rPr>
            </w:pPr>
            <w:r w:rsidRPr="000E0CEB">
              <w:rPr>
                <w:rFonts w:asciiTheme="minorHAnsi" w:eastAsia="Calibri" w:hAnsiTheme="minorHAnsi" w:cs="Calibri"/>
                <w:szCs w:val="22"/>
              </w:rPr>
              <w:t xml:space="preserve">Kryterium niezalegania z należnościami </w:t>
            </w:r>
          </w:p>
        </w:tc>
        <w:tc>
          <w:tcPr>
            <w:tcW w:w="3526" w:type="dxa"/>
            <w:shd w:val="clear" w:color="auto" w:fill="auto"/>
            <w:tcMar>
              <w:left w:w="108" w:type="dxa"/>
            </w:tcMar>
          </w:tcPr>
          <w:p w:rsidR="00471B61" w:rsidRPr="000E0CEB" w:rsidRDefault="00477DF1" w:rsidP="0010724C">
            <w:pPr>
              <w:spacing w:before="0" w:line="240" w:lineRule="auto"/>
              <w:jc w:val="both"/>
              <w:rPr>
                <w:rFonts w:asciiTheme="minorHAnsi" w:hAnsiTheme="minorHAnsi" w:cs="Arial"/>
                <w:szCs w:val="22"/>
              </w:rPr>
            </w:pPr>
            <w:r w:rsidRPr="000E0CEB">
              <w:rPr>
                <w:rFonts w:asciiTheme="minorHAnsi" w:hAnsiTheme="minorHAnsi" w:cs="Arial"/>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471B61" w:rsidRPr="000E0CEB" w:rsidRDefault="00471B61" w:rsidP="0010724C">
            <w:pPr>
              <w:spacing w:before="0" w:line="240" w:lineRule="auto"/>
              <w:jc w:val="both"/>
              <w:rPr>
                <w:rFonts w:asciiTheme="minorHAnsi" w:hAnsiTheme="minorHAnsi" w:cs="Arial"/>
                <w:szCs w:val="22"/>
              </w:rPr>
            </w:pPr>
          </w:p>
          <w:p w:rsidR="00471B61" w:rsidRPr="000E0CEB" w:rsidRDefault="00477DF1" w:rsidP="0010724C">
            <w:pPr>
              <w:spacing w:before="0" w:line="240" w:lineRule="auto"/>
              <w:jc w:val="both"/>
              <w:rPr>
                <w:rFonts w:asciiTheme="minorHAnsi" w:hAnsiTheme="minorHAnsi" w:cs="Arial"/>
                <w:sz w:val="20"/>
              </w:rPr>
            </w:pPr>
            <w:r w:rsidRPr="000E0CEB">
              <w:rPr>
                <w:rFonts w:asciiTheme="minorHAnsi" w:eastAsia="Arial Unicode MS" w:hAnsiTheme="minorHAnsi"/>
                <w:sz w:val="20"/>
              </w:rPr>
              <w:t>Kryterium zostanie zweryfikowane na podstawie oświadczenia Wnioskodawcy.</w:t>
            </w:r>
            <w:r w:rsidRPr="000E0CEB">
              <w:rPr>
                <w:rFonts w:asciiTheme="minorHAnsi" w:hAnsiTheme="minorHAnsi" w:cs="Arial"/>
                <w:sz w:val="20"/>
              </w:rPr>
              <w:t xml:space="preserve"> </w:t>
            </w:r>
          </w:p>
        </w:tc>
        <w:tc>
          <w:tcPr>
            <w:tcW w:w="3052" w:type="dxa"/>
            <w:shd w:val="clear" w:color="auto" w:fill="auto"/>
            <w:tcMar>
              <w:left w:w="108" w:type="dxa"/>
            </w:tcMar>
          </w:tcPr>
          <w:p w:rsidR="00471B61" w:rsidRPr="000E0CEB" w:rsidRDefault="00477DF1" w:rsidP="0010724C">
            <w:pPr>
              <w:snapToGrid w:val="0"/>
              <w:spacing w:before="0" w:line="240" w:lineRule="auto"/>
              <w:jc w:val="center"/>
              <w:rPr>
                <w:rFonts w:asciiTheme="minorHAnsi" w:hAnsiTheme="minorHAnsi" w:cs="Tahoma"/>
                <w:szCs w:val="22"/>
              </w:rPr>
            </w:pPr>
            <w:r w:rsidRPr="000E0CEB">
              <w:rPr>
                <w:rFonts w:asciiTheme="minorHAnsi" w:eastAsia="Calibri" w:hAnsiTheme="minorHAnsi" w:cs="Tahoma"/>
                <w:szCs w:val="22"/>
              </w:rPr>
              <w:t>Tak/Nie</w:t>
            </w:r>
          </w:p>
          <w:p w:rsidR="00471B61" w:rsidRPr="000E0CEB" w:rsidRDefault="00477DF1" w:rsidP="0010724C">
            <w:pPr>
              <w:spacing w:before="0" w:line="240" w:lineRule="auto"/>
              <w:jc w:val="center"/>
              <w:rPr>
                <w:rFonts w:asciiTheme="minorHAnsi" w:hAnsiTheme="minorHAnsi" w:cs="Arial"/>
                <w:szCs w:val="22"/>
              </w:rPr>
            </w:pPr>
            <w:r w:rsidRPr="000E0CEB">
              <w:rPr>
                <w:rFonts w:asciiTheme="minorHAnsi" w:eastAsia="Calibri" w:hAnsiTheme="minorHAnsi" w:cs="Tahoma"/>
                <w:szCs w:val="22"/>
              </w:rPr>
              <w:t>(niespełnienie kryterium oznacza odrzucenie wniosku)</w:t>
            </w:r>
          </w:p>
        </w:tc>
      </w:tr>
    </w:tbl>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b/>
          <w:szCs w:val="22"/>
        </w:rPr>
        <w:t>Kryteria dostępu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Szczegółowe kryteria dostępu są obowiązkowe dla wszystkich Wnioskodawców i podlegają weryfikacji podczas oceny formalnej. Projekty, które nie spełniają kryteriów dostępu, </w:t>
      </w:r>
      <w:r w:rsidRPr="000E0CEB">
        <w:rPr>
          <w:rFonts w:asciiTheme="minorHAnsi" w:hAnsiTheme="minorHAnsi"/>
          <w:sz w:val="24"/>
          <w:szCs w:val="24"/>
        </w:rPr>
        <w:t>są odrzucane przy czym wniosek podlega kompletnej ocenie formalnej zgodnie z Regulaminem KOP</w:t>
      </w:r>
      <w:r w:rsidRPr="000E0CEB">
        <w:rPr>
          <w:rFonts w:asciiTheme="minorHAnsi" w:hAnsiTheme="minorHAnsi"/>
          <w:szCs w:val="22"/>
        </w:rPr>
        <w:t xml:space="preserve">. W ramach konkursu dla Poddziałania 10.2.3 stosowane będą następujące szczegółowe kryteria dostępu: </w:t>
      </w:r>
    </w:p>
    <w:tbl>
      <w:tblPr>
        <w:tblW w:w="495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01"/>
        <w:gridCol w:w="2671"/>
        <w:gridCol w:w="3795"/>
        <w:gridCol w:w="2670"/>
      </w:tblGrid>
      <w:tr w:rsidR="00471B61" w:rsidRPr="000E0CEB" w:rsidTr="004B00EB">
        <w:trPr>
          <w:trHeight w:val="432"/>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Lp.</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Nazwa kryterium</w:t>
            </w:r>
          </w:p>
        </w:tc>
        <w:tc>
          <w:tcPr>
            <w:tcW w:w="3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Definicja kryterium</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Tahoma"/>
                <w:b/>
                <w:szCs w:val="22"/>
              </w:rPr>
            </w:pPr>
            <w:r w:rsidRPr="000E0CEB">
              <w:rPr>
                <w:rFonts w:asciiTheme="minorHAnsi" w:hAnsiTheme="minorHAnsi" w:cs="Arial"/>
                <w:b/>
                <w:szCs w:val="22"/>
              </w:rPr>
              <w:t>Opis znaczenia kryterium</w:t>
            </w:r>
          </w:p>
        </w:tc>
      </w:tr>
      <w:tr w:rsidR="00471B61" w:rsidRPr="000E0CEB" w:rsidTr="004B00EB">
        <w:trPr>
          <w:trHeight w:val="731"/>
        </w:trPr>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1.</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napToGrid w:val="0"/>
              <w:spacing w:line="240" w:lineRule="auto"/>
              <w:rPr>
                <w:rFonts w:asciiTheme="minorHAnsi" w:hAnsiTheme="minorHAnsi" w:cs="Tahoma"/>
                <w:szCs w:val="22"/>
              </w:rPr>
            </w:pPr>
            <w:r w:rsidRPr="000E0CEB">
              <w:rPr>
                <w:rFonts w:asciiTheme="minorHAnsi" w:hAnsiTheme="minorHAnsi" w:cs="Tahoma"/>
                <w:szCs w:val="22"/>
              </w:rPr>
              <w:t>Kryterium liczby wniosków</w:t>
            </w:r>
          </w:p>
        </w:tc>
        <w:tc>
          <w:tcPr>
            <w:tcW w:w="3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both"/>
              <w:rPr>
                <w:rFonts w:asciiTheme="minorHAnsi" w:hAnsiTheme="minorHAnsi"/>
                <w:szCs w:val="22"/>
              </w:rPr>
            </w:pPr>
            <w:r w:rsidRPr="000E0CEB">
              <w:rPr>
                <w:rFonts w:asciiTheme="minorHAnsi" w:hAnsiTheme="minorHAnsi"/>
                <w:szCs w:val="22"/>
              </w:rPr>
              <w:t>Czy Wnioskodawca w ramach konkursu złożył nie więcej niż dwa wnioski o dofinansowanie projektu, jako lider lub samodzielny Wnioskodawca oraz nie więcej niż dwa wnioski jako partner?</w:t>
            </w:r>
          </w:p>
          <w:p w:rsidR="00471B61" w:rsidRPr="000E0CEB" w:rsidRDefault="00471B61">
            <w:pPr>
              <w:spacing w:line="240" w:lineRule="auto"/>
              <w:jc w:val="both"/>
              <w:rPr>
                <w:rFonts w:asciiTheme="minorHAnsi" w:hAnsiTheme="minorHAnsi"/>
                <w:szCs w:val="22"/>
              </w:rPr>
            </w:pPr>
          </w:p>
          <w:p w:rsidR="00471B61" w:rsidRPr="000E0CEB" w:rsidRDefault="00477DF1">
            <w:pPr>
              <w:spacing w:line="240" w:lineRule="auto"/>
              <w:contextualSpacing/>
              <w:jc w:val="both"/>
              <w:rPr>
                <w:rFonts w:asciiTheme="minorHAnsi" w:hAnsiTheme="minorHAnsi" w:cs="Arial"/>
                <w:szCs w:val="22"/>
              </w:rPr>
            </w:pPr>
            <w:r w:rsidRPr="000E0CEB">
              <w:rPr>
                <w:rFonts w:asciiTheme="minorHAnsi" w:hAnsiTheme="minorHAnsi"/>
                <w:sz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w:t>
            </w:r>
            <w:r w:rsidRPr="000E0CEB">
              <w:rPr>
                <w:rFonts w:asciiTheme="minorHAnsi" w:hAnsiTheme="minorHAnsi"/>
                <w:szCs w:val="22"/>
              </w:rPr>
              <w:t xml:space="preserve"> </w:t>
            </w:r>
            <w:r w:rsidRPr="000E0CEB">
              <w:rPr>
                <w:rFonts w:asciiTheme="minorHAnsi" w:hAnsiTheme="minorHAnsi"/>
                <w:sz w:val="20"/>
              </w:rPr>
              <w:t xml:space="preserve">kryterium. W przypadku wycofania wniosku o dofinansowanie Wnioskodawca ma </w:t>
            </w:r>
            <w:r w:rsidRPr="000E0CEB">
              <w:rPr>
                <w:rFonts w:asciiTheme="minorHAnsi" w:hAnsiTheme="minorHAnsi"/>
                <w:sz w:val="20"/>
              </w:rPr>
              <w:lastRenderedPageBreak/>
              <w:t>prawo złożyć kolejny wniosek.</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lastRenderedPageBreak/>
              <w:t xml:space="preserve">Tak/Nie </w:t>
            </w:r>
            <w:r w:rsidRPr="000E0CEB">
              <w:rPr>
                <w:rFonts w:asciiTheme="minorHAnsi" w:hAnsiTheme="minorHAnsi" w:cs="Arial"/>
                <w:kern w:val="1"/>
                <w:szCs w:val="22"/>
              </w:rPr>
              <w:t>(odrzucenie wniosku)</w:t>
            </w:r>
          </w:p>
        </w:tc>
      </w:tr>
      <w:tr w:rsidR="004B00EB" w:rsidRPr="000E0CEB" w:rsidTr="004B00EB">
        <w:tc>
          <w:tcPr>
            <w:tcW w:w="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00EB"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lastRenderedPageBreak/>
              <w:t>2.</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00EB" w:rsidRPr="000E0CEB" w:rsidRDefault="00477DF1">
            <w:pPr>
              <w:spacing w:after="120"/>
              <w:rPr>
                <w:rFonts w:asciiTheme="minorHAnsi" w:hAnsiTheme="minorHAnsi" w:cs="Arial"/>
                <w:szCs w:val="22"/>
              </w:rPr>
            </w:pPr>
            <w:r w:rsidRPr="000E0CEB">
              <w:rPr>
                <w:rFonts w:asciiTheme="minorHAnsi" w:hAnsiTheme="minorHAnsi" w:cs="Arial"/>
                <w:szCs w:val="22"/>
              </w:rPr>
              <w:t>Kryterium formy wsparcia</w:t>
            </w:r>
          </w:p>
        </w:tc>
        <w:tc>
          <w:tcPr>
            <w:tcW w:w="3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B00EB" w:rsidRPr="000E0CEB" w:rsidRDefault="00477DF1">
            <w:pPr>
              <w:spacing w:line="240" w:lineRule="auto"/>
              <w:jc w:val="both"/>
              <w:rPr>
                <w:rFonts w:asciiTheme="minorHAnsi" w:hAnsiTheme="minorHAnsi" w:cs="Tahoma"/>
                <w:szCs w:val="22"/>
              </w:rPr>
            </w:pPr>
            <w:r w:rsidRPr="000E0CEB">
              <w:rPr>
                <w:rFonts w:asciiTheme="minorHAnsi" w:hAnsiTheme="minorHAnsi" w:cs="Arial"/>
                <w:szCs w:val="22"/>
              </w:rPr>
              <w:t>Czy projekt jest realizowany w szkołach osiągających najsłabsze wyniki edukacyjne w skali ZIT?</w:t>
            </w:r>
          </w:p>
          <w:p w:rsidR="004B00EB" w:rsidRPr="000E0CEB" w:rsidRDefault="00477DF1" w:rsidP="004B00EB">
            <w:pPr>
              <w:spacing w:line="240" w:lineRule="auto"/>
              <w:jc w:val="both"/>
              <w:rPr>
                <w:rFonts w:asciiTheme="minorHAnsi" w:hAnsiTheme="minorHAnsi" w:cs="Arial"/>
                <w:color w:val="000000"/>
                <w:sz w:val="20"/>
              </w:rPr>
            </w:pPr>
            <w:r w:rsidRPr="000E0CEB">
              <w:rPr>
                <w:rFonts w:asciiTheme="minorHAnsi" w:hAnsiTheme="minorHAnsi" w:cs="Arial"/>
                <w:sz w:val="20"/>
              </w:rPr>
              <w:t>Zadaniem kryterium jest  zmniejszenie zróżnicowania międzyszkolnego w odniesieniu do osiąganych przez szkoły lub placówki systemu oświaty wyników edukacyjnych. J</w:t>
            </w:r>
            <w:r w:rsidRPr="000E0CEB">
              <w:rPr>
                <w:rFonts w:asciiTheme="minorHAnsi" w:hAnsiTheme="minorHAnsi" w:cs="Arial"/>
                <w:iCs/>
                <w:sz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w:t>
            </w:r>
          </w:p>
        </w:tc>
        <w:tc>
          <w:tcPr>
            <w:tcW w:w="2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B00EB" w:rsidRPr="000E0CEB" w:rsidRDefault="00477DF1" w:rsidP="004B00EB">
            <w:pPr>
              <w:jc w:val="center"/>
              <w:rPr>
                <w:rFonts w:asciiTheme="minorHAnsi" w:hAnsiTheme="minorHAnsi" w:cs="Arial"/>
                <w:szCs w:val="22"/>
              </w:rPr>
            </w:pPr>
            <w:r w:rsidRPr="000E0CEB">
              <w:rPr>
                <w:rFonts w:asciiTheme="minorHAnsi" w:hAnsiTheme="minorHAnsi" w:cs="Arial"/>
                <w:szCs w:val="22"/>
              </w:rPr>
              <w:t>Tak/Nie</w:t>
            </w:r>
            <w:r w:rsidRPr="000E0CEB">
              <w:rPr>
                <w:rFonts w:asciiTheme="minorHAnsi" w:hAnsiTheme="minorHAnsi" w:cs="Arial"/>
                <w:kern w:val="1"/>
                <w:szCs w:val="22"/>
              </w:rPr>
              <w:t>(odrzucenie wniosku)</w:t>
            </w:r>
          </w:p>
        </w:tc>
      </w:tr>
    </w:tbl>
    <w:p w:rsidR="00471B61" w:rsidRPr="000E0CEB" w:rsidRDefault="00471B61">
      <w:pPr>
        <w:spacing w:before="120" w:after="120" w:line="240" w:lineRule="auto"/>
        <w:jc w:val="both"/>
        <w:rPr>
          <w:rFonts w:asciiTheme="minorHAnsi" w:hAnsiTheme="minorHAnsi"/>
          <w:b/>
          <w:szCs w:val="22"/>
          <w:highlight w:val="yellow"/>
        </w:rPr>
      </w:pPr>
    </w:p>
    <w:p w:rsidR="00471B61" w:rsidRPr="000E0CEB" w:rsidRDefault="00477DF1">
      <w:pPr>
        <w:spacing w:before="120" w:after="120" w:line="240" w:lineRule="auto"/>
        <w:jc w:val="both"/>
        <w:rPr>
          <w:rFonts w:asciiTheme="minorHAnsi" w:hAnsiTheme="minorHAnsi"/>
          <w:b/>
          <w:szCs w:val="22"/>
        </w:rPr>
      </w:pPr>
      <w:r w:rsidRPr="000E0CEB">
        <w:rPr>
          <w:rFonts w:asciiTheme="minorHAnsi" w:hAnsiTheme="minorHAnsi"/>
          <w:b/>
          <w:szCs w:val="22"/>
        </w:rPr>
        <w:t>Kryteria oceny merytorycznej</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Ocenie merytorycznej podlega każdy projekt oceniony pozytywnie  podczas oceny formalnej stanowiącej etap oceny formalno-merytorycznej.</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Ocena merytoryczna projektu obejmuje sprawdzenie, czy projekt spełnia:</w:t>
      </w:r>
    </w:p>
    <w:p w:rsidR="00471B61" w:rsidRPr="000E0CEB" w:rsidRDefault="00477DF1">
      <w:pPr>
        <w:numPr>
          <w:ilvl w:val="0"/>
          <w:numId w:val="25"/>
        </w:numPr>
        <w:spacing w:before="0" w:line="240" w:lineRule="auto"/>
        <w:ind w:left="1276" w:hanging="567"/>
        <w:jc w:val="both"/>
        <w:rPr>
          <w:rFonts w:asciiTheme="minorHAnsi" w:hAnsiTheme="minorHAnsi"/>
          <w:szCs w:val="22"/>
        </w:rPr>
      </w:pPr>
      <w:r w:rsidRPr="000E0CEB">
        <w:rPr>
          <w:rFonts w:asciiTheme="minorHAnsi" w:hAnsiTheme="minorHAnsi"/>
          <w:szCs w:val="22"/>
        </w:rPr>
        <w:t>ogólne kryteria horyzontalne,</w:t>
      </w:r>
    </w:p>
    <w:p w:rsidR="00471B61" w:rsidRPr="000E0CEB" w:rsidRDefault="00477DF1">
      <w:pPr>
        <w:numPr>
          <w:ilvl w:val="0"/>
          <w:numId w:val="25"/>
        </w:numPr>
        <w:spacing w:before="0" w:line="240" w:lineRule="auto"/>
        <w:ind w:left="1276" w:hanging="567"/>
        <w:jc w:val="both"/>
        <w:rPr>
          <w:rFonts w:asciiTheme="minorHAnsi" w:hAnsiTheme="minorHAnsi"/>
          <w:szCs w:val="22"/>
        </w:rPr>
      </w:pPr>
      <w:r w:rsidRPr="000E0CEB">
        <w:rPr>
          <w:rFonts w:asciiTheme="minorHAnsi" w:hAnsiTheme="minorHAnsi"/>
          <w:szCs w:val="22"/>
        </w:rPr>
        <w:t>ogólne kryteria merytoryczne,</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cs="Tahoma"/>
          <w:szCs w:val="22"/>
        </w:rPr>
        <w:t xml:space="preserve">Kryteria oceny merytorycznej są weryfikowane na podstawie zapisów wniosku o dofinansowanie projektu. </w:t>
      </w:r>
      <w:bookmarkStart w:id="252" w:name="_Toc430826846"/>
      <w:r w:rsidRPr="000E0CEB">
        <w:rPr>
          <w:rFonts w:asciiTheme="minorHAnsi" w:hAnsiTheme="minorHAnsi" w:cs="Arial"/>
          <w:szCs w:val="22"/>
        </w:rPr>
        <w:t>Nie wyklucza to wykorzystania w ocenie spełnienia kryteriów informacji udzielonych przez Wnioskodawcę lub pozyskanych na temat Wnioskodawcy lub projektu.</w:t>
      </w:r>
    </w:p>
    <w:bookmarkEnd w:id="252"/>
    <w:p w:rsidR="00471B61" w:rsidRPr="000E0CEB" w:rsidRDefault="00477DF1">
      <w:pPr>
        <w:spacing w:before="120" w:after="120" w:line="240" w:lineRule="auto"/>
        <w:jc w:val="both"/>
        <w:rPr>
          <w:rFonts w:asciiTheme="minorHAnsi" w:hAnsiTheme="minorHAnsi" w:cs="Arial"/>
          <w:b/>
          <w:szCs w:val="22"/>
        </w:rPr>
      </w:pPr>
      <w:r w:rsidRPr="000E0CEB">
        <w:rPr>
          <w:rFonts w:asciiTheme="minorHAnsi" w:hAnsiTheme="minorHAnsi"/>
          <w:b/>
          <w:szCs w:val="22"/>
        </w:rPr>
        <w:t>Kryteria horyzontalne</w:t>
      </w:r>
    </w:p>
    <w:p w:rsidR="00471B61" w:rsidRPr="000E0CEB" w:rsidRDefault="00477DF1">
      <w:pPr>
        <w:spacing w:before="120" w:after="120" w:line="240" w:lineRule="auto"/>
        <w:jc w:val="both"/>
        <w:rPr>
          <w:rFonts w:asciiTheme="minorHAnsi" w:hAnsiTheme="minorHAnsi" w:cs="Tahoma"/>
          <w:szCs w:val="22"/>
        </w:rPr>
      </w:pPr>
      <w:r w:rsidRPr="000E0CEB">
        <w:rPr>
          <w:rFonts w:asciiTheme="minorHAnsi" w:hAnsiTheme="minorHAnsi" w:cs="Tahoma"/>
          <w:szCs w:val="22"/>
        </w:rPr>
        <w:t xml:space="preserve">Kryteria są weryfikowane na podstawie zapisów wniosku o dofinansowanie projektu podczas oceny merytorycznej. </w:t>
      </w:r>
      <w:r w:rsidRPr="000E0CEB">
        <w:rPr>
          <w:rFonts w:asciiTheme="minorHAnsi" w:hAnsiTheme="minorHAnsi" w:cs="Arial"/>
          <w:szCs w:val="22"/>
        </w:rPr>
        <w:t xml:space="preserve"> </w:t>
      </w:r>
    </w:p>
    <w:p w:rsidR="00471B61" w:rsidRPr="000E0CEB" w:rsidRDefault="00477DF1">
      <w:pPr>
        <w:spacing w:before="120" w:after="120" w:line="240" w:lineRule="auto"/>
        <w:jc w:val="both"/>
        <w:rPr>
          <w:rFonts w:asciiTheme="minorHAnsi" w:hAnsiTheme="minorHAnsi" w:cs="Arial"/>
          <w:szCs w:val="22"/>
        </w:rPr>
      </w:pPr>
      <w:r w:rsidRPr="000E0CEB">
        <w:rPr>
          <w:rFonts w:asciiTheme="minorHAnsi" w:hAnsiTheme="minorHAnsi"/>
          <w:szCs w:val="22"/>
        </w:rPr>
        <w:t xml:space="preserve">Ocena wniosku na podstawie ogólnych kryteriów horyzontalnych ma postać „tak/ nie” tzn. „spełnia – nie spełnia” i odbywa się podczas oceny merytorycznej. Wnioski niespełniające jednego lub więcej kryteriów horyzontalnych są odrzucane jednakże podlegają dalszej ocenie w ramach KOP.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Jeżeli oceniający uzna, że projekt warunkowo spełnia kryterium horyzontalne, uzasadnienie oceny warunkowej – o ile projekt może zostać skierowany przez oceniającego do negocjacji (tzn. w przypadku gdy wniosek bezwarunkowo uzyskał, co najmniej 50% punktów w poszczególnych kategoriach oceny spełniania </w:t>
      </w:r>
      <w:r w:rsidRPr="000E0CEB">
        <w:rPr>
          <w:rFonts w:asciiTheme="minorHAnsi" w:hAnsiTheme="minorHAnsi"/>
          <w:szCs w:val="22"/>
        </w:rPr>
        <w:lastRenderedPageBreak/>
        <w:t xml:space="preserve">ogólnych kryteriów merytorycznych oraz wniosek warunkowo spełnia kryteria horyzontalne lub warunkowo otrzymał 50 punktów za spełnianie danego/nych kryterium/kryteriów merytorycznych) i zgodności ze strategią ZIT – jest zawierane w dalszej części karty oceny merytorycznej zawierającej zakres negocjacji.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Jeżeli oceniający uzna, że projekt nie spełnia któregokolwiek z kryteriów horyzontalnych, odpowiednio odnotowuje ten fakt na karcie oceny merytorycznej, uzasadnia decyzję o uznaniu danego kryterium horyzontalnego za niespełnione.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Stosowane będą następujące kryteria horyzontalne:</w:t>
      </w:r>
    </w:p>
    <w:tbl>
      <w:tblPr>
        <w:tblW w:w="4950" w:type="pc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59"/>
        <w:gridCol w:w="2376"/>
        <w:gridCol w:w="4113"/>
        <w:gridCol w:w="2689"/>
      </w:tblGrid>
      <w:tr w:rsidR="00471B61" w:rsidRPr="000E0CEB">
        <w:trPr>
          <w:trHeight w:val="432"/>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cs="Arial"/>
                <w:b/>
                <w:szCs w:val="22"/>
              </w:rPr>
            </w:pPr>
            <w:r w:rsidRPr="000E0CEB">
              <w:rPr>
                <w:rFonts w:asciiTheme="minorHAnsi" w:hAnsiTheme="minorHAnsi" w:cs="Arial"/>
                <w:b/>
                <w:szCs w:val="22"/>
              </w:rPr>
              <w:t>Lp.</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cs="Arial"/>
                <w:b/>
                <w:szCs w:val="22"/>
              </w:rPr>
            </w:pPr>
            <w:r w:rsidRPr="000E0CEB">
              <w:rPr>
                <w:rFonts w:asciiTheme="minorHAnsi" w:hAnsiTheme="minorHAnsi" w:cs="Arial"/>
                <w:b/>
                <w:szCs w:val="22"/>
              </w:rPr>
              <w:t>Nazwa kryterium</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cs="Arial"/>
                <w:b/>
                <w:szCs w:val="22"/>
              </w:rPr>
            </w:pPr>
            <w:r w:rsidRPr="000E0CEB">
              <w:rPr>
                <w:rFonts w:asciiTheme="minorHAnsi" w:hAnsiTheme="minorHAnsi" w:cs="Arial"/>
                <w:b/>
                <w:szCs w:val="22"/>
              </w:rPr>
              <w:t>Definicja kryterium</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cs="Tahoma"/>
                <w:b/>
                <w:szCs w:val="22"/>
              </w:rPr>
            </w:pPr>
            <w:r w:rsidRPr="000E0CEB">
              <w:rPr>
                <w:rFonts w:asciiTheme="minorHAnsi" w:hAnsiTheme="minorHAnsi" w:cs="Arial"/>
                <w:b/>
                <w:szCs w:val="22"/>
              </w:rPr>
              <w:t>Opis znaczenia kryterium</w:t>
            </w:r>
          </w:p>
        </w:tc>
      </w:tr>
      <w:tr w:rsidR="00471B61" w:rsidRPr="000E0CEB">
        <w:trPr>
          <w:trHeight w:val="432"/>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1.</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Kryterium zgodności projektu z prawem</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Czy projekt jest zgodny z przepisami prawa krajowego i unijnego?</w:t>
            </w:r>
          </w:p>
          <w:p w:rsidR="00471B61" w:rsidRPr="000E0CEB" w:rsidRDefault="00471B61">
            <w:pPr>
              <w:spacing w:before="0" w:line="240" w:lineRule="auto"/>
              <w:jc w:val="both"/>
              <w:rPr>
                <w:rFonts w:asciiTheme="minorHAnsi" w:hAnsiTheme="minorHAnsi"/>
                <w:szCs w:val="22"/>
              </w:rPr>
            </w:pPr>
          </w:p>
          <w:p w:rsidR="00471B61" w:rsidRPr="000E0CEB" w:rsidRDefault="00477DF1">
            <w:pPr>
              <w:spacing w:before="0" w:line="240" w:lineRule="auto"/>
              <w:jc w:val="both"/>
              <w:rPr>
                <w:rFonts w:asciiTheme="minorHAnsi" w:hAnsiTheme="minorHAnsi"/>
                <w:sz w:val="20"/>
              </w:rPr>
            </w:pPr>
            <w:r w:rsidRPr="000E0CEB">
              <w:rPr>
                <w:rFonts w:asciiTheme="minorHAnsi" w:hAnsiTheme="minorHAnsi"/>
                <w:sz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Tak/Nie</w:t>
            </w:r>
          </w:p>
          <w:p w:rsidR="00471B61" w:rsidRPr="000E0CEB" w:rsidRDefault="00477DF1">
            <w:pPr>
              <w:spacing w:before="0" w:line="240" w:lineRule="auto"/>
              <w:jc w:val="center"/>
              <w:rPr>
                <w:rFonts w:asciiTheme="minorHAnsi" w:hAnsiTheme="minorHAnsi" w:cs="Arial"/>
                <w:szCs w:val="22"/>
              </w:rPr>
            </w:pPr>
            <w:r w:rsidRPr="000E0CEB">
              <w:rPr>
                <w:rFonts w:asciiTheme="minorHAnsi" w:hAnsiTheme="minorHAnsi"/>
                <w:szCs w:val="22"/>
              </w:rPr>
              <w:t>(niespełnienie kryterium oznacza odrzucenie wniosku)</w:t>
            </w:r>
          </w:p>
        </w:tc>
      </w:tr>
      <w:tr w:rsidR="00471B61" w:rsidRPr="000E0CEB">
        <w:trPr>
          <w:trHeight w:val="432"/>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2.</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Kryterium zgodności z właściwymi politykami i zasadami</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Czy projekt jest zgodny z zasadą zrównoważonego rozwoju?</w:t>
            </w:r>
          </w:p>
          <w:p w:rsidR="00471B61" w:rsidRPr="000E0CEB" w:rsidRDefault="00471B61">
            <w:pPr>
              <w:spacing w:before="0" w:line="240" w:lineRule="auto"/>
              <w:jc w:val="both"/>
              <w:rPr>
                <w:rFonts w:asciiTheme="minorHAnsi" w:hAnsiTheme="minorHAnsi"/>
                <w:szCs w:val="22"/>
              </w:rPr>
            </w:pPr>
          </w:p>
          <w:p w:rsidR="00471B61" w:rsidRPr="000E0CEB" w:rsidRDefault="00477DF1" w:rsidP="00005011">
            <w:pPr>
              <w:spacing w:before="0" w:line="240" w:lineRule="auto"/>
              <w:jc w:val="both"/>
              <w:rPr>
                <w:rFonts w:asciiTheme="minorHAnsi" w:hAnsiTheme="minorHAnsi"/>
                <w:sz w:val="20"/>
              </w:rPr>
            </w:pPr>
            <w:r w:rsidRPr="000E0CEB">
              <w:rPr>
                <w:rFonts w:asciiTheme="minorHAnsi" w:hAnsiTheme="minorHAnsi"/>
                <w:sz w:val="20"/>
              </w:rPr>
              <w:t xml:space="preserve">Kryterium ma na celu zapewnić zgodność projektu z zasadą zrównoważonego rozwoju.    </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Tak/Nie</w:t>
            </w:r>
          </w:p>
          <w:p w:rsidR="00471B61" w:rsidRPr="000E0CEB" w:rsidRDefault="00477DF1">
            <w:pPr>
              <w:spacing w:before="0" w:line="240" w:lineRule="auto"/>
              <w:jc w:val="center"/>
              <w:rPr>
                <w:rFonts w:asciiTheme="minorHAnsi" w:hAnsiTheme="minorHAnsi" w:cs="Arial"/>
                <w:szCs w:val="22"/>
              </w:rPr>
            </w:pPr>
            <w:r w:rsidRPr="000E0CEB">
              <w:rPr>
                <w:rFonts w:asciiTheme="minorHAnsi" w:hAnsiTheme="minorHAnsi"/>
                <w:szCs w:val="22"/>
              </w:rPr>
              <w:t>(niespełnienie kryterium oznacza odrzucenie wniosku)</w:t>
            </w:r>
          </w:p>
        </w:tc>
      </w:tr>
      <w:tr w:rsidR="00471B61" w:rsidRPr="000E0CEB">
        <w:trPr>
          <w:trHeight w:val="432"/>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3.</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Kryterium zgodności z właściwymi politykami i zasadami</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 xml:space="preserve">Czy projekt jest zgodny z zasadą równości szans kobiet i mężczyzn? </w:t>
            </w:r>
          </w:p>
          <w:p w:rsidR="00471B61" w:rsidRPr="000E0CEB" w:rsidRDefault="00471B61">
            <w:pPr>
              <w:spacing w:before="0" w:line="240" w:lineRule="auto"/>
              <w:jc w:val="both"/>
              <w:rPr>
                <w:rFonts w:asciiTheme="minorHAnsi" w:hAnsiTheme="minorHAnsi"/>
                <w:szCs w:val="22"/>
              </w:rPr>
            </w:pPr>
          </w:p>
          <w:p w:rsidR="00471B61" w:rsidRPr="000E0CEB" w:rsidRDefault="00477DF1" w:rsidP="00005011">
            <w:pPr>
              <w:spacing w:before="0" w:line="240" w:lineRule="auto"/>
              <w:jc w:val="both"/>
              <w:rPr>
                <w:rFonts w:asciiTheme="minorHAnsi" w:hAnsiTheme="minorHAnsi"/>
                <w:sz w:val="20"/>
              </w:rPr>
            </w:pPr>
            <w:r w:rsidRPr="000E0CEB">
              <w:rPr>
                <w:rFonts w:asciiTheme="minorHAnsi" w:hAnsiTheme="minorHAnsi"/>
                <w:sz w:val="20"/>
              </w:rPr>
              <w:t>Kryterium ma na celu zapewnić zgodność projektu z zasadą równości szans kobiet i mężczyzn. Kryterium będzie oceniane według standardu minimum. Projekt musi być co najmniej neutralny. W ramach kryterium IOK dopuszcza możliwość oceny warunkowej.</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Tak/Nie</w:t>
            </w:r>
          </w:p>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(niespełnienie kryterium oznacza odrzucenie wniosku)</w:t>
            </w:r>
          </w:p>
        </w:tc>
      </w:tr>
      <w:tr w:rsidR="00471B61" w:rsidRPr="000E0CEB">
        <w:trPr>
          <w:trHeight w:val="432"/>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4.</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Kryterium zgodności z właściwymi politykami i zasadami</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Czy projekt jest zgodny z zasadą równości szans i niedyskryminacji, w tym dostępności dla osób z niepełnosprawnościami?</w:t>
            </w:r>
          </w:p>
          <w:p w:rsidR="00471B61" w:rsidRPr="000E0CEB" w:rsidRDefault="00471B61">
            <w:pPr>
              <w:spacing w:before="0" w:line="240" w:lineRule="auto"/>
              <w:jc w:val="both"/>
              <w:rPr>
                <w:rFonts w:asciiTheme="minorHAnsi" w:hAnsiTheme="minorHAnsi"/>
                <w:szCs w:val="22"/>
              </w:rPr>
            </w:pPr>
          </w:p>
          <w:p w:rsidR="00471B61" w:rsidRPr="000E0CEB" w:rsidRDefault="00477DF1" w:rsidP="00005011">
            <w:pPr>
              <w:spacing w:before="0" w:line="240" w:lineRule="auto"/>
              <w:jc w:val="both"/>
              <w:rPr>
                <w:rFonts w:asciiTheme="minorHAnsi" w:hAnsiTheme="minorHAnsi"/>
                <w:sz w:val="20"/>
              </w:rPr>
            </w:pPr>
            <w:r w:rsidRPr="000E0CEB">
              <w:rPr>
                <w:rFonts w:asciiTheme="minorHAnsi" w:hAnsiTheme="minorHAnsi"/>
                <w:sz w:val="20"/>
              </w:rPr>
              <w:t xml:space="preserve">Kryterium ma na celu ocenę spełniania przez projekt zasady równości szans i niedyskryminacji, w tym dostępności dla osób z niepełnosprawnościami.  </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Tak/Nie</w:t>
            </w:r>
          </w:p>
          <w:p w:rsidR="00471B61" w:rsidRPr="000E0CEB" w:rsidRDefault="00477DF1">
            <w:pPr>
              <w:spacing w:before="0" w:line="240" w:lineRule="auto"/>
              <w:jc w:val="center"/>
              <w:rPr>
                <w:rFonts w:asciiTheme="minorHAnsi" w:hAnsiTheme="minorHAnsi"/>
                <w:szCs w:val="22"/>
              </w:rPr>
            </w:pPr>
            <w:r w:rsidRPr="000E0CEB">
              <w:rPr>
                <w:rFonts w:asciiTheme="minorHAnsi" w:hAnsiTheme="minorHAnsi"/>
                <w:szCs w:val="22"/>
              </w:rPr>
              <w:t>(niespełnienie kryterium oznacza odrzucenie wniosku)</w:t>
            </w:r>
          </w:p>
        </w:tc>
      </w:tr>
    </w:tbl>
    <w:p w:rsidR="00471B61" w:rsidRPr="000E0CEB" w:rsidRDefault="00471B61">
      <w:pPr>
        <w:spacing w:before="120" w:after="120" w:line="240" w:lineRule="auto"/>
        <w:jc w:val="both"/>
        <w:rPr>
          <w:rFonts w:asciiTheme="minorHAnsi" w:hAnsiTheme="minorHAnsi"/>
          <w:szCs w:val="22"/>
        </w:rPr>
      </w:pP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Ocena merytoryczna wniosku na podstawie kryteriów merytorycznych będzie dokonywana w skali punktowej w oparciu o system wagowy. Ocena jest przedstawiana w postaci liczb całkowitych (bez części ułamkowych). Maksymalna liczba punktów do uzyskania za spełnienie kryteriów merytorycznych wynosi 50 pkt.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W przypadku bezwarunkowego przyznania za spełnianie danego kryterium merytorycznego mniejszej niż maksymalna liczba punktów oceniający uzasadnia ocenę. Oceniający może również 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50% punktów w poszczególnych kategoriach </w:t>
      </w:r>
      <w:r w:rsidRPr="000E0CEB">
        <w:rPr>
          <w:rFonts w:asciiTheme="minorHAnsi" w:hAnsiTheme="minorHAnsi"/>
          <w:szCs w:val="22"/>
        </w:rPr>
        <w:lastRenderedPageBreak/>
        <w:t>oceny spełniania ogólnych kryteriów merytorycznych oraz wniosek warunkowo spełnia kryterium/kryteria horyzontalne lub warunkowo otrzymał 50 punktów za spełnianie danego/nych kryterium/kryteriów merytorycznych) i zgodności ze strategią ZIT – jest zawierane w dalszej części karty oceny merytorycznej zawierającej zakres negocjacji.</w:t>
      </w:r>
    </w:p>
    <w:p w:rsidR="00471B61" w:rsidRPr="000E0CEB" w:rsidRDefault="00477DF1">
      <w:pPr>
        <w:tabs>
          <w:tab w:val="left" w:pos="7056"/>
        </w:tabs>
        <w:spacing w:before="120" w:after="120" w:line="240" w:lineRule="auto"/>
        <w:jc w:val="both"/>
        <w:rPr>
          <w:rFonts w:asciiTheme="minorHAnsi" w:hAnsiTheme="minorHAnsi" w:cs="Tahoma"/>
          <w:szCs w:val="22"/>
        </w:rPr>
      </w:pPr>
      <w:r w:rsidRPr="000E0CEB">
        <w:rPr>
          <w:rFonts w:asciiTheme="minorHAnsi" w:hAnsiTheme="minorHAnsi"/>
          <w:szCs w:val="22"/>
        </w:rPr>
        <w:t xml:space="preserve">Stosowane będą następujące ogólne kryteria merytoryczne: </w:t>
      </w:r>
      <w:r w:rsidRPr="000E0CEB">
        <w:rPr>
          <w:rFonts w:asciiTheme="minorHAnsi" w:hAnsiTheme="minorHAnsi"/>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764"/>
        <w:gridCol w:w="3956"/>
        <w:gridCol w:w="2598"/>
      </w:tblGrid>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before="0" w:line="240" w:lineRule="auto"/>
              <w:jc w:val="center"/>
              <w:rPr>
                <w:rFonts w:asciiTheme="minorHAnsi" w:hAnsiTheme="minorHAnsi"/>
                <w:b/>
                <w:szCs w:val="22"/>
              </w:rPr>
            </w:pPr>
            <w:r w:rsidRPr="000E0CEB">
              <w:rPr>
                <w:rFonts w:asciiTheme="minorHAnsi" w:eastAsia="Calibri" w:hAnsiTheme="minorHAnsi"/>
                <w:b/>
                <w:szCs w:val="22"/>
              </w:rPr>
              <w:t>Lp.</w:t>
            </w:r>
          </w:p>
        </w:tc>
        <w:tc>
          <w:tcPr>
            <w:tcW w:w="2704" w:type="dxa"/>
            <w:shd w:val="clear" w:color="auto" w:fill="auto"/>
            <w:tcMar>
              <w:left w:w="108" w:type="dxa"/>
            </w:tcMar>
            <w:vAlign w:val="center"/>
          </w:tcPr>
          <w:p w:rsidR="00471B61" w:rsidRPr="000E0CEB" w:rsidRDefault="00477DF1" w:rsidP="0010724C">
            <w:pPr>
              <w:spacing w:before="0" w:line="240" w:lineRule="auto"/>
              <w:jc w:val="center"/>
              <w:rPr>
                <w:rFonts w:asciiTheme="minorHAnsi" w:hAnsiTheme="minorHAnsi"/>
                <w:b/>
                <w:szCs w:val="22"/>
              </w:rPr>
            </w:pPr>
            <w:r w:rsidRPr="000E0CEB">
              <w:rPr>
                <w:rFonts w:asciiTheme="minorHAnsi" w:eastAsia="Calibri" w:hAnsiTheme="minorHAnsi"/>
                <w:b/>
                <w:szCs w:val="22"/>
              </w:rPr>
              <w:t>Nazwa kryterium</w:t>
            </w:r>
          </w:p>
        </w:tc>
        <w:tc>
          <w:tcPr>
            <w:tcW w:w="3870" w:type="dxa"/>
            <w:shd w:val="clear" w:color="auto" w:fill="auto"/>
            <w:tcMar>
              <w:left w:w="108" w:type="dxa"/>
            </w:tcMar>
            <w:vAlign w:val="center"/>
          </w:tcPr>
          <w:p w:rsidR="00471B61" w:rsidRPr="000E0CEB" w:rsidRDefault="00477DF1" w:rsidP="0010724C">
            <w:pPr>
              <w:spacing w:before="0" w:line="240" w:lineRule="auto"/>
              <w:jc w:val="center"/>
              <w:rPr>
                <w:rFonts w:asciiTheme="minorHAnsi" w:hAnsiTheme="minorHAnsi"/>
                <w:b/>
                <w:szCs w:val="22"/>
              </w:rPr>
            </w:pPr>
            <w:r w:rsidRPr="000E0CEB">
              <w:rPr>
                <w:rFonts w:asciiTheme="minorHAnsi" w:eastAsia="Calibri" w:hAnsiTheme="minorHAnsi"/>
                <w:b/>
                <w:szCs w:val="22"/>
              </w:rPr>
              <w:t>Definicja kryterium</w:t>
            </w:r>
          </w:p>
        </w:tc>
        <w:tc>
          <w:tcPr>
            <w:tcW w:w="2541" w:type="dxa"/>
            <w:shd w:val="clear" w:color="auto" w:fill="auto"/>
            <w:tcMar>
              <w:left w:w="108" w:type="dxa"/>
            </w:tcMar>
            <w:vAlign w:val="center"/>
          </w:tcPr>
          <w:p w:rsidR="00471B61" w:rsidRPr="000E0CEB" w:rsidRDefault="00477DF1" w:rsidP="0010724C">
            <w:pPr>
              <w:spacing w:before="0" w:line="240" w:lineRule="auto"/>
              <w:jc w:val="center"/>
              <w:rPr>
                <w:rFonts w:asciiTheme="minorHAnsi" w:hAnsiTheme="minorHAnsi"/>
                <w:b/>
                <w:szCs w:val="22"/>
              </w:rPr>
            </w:pPr>
            <w:r w:rsidRPr="000E0CEB">
              <w:rPr>
                <w:rFonts w:asciiTheme="minorHAnsi" w:eastAsia="Calibri" w:hAnsiTheme="minorHAnsi"/>
                <w:b/>
                <w:szCs w:val="22"/>
              </w:rPr>
              <w:t>Opis znaczenia kryterium</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t>1.</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Tahoma"/>
                <w:szCs w:val="22"/>
              </w:rPr>
            </w:pPr>
            <w:r w:rsidRPr="000E0CEB">
              <w:rPr>
                <w:rFonts w:asciiTheme="minorHAnsi" w:eastAsia="Calibri" w:hAnsiTheme="minorHAnsi" w:cs="Tahoma"/>
                <w:szCs w:val="22"/>
              </w:rPr>
              <w:t>Kryterium adekwatności celu projektu i założonych do osiągnięcia rezultatów</w:t>
            </w:r>
          </w:p>
        </w:tc>
        <w:tc>
          <w:tcPr>
            <w:tcW w:w="3870" w:type="dxa"/>
            <w:shd w:val="clear" w:color="auto" w:fill="auto"/>
            <w:tcMar>
              <w:left w:w="108" w:type="dxa"/>
            </w:tcMar>
            <w:vAlign w:val="center"/>
          </w:tcPr>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t>Czy projekt jest zgodny z właściwym celem szczegółowym RPO WD 2014-2020 oraz w jaki sposób projekt przyczyni się do osiągnięcia celu szczegółowego RPO WD 2014-2020?</w:t>
            </w:r>
          </w:p>
          <w:p w:rsidR="00471B61" w:rsidRPr="000E0CEB" w:rsidRDefault="00477DF1" w:rsidP="0010724C">
            <w:pPr>
              <w:jc w:val="both"/>
              <w:rPr>
                <w:rFonts w:asciiTheme="minorHAnsi" w:hAnsiTheme="minorHAnsi" w:cs="Tahoma"/>
                <w:sz w:val="20"/>
              </w:rPr>
            </w:pPr>
            <w:r w:rsidRPr="000E0CEB">
              <w:rPr>
                <w:rFonts w:asciiTheme="minorHAnsi" w:eastAsia="Calibr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t xml:space="preserve">Czy potrzeba realizacji projektu jest wystarczająco uzasadniona i odpowiada na zdiagnozowany problem? </w:t>
            </w:r>
          </w:p>
          <w:p w:rsidR="00471B61" w:rsidRPr="000E0CEB" w:rsidRDefault="00477DF1" w:rsidP="0010724C">
            <w:pPr>
              <w:jc w:val="both"/>
              <w:rPr>
                <w:rFonts w:asciiTheme="minorHAnsi" w:hAnsiTheme="minorHAnsi"/>
                <w:szCs w:val="22"/>
              </w:rPr>
            </w:pPr>
            <w:r w:rsidRPr="000E0CEB">
              <w:rPr>
                <w:rFonts w:asciiTheme="minorHAnsi" w:eastAsia="Calibri" w:hAnsiTheme="minorHAnsi" w:cs="Tahoma"/>
                <w:szCs w:val="22"/>
              </w:rPr>
              <w:t>Czy zaplanowane w ramach projektu wartości wskaźników są adekwatne w stosunku do potrzeb i celów projektu, a założone do osiągnięcia wartości są realne?</w:t>
            </w:r>
            <w:r w:rsidRPr="000E0CEB">
              <w:rPr>
                <w:rFonts w:asciiTheme="minorHAnsi" w:eastAsia="Calibri" w:hAnsiTheme="minorHAnsi"/>
                <w:szCs w:val="22"/>
              </w:rPr>
              <w:t xml:space="preserve"> </w:t>
            </w:r>
          </w:p>
          <w:p w:rsidR="00471B61" w:rsidRPr="000E0CEB" w:rsidRDefault="00477DF1" w:rsidP="0010724C">
            <w:pPr>
              <w:jc w:val="both"/>
              <w:rPr>
                <w:rFonts w:asciiTheme="minorHAnsi" w:hAnsiTheme="minorHAnsi" w:cs="Tahoma"/>
                <w:sz w:val="20"/>
              </w:rPr>
            </w:pPr>
            <w:r w:rsidRPr="000E0CEB">
              <w:rPr>
                <w:rFonts w:asciiTheme="minorHAnsi" w:eastAsia="Calibri" w:hAnsiTheme="minorHAnsi" w:cs="Tahoma"/>
                <w:sz w:val="20"/>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471B61" w:rsidRPr="000E0CEB" w:rsidRDefault="00471B61" w:rsidP="0010724C">
            <w:pPr>
              <w:spacing w:line="276" w:lineRule="auto"/>
              <w:jc w:val="both"/>
              <w:rPr>
                <w:rFonts w:asciiTheme="minorHAnsi" w:eastAsia="Calibri" w:hAnsiTheme="minorHAnsi" w:cs="Tahoma"/>
                <w:szCs w:val="22"/>
              </w:rPr>
            </w:pPr>
          </w:p>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lastRenderedPageBreak/>
              <w:t>Dodatkowo w przypadku projektów o wartości co najmniej 2 mln:</w:t>
            </w:r>
          </w:p>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t>Czy przedstawiono wystarczający opis ryzyka nieosiągnięcia założeń projektu oraz zaplanowanych w ramach projektu działań zaradczych?</w:t>
            </w:r>
          </w:p>
          <w:p w:rsidR="00471B61" w:rsidRPr="000E0CEB" w:rsidRDefault="00477DF1" w:rsidP="0010724C">
            <w:pPr>
              <w:jc w:val="both"/>
              <w:rPr>
                <w:rFonts w:asciiTheme="minorHAnsi" w:hAnsiTheme="minorHAnsi" w:cs="Tahoma"/>
                <w:sz w:val="20"/>
              </w:rPr>
            </w:pPr>
            <w:r w:rsidRPr="000E0CEB">
              <w:rPr>
                <w:rFonts w:asciiTheme="minorHAnsi" w:eastAsia="Calibri" w:hAnsiTheme="minorHAnsi" w:cs="Tahoma"/>
                <w:sz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szCs w:val="22"/>
              </w:rPr>
            </w:pPr>
            <w:r w:rsidRPr="000E0CEB">
              <w:rPr>
                <w:rFonts w:asciiTheme="minorHAnsi" w:eastAsia="Calibri" w:hAnsiTheme="minorHAnsi"/>
                <w:szCs w:val="22"/>
              </w:rPr>
              <w:lastRenderedPageBreak/>
              <w:t>Skala punktowa od 0 do 10</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lastRenderedPageBreak/>
              <w:t>2.</w:t>
            </w:r>
          </w:p>
        </w:tc>
        <w:tc>
          <w:tcPr>
            <w:tcW w:w="2704" w:type="dxa"/>
            <w:shd w:val="clear" w:color="auto" w:fill="auto"/>
            <w:tcMar>
              <w:left w:w="108" w:type="dxa"/>
            </w:tcMar>
            <w:vAlign w:val="center"/>
          </w:tcPr>
          <w:p w:rsidR="00471B61" w:rsidRPr="000E0CEB" w:rsidRDefault="00477DF1" w:rsidP="0010724C">
            <w:pPr>
              <w:snapToGrid w:val="0"/>
              <w:spacing w:line="240" w:lineRule="auto"/>
              <w:rPr>
                <w:rFonts w:asciiTheme="minorHAnsi" w:hAnsiTheme="minorHAnsi" w:cs="Tahoma"/>
                <w:szCs w:val="22"/>
              </w:rPr>
            </w:pPr>
            <w:r w:rsidRPr="000E0CEB">
              <w:rPr>
                <w:rFonts w:asciiTheme="minorHAnsi" w:eastAsia="Calibri" w:hAnsiTheme="minorHAnsi" w:cs="Tahoma"/>
                <w:szCs w:val="22"/>
              </w:rPr>
              <w:t>Kryterium doboru grupy docelowej</w:t>
            </w:r>
          </w:p>
        </w:tc>
        <w:tc>
          <w:tcPr>
            <w:tcW w:w="3870" w:type="dxa"/>
            <w:shd w:val="clear" w:color="auto" w:fill="auto"/>
            <w:tcMar>
              <w:left w:w="108" w:type="dxa"/>
            </w:tcMar>
            <w:vAlign w:val="center"/>
          </w:tcPr>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t>Czy dobór grupy docelowej jest adekwatny do założeń projektu oraz RPO WD 2014-2020, w tym czy zawiera wystarczający opis:</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grupy docelowej, jaka będzie wspierana w ramach projektu;</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potrzeb i oczekiwań uczestników projektu w kontekście wsparcia, które ma być udzielane w ramach projektu;</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barier, na które napotykają uczestnicy projektu;</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skali zainteresowania potencjalnych uczestników projektu;</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sposobu rekrutacji uczestników projektu, w tym kryteriów rekrutacji zapewnienia dostępności rekrutacji dla osób z niepełnosprawnościami?</w:t>
            </w:r>
          </w:p>
          <w:p w:rsidR="00471B61" w:rsidRPr="000E0CEB" w:rsidRDefault="00471B61" w:rsidP="0010724C">
            <w:pPr>
              <w:tabs>
                <w:tab w:val="left" w:pos="358"/>
              </w:tabs>
              <w:ind w:left="53"/>
              <w:jc w:val="both"/>
              <w:rPr>
                <w:rFonts w:asciiTheme="minorHAnsi" w:eastAsia="Calibri" w:hAnsiTheme="minorHAnsi" w:cs="Tahoma"/>
                <w:szCs w:val="22"/>
              </w:rPr>
            </w:pPr>
          </w:p>
          <w:p w:rsidR="00471B61" w:rsidRPr="000E0CEB" w:rsidRDefault="00477DF1" w:rsidP="0010724C">
            <w:pPr>
              <w:spacing w:after="120"/>
              <w:jc w:val="both"/>
              <w:rPr>
                <w:rFonts w:asciiTheme="minorHAnsi" w:hAnsiTheme="minorHAnsi" w:cs="Tahoma"/>
                <w:sz w:val="20"/>
              </w:rPr>
            </w:pPr>
            <w:r w:rsidRPr="000E0CEB">
              <w:rPr>
                <w:rFonts w:asciiTheme="minorHAnsi" w:eastAsia="Calibri" w:hAnsiTheme="minorHAnsi" w:cs="Tahoma"/>
                <w:sz w:val="20"/>
              </w:rPr>
              <w:t xml:space="preserve">Ocena adekwatności polega na weryfikacji, czy wskazana grupa docelowa wpisuje się w grupy docelowe określone w SzOOP RPO WD 2014-2020 oraz czy wskazana grupa wpisuje się w diagnozę sytuacji problemowej, na </w:t>
            </w:r>
            <w:r w:rsidRPr="000E0CEB">
              <w:rPr>
                <w:rFonts w:asciiTheme="minorHAnsi" w:eastAsia="Calibri" w:hAnsiTheme="minorHAnsi" w:cs="Tahoma"/>
                <w:sz w:val="20"/>
              </w:rPr>
              <w:lastRenderedPageBreak/>
              <w:t xml:space="preserve">którą odpowiedź stanowi projekt. </w:t>
            </w:r>
          </w:p>
          <w:p w:rsidR="00471B61" w:rsidRPr="000E0CEB" w:rsidRDefault="00477DF1" w:rsidP="0010724C">
            <w:pPr>
              <w:spacing w:after="120"/>
              <w:jc w:val="both"/>
              <w:rPr>
                <w:rFonts w:asciiTheme="minorHAnsi" w:hAnsiTheme="minorHAnsi" w:cs="Arial"/>
                <w:b/>
                <w:szCs w:val="22"/>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napToGrid w:val="0"/>
              <w:spacing w:line="240" w:lineRule="auto"/>
              <w:jc w:val="center"/>
              <w:rPr>
                <w:rFonts w:asciiTheme="minorHAnsi" w:hAnsiTheme="minorHAnsi" w:cs="Tahoma"/>
                <w:szCs w:val="22"/>
              </w:rPr>
            </w:pPr>
            <w:r w:rsidRPr="000E0CEB">
              <w:rPr>
                <w:rFonts w:asciiTheme="minorHAnsi" w:eastAsia="Calibri" w:hAnsiTheme="minorHAnsi"/>
                <w:szCs w:val="22"/>
              </w:rPr>
              <w:lastRenderedPageBreak/>
              <w:t>Skala punktowa od 0 do 4</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lastRenderedPageBreak/>
              <w:t>3.</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Arial"/>
                <w:szCs w:val="22"/>
              </w:rPr>
            </w:pPr>
            <w:r w:rsidRPr="000E0CEB">
              <w:rPr>
                <w:rFonts w:asciiTheme="minorHAnsi" w:eastAsia="Calibri" w:hAnsiTheme="minorHAnsi" w:cs="Tahoma"/>
                <w:szCs w:val="22"/>
              </w:rPr>
              <w:t>Kryterium trafności działań i racjonalności harmonogramu</w:t>
            </w:r>
          </w:p>
        </w:tc>
        <w:tc>
          <w:tcPr>
            <w:tcW w:w="3870" w:type="dxa"/>
            <w:shd w:val="clear" w:color="auto" w:fill="auto"/>
            <w:tcMar>
              <w:left w:w="108" w:type="dxa"/>
            </w:tcMar>
            <w:vAlign w:val="center"/>
          </w:tcPr>
          <w:p w:rsidR="00471B61" w:rsidRPr="000E0CEB" w:rsidRDefault="00477DF1" w:rsidP="0010724C">
            <w:pPr>
              <w:tabs>
                <w:tab w:val="left" w:pos="358"/>
              </w:tabs>
              <w:ind w:left="53"/>
              <w:jc w:val="both"/>
              <w:rPr>
                <w:rFonts w:asciiTheme="minorHAnsi" w:hAnsiTheme="minorHAnsi" w:cs="Tahoma"/>
                <w:szCs w:val="22"/>
              </w:rPr>
            </w:pPr>
            <w:r w:rsidRPr="000E0CEB">
              <w:rPr>
                <w:rFonts w:asciiTheme="minorHAnsi" w:eastAsia="Calibri" w:hAnsiTheme="minorHAnsi" w:cs="Tahoma"/>
                <w:szCs w:val="22"/>
              </w:rPr>
              <w:t>Czy we wniosku o dofinansowanie projektu przedstawiono wystarczający opis:</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zadań realizowanych w ramach projektu;</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uzasadnienia potrzeby realizacji zadań w kontekście przedstawionej diagnozy;</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cs="Tahoma"/>
                <w:szCs w:val="22"/>
              </w:rPr>
            </w:pPr>
            <w:r w:rsidRPr="000E0CEB">
              <w:rPr>
                <w:rFonts w:asciiTheme="minorHAnsi" w:eastAsia="Calibri" w:hAnsiTheme="minorHAnsi" w:cs="Tahoma"/>
                <w:szCs w:val="22"/>
              </w:rPr>
              <w:t>wartości wskaźników, które zostaną osiągnięte w ramach zadań (jeśli dotyczy);</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b/>
                <w:szCs w:val="22"/>
              </w:rPr>
            </w:pPr>
            <w:r w:rsidRPr="000E0CEB">
              <w:rPr>
                <w:rFonts w:asciiTheme="minorHAnsi" w:eastAsia="Calibri" w:hAnsiTheme="minorHAnsi" w:cs="Tahoma"/>
                <w:szCs w:val="22"/>
              </w:rPr>
              <w:t>roli partnerów w  realizacji poszczególnych zadań jeśli przewidziano ich realizację w ramach partnerstwa wraz z uzasadnieniem (jeśli dotyczy);</w:t>
            </w:r>
          </w:p>
          <w:p w:rsidR="00471B61" w:rsidRPr="000E0CEB" w:rsidRDefault="00477DF1" w:rsidP="0010724C">
            <w:pPr>
              <w:numPr>
                <w:ilvl w:val="0"/>
                <w:numId w:val="21"/>
              </w:numPr>
              <w:tabs>
                <w:tab w:val="left" w:pos="358"/>
              </w:tabs>
              <w:spacing w:before="0" w:line="240" w:lineRule="auto"/>
              <w:ind w:left="53" w:firstLine="0"/>
              <w:jc w:val="both"/>
              <w:rPr>
                <w:rFonts w:asciiTheme="minorHAnsi" w:hAnsiTheme="minorHAnsi"/>
                <w:b/>
                <w:szCs w:val="22"/>
              </w:rPr>
            </w:pPr>
            <w:r w:rsidRPr="000E0CEB">
              <w:rPr>
                <w:rFonts w:asciiTheme="minorHAnsi" w:eastAsia="Calibri" w:hAnsiTheme="minorHAnsi" w:cs="Tahoma"/>
                <w:szCs w:val="22"/>
              </w:rPr>
              <w:t>trwałości i wpływu rezultatów projektu(jeśli dotyczy)?</w:t>
            </w:r>
          </w:p>
          <w:p w:rsidR="00471B61" w:rsidRPr="000E0CEB" w:rsidRDefault="00471B61" w:rsidP="0010724C">
            <w:pPr>
              <w:tabs>
                <w:tab w:val="left" w:pos="358"/>
              </w:tabs>
              <w:ind w:left="53"/>
              <w:jc w:val="both"/>
              <w:rPr>
                <w:rFonts w:asciiTheme="minorHAnsi" w:eastAsia="Calibri" w:hAnsiTheme="minorHAnsi"/>
                <w:b/>
                <w:szCs w:val="22"/>
              </w:rPr>
            </w:pPr>
          </w:p>
          <w:p w:rsidR="00471B61" w:rsidRPr="000E0CEB" w:rsidRDefault="00477DF1" w:rsidP="0010724C">
            <w:pPr>
              <w:spacing w:after="120"/>
              <w:jc w:val="both"/>
              <w:rPr>
                <w:rFonts w:asciiTheme="minorHAnsi" w:hAnsiTheme="minorHAnsi"/>
                <w:szCs w:val="22"/>
              </w:rPr>
            </w:pPr>
            <w:r w:rsidRPr="000E0CEB">
              <w:rPr>
                <w:rFonts w:asciiTheme="minorHAnsi" w:eastAsia="Calibri" w:hAnsiTheme="minorHAnsi"/>
                <w:szCs w:val="22"/>
              </w:rPr>
              <w:t>Czy przedstawiony harmonogram realizacji projektu jest racjonalny w stosunku do przedstawionego zakresu zadań w projekcie?</w:t>
            </w:r>
          </w:p>
          <w:p w:rsidR="00471B61" w:rsidRPr="000E0CEB" w:rsidRDefault="00471B61" w:rsidP="0010724C">
            <w:pPr>
              <w:tabs>
                <w:tab w:val="left" w:pos="358"/>
              </w:tabs>
              <w:jc w:val="both"/>
              <w:rPr>
                <w:rFonts w:asciiTheme="minorHAnsi" w:eastAsia="Calibri" w:hAnsiTheme="minorHAnsi" w:cs="Tahoma"/>
                <w:sz w:val="20"/>
              </w:rPr>
            </w:pPr>
          </w:p>
          <w:p w:rsidR="00471B61" w:rsidRPr="000E0CEB" w:rsidRDefault="00477DF1" w:rsidP="0010724C">
            <w:pPr>
              <w:tabs>
                <w:tab w:val="left" w:pos="358"/>
              </w:tabs>
              <w:jc w:val="both"/>
              <w:rPr>
                <w:rFonts w:asciiTheme="minorHAnsi" w:hAnsiTheme="minorHAnsi"/>
                <w:b/>
                <w:szCs w:val="22"/>
              </w:rPr>
            </w:pPr>
            <w:r w:rsidRPr="000E0CEB">
              <w:rPr>
                <w:rFonts w:asciiTheme="minorHAnsi" w:eastAsia="Calibri" w:hAnsiTheme="minorHAnsi" w:cs="Tahoma"/>
                <w:sz w:val="20"/>
              </w:rPr>
              <w:t>W ramach kryterium IOK dopuszcza możliwość oceny warunkowej</w:t>
            </w:r>
            <w:r w:rsidRPr="000E0CEB">
              <w:rPr>
                <w:rFonts w:asciiTheme="minorHAnsi" w:eastAsia="Calibri" w:hAnsiTheme="minorHAnsi" w:cs="Tahoma"/>
                <w:szCs w:val="22"/>
              </w:rPr>
              <w:t>.</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szCs w:val="22"/>
              </w:rPr>
              <w:t>Skala punktowa od 0 do 10</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t>4.</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Arial"/>
                <w:szCs w:val="22"/>
              </w:rPr>
            </w:pPr>
            <w:r w:rsidRPr="000E0CEB">
              <w:rPr>
                <w:rFonts w:asciiTheme="minorHAnsi" w:eastAsia="Calibri" w:hAnsiTheme="minorHAnsi" w:cs="Tahoma"/>
                <w:szCs w:val="22"/>
              </w:rPr>
              <w:t xml:space="preserve">Kryterium adekwatności sposobu zarządzania oraz posiadanego potencjału </w:t>
            </w:r>
          </w:p>
        </w:tc>
        <w:tc>
          <w:tcPr>
            <w:tcW w:w="3870" w:type="dxa"/>
            <w:shd w:val="clear" w:color="auto" w:fill="auto"/>
            <w:tcMar>
              <w:left w:w="108" w:type="dxa"/>
            </w:tcMar>
            <w:vAlign w:val="center"/>
          </w:tcPr>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 xml:space="preserve">Czy przedstawiony sposób zarządzania projektem jest adekwatny do zakresu projektu? </w:t>
            </w:r>
          </w:p>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podmioty zaangażowane w realizację projektu posiadają odpowiedni potencjał (kadrowy, techniczny, finansowy) do realizacji projektu?</w:t>
            </w:r>
          </w:p>
          <w:p w:rsidR="00471B61" w:rsidRPr="000E0CEB" w:rsidRDefault="00477DF1" w:rsidP="0010724C">
            <w:pPr>
              <w:spacing w:line="240" w:lineRule="auto"/>
              <w:jc w:val="both"/>
              <w:rPr>
                <w:rFonts w:asciiTheme="minorHAnsi" w:hAnsiTheme="minorHAnsi" w:cs="Tahoma"/>
                <w:sz w:val="20"/>
              </w:rPr>
            </w:pPr>
            <w:r w:rsidRPr="000E0CEB">
              <w:rPr>
                <w:rFonts w:asciiTheme="minorHAnsi" w:eastAsia="Calibri" w:hAnsiTheme="minorHAnsi" w:cs="Tahoma"/>
                <w:sz w:val="20"/>
              </w:rPr>
              <w:t xml:space="preserve">Ocenie podlega opis potencjału w kontekście możliwości jego wykorzystania na potrzeby realizacji projektu. </w:t>
            </w:r>
          </w:p>
          <w:p w:rsidR="00471B61" w:rsidRPr="000E0CEB" w:rsidRDefault="00477DF1" w:rsidP="0010724C">
            <w:pPr>
              <w:spacing w:line="240" w:lineRule="auto"/>
              <w:jc w:val="both"/>
              <w:rPr>
                <w:rFonts w:asciiTheme="minorHAnsi" w:hAnsiTheme="minorHAnsi" w:cs="Arial"/>
                <w:b/>
                <w:szCs w:val="22"/>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szCs w:val="22"/>
              </w:rPr>
              <w:t>Skala punktowa od 0 do 8</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t>5.</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Arial"/>
                <w:szCs w:val="22"/>
              </w:rPr>
            </w:pPr>
            <w:r w:rsidRPr="000E0CEB">
              <w:rPr>
                <w:rFonts w:asciiTheme="minorHAnsi" w:eastAsia="Calibri" w:hAnsiTheme="minorHAnsi" w:cs="Tahoma"/>
                <w:szCs w:val="22"/>
              </w:rPr>
              <w:t>Kryterium doświadczenia</w:t>
            </w:r>
          </w:p>
        </w:tc>
        <w:tc>
          <w:tcPr>
            <w:tcW w:w="3870" w:type="dxa"/>
            <w:shd w:val="clear" w:color="auto" w:fill="auto"/>
            <w:tcMar>
              <w:left w:w="108" w:type="dxa"/>
            </w:tcMar>
            <w:vAlign w:val="center"/>
          </w:tcPr>
          <w:p w:rsidR="00471B61" w:rsidRPr="000E0CEB" w:rsidRDefault="00477DF1" w:rsidP="0010724C">
            <w:pPr>
              <w:snapToGrid w:val="0"/>
              <w:jc w:val="both"/>
              <w:rPr>
                <w:rFonts w:asciiTheme="minorHAnsi" w:hAnsiTheme="minorHAnsi" w:cs="Tahoma"/>
                <w:szCs w:val="22"/>
              </w:rPr>
            </w:pPr>
            <w:r w:rsidRPr="000E0CEB">
              <w:rPr>
                <w:rFonts w:asciiTheme="minorHAnsi" w:eastAsia="Calibri" w:hAnsiTheme="minorHAnsi" w:cs="Tahoma"/>
                <w:szCs w:val="22"/>
              </w:rPr>
              <w:t xml:space="preserve">Czy Wnioskodawca lub partnerzy w </w:t>
            </w:r>
            <w:r w:rsidRPr="000E0CEB">
              <w:rPr>
                <w:rFonts w:asciiTheme="minorHAnsi" w:eastAsia="Calibri" w:hAnsiTheme="minorHAnsi" w:cs="Tahoma"/>
                <w:szCs w:val="22"/>
              </w:rPr>
              <w:lastRenderedPageBreak/>
              <w:t>przypadku projektu realizowanego w partnerstwie, posiadają doświadczenie w realizacji przedsięwzięć, w tym przedsięwziąć finansowanych ze środków innych niż środki funduszu UE:</w:t>
            </w:r>
          </w:p>
          <w:p w:rsidR="00471B61" w:rsidRPr="000E0CEB" w:rsidRDefault="00477DF1" w:rsidP="0010724C">
            <w:pPr>
              <w:pStyle w:val="Akapitzlist"/>
              <w:numPr>
                <w:ilvl w:val="0"/>
                <w:numId w:val="22"/>
              </w:numPr>
              <w:snapToGrid w:val="0"/>
              <w:spacing w:before="0" w:line="240" w:lineRule="auto"/>
              <w:ind w:left="313" w:hanging="313"/>
              <w:contextualSpacing/>
              <w:jc w:val="both"/>
              <w:rPr>
                <w:rFonts w:asciiTheme="minorHAnsi" w:hAnsiTheme="minorHAnsi" w:cs="Tahoma"/>
                <w:sz w:val="22"/>
                <w:szCs w:val="22"/>
              </w:rPr>
            </w:pPr>
            <w:r w:rsidRPr="000E0CEB">
              <w:rPr>
                <w:rFonts w:asciiTheme="minorHAnsi" w:eastAsia="Calibri" w:hAnsiTheme="minorHAnsi" w:cs="Tahoma"/>
                <w:sz w:val="22"/>
                <w:szCs w:val="22"/>
              </w:rPr>
              <w:t>w obszarze, w którym udzielane będzie wsparcie przewidziane w ramach projektu,</w:t>
            </w:r>
          </w:p>
          <w:p w:rsidR="00471B61" w:rsidRPr="000E0CEB" w:rsidRDefault="00477DF1" w:rsidP="0010724C">
            <w:pPr>
              <w:pStyle w:val="Akapitzlist"/>
              <w:numPr>
                <w:ilvl w:val="0"/>
                <w:numId w:val="22"/>
              </w:numPr>
              <w:snapToGrid w:val="0"/>
              <w:spacing w:before="0" w:line="240" w:lineRule="auto"/>
              <w:ind w:left="313" w:hanging="313"/>
              <w:contextualSpacing/>
              <w:jc w:val="both"/>
              <w:rPr>
                <w:rFonts w:asciiTheme="minorHAnsi" w:hAnsiTheme="minorHAnsi" w:cs="Tahoma"/>
                <w:sz w:val="22"/>
                <w:szCs w:val="22"/>
              </w:rPr>
            </w:pPr>
            <w:r w:rsidRPr="000E0CEB">
              <w:rPr>
                <w:rFonts w:asciiTheme="minorHAnsi" w:eastAsia="Calibri" w:hAnsiTheme="minorHAnsi" w:cs="Tahoma"/>
                <w:sz w:val="22"/>
                <w:szCs w:val="22"/>
              </w:rPr>
              <w:t>na rzecz grupy docelowej, do której kierowane będzie wsparcie przewidziane w ramach projektu,</w:t>
            </w:r>
          </w:p>
          <w:p w:rsidR="00471B61" w:rsidRPr="000E0CEB" w:rsidRDefault="00477DF1" w:rsidP="0010724C">
            <w:pPr>
              <w:pStyle w:val="Akapitzlist"/>
              <w:numPr>
                <w:ilvl w:val="0"/>
                <w:numId w:val="22"/>
              </w:numPr>
              <w:spacing w:before="0" w:after="120" w:line="240" w:lineRule="auto"/>
              <w:ind w:left="313" w:hanging="313"/>
              <w:contextualSpacing/>
              <w:jc w:val="both"/>
              <w:rPr>
                <w:rFonts w:asciiTheme="minorHAnsi" w:hAnsiTheme="minorHAnsi" w:cs="Arial"/>
                <w:b/>
                <w:sz w:val="22"/>
                <w:szCs w:val="22"/>
              </w:rPr>
            </w:pPr>
            <w:r w:rsidRPr="000E0CEB">
              <w:rPr>
                <w:rFonts w:asciiTheme="minorHAnsi" w:eastAsia="Calibri" w:hAnsiTheme="minorHAnsi" w:cs="Tahoma"/>
                <w:sz w:val="22"/>
                <w:szCs w:val="22"/>
              </w:rPr>
              <w:t>na określonym terytorium, którego dotyczyć będzie realizacja projektu?</w:t>
            </w:r>
          </w:p>
          <w:p w:rsidR="00471B61" w:rsidRPr="000E0CEB" w:rsidRDefault="00477DF1" w:rsidP="0010724C">
            <w:pPr>
              <w:spacing w:after="120"/>
              <w:jc w:val="both"/>
              <w:rPr>
                <w:rFonts w:asciiTheme="minorHAnsi" w:hAnsiTheme="minorHAnsi" w:cs="Arial"/>
                <w:b/>
                <w:sz w:val="20"/>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szCs w:val="22"/>
              </w:rPr>
              <w:lastRenderedPageBreak/>
              <w:t>Skala punktowa od 0 do 8</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lastRenderedPageBreak/>
              <w:t>6.</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Arial"/>
                <w:szCs w:val="22"/>
              </w:rPr>
            </w:pPr>
            <w:r w:rsidRPr="000E0CEB">
              <w:rPr>
                <w:rFonts w:asciiTheme="minorHAnsi" w:eastAsia="Calibri" w:hAnsiTheme="minorHAnsi" w:cs="Tahoma"/>
                <w:szCs w:val="22"/>
              </w:rPr>
              <w:t>Kryterium budżetu projektu</w:t>
            </w:r>
          </w:p>
        </w:tc>
        <w:tc>
          <w:tcPr>
            <w:tcW w:w="3870" w:type="dxa"/>
            <w:shd w:val="clear" w:color="auto" w:fill="auto"/>
            <w:tcMar>
              <w:left w:w="108" w:type="dxa"/>
            </w:tcMar>
            <w:vAlign w:val="center"/>
          </w:tcPr>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wydatki są niezbędne do realizacji projektu i osiągnięcia jego celów?</w:t>
            </w:r>
          </w:p>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budżet projektu został sporządzony w sposób prawidłowy?</w:t>
            </w:r>
          </w:p>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wysokość kosztów przypadających na jednego uczestnika projektu jest adekwatna do zakresu projektu oraz osiągniętych korzyści, a zaplanowane wydatki są racjonalne?</w:t>
            </w:r>
          </w:p>
          <w:p w:rsidR="00471B61" w:rsidRPr="000E0CEB" w:rsidRDefault="00477DF1" w:rsidP="0010724C">
            <w:pPr>
              <w:spacing w:line="240" w:lineRule="auto"/>
              <w:jc w:val="both"/>
              <w:rPr>
                <w:rFonts w:asciiTheme="minorHAnsi" w:hAnsiTheme="minorHAnsi" w:cs="Arial"/>
                <w:b/>
                <w:szCs w:val="22"/>
              </w:rPr>
            </w:pPr>
            <w:r w:rsidRPr="000E0CEB">
              <w:rPr>
                <w:rFonts w:asciiTheme="minorHAnsi" w:eastAsia="Calibri" w:hAnsiTheme="minorHAnsi" w:cs="Tahoma"/>
                <w:szCs w:val="22"/>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b/>
                <w:szCs w:val="22"/>
              </w:rPr>
            </w:pPr>
            <w:r w:rsidRPr="000E0CEB">
              <w:rPr>
                <w:rFonts w:asciiTheme="minorHAnsi" w:eastAsia="Calibri" w:hAnsiTheme="minorHAnsi"/>
                <w:szCs w:val="22"/>
              </w:rPr>
              <w:t>Skala punktowa od 0 do 10</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color w:val="000000"/>
                <w:szCs w:val="22"/>
              </w:rPr>
            </w:pPr>
            <w:r w:rsidRPr="000E0CEB">
              <w:rPr>
                <w:rFonts w:asciiTheme="minorHAnsi" w:eastAsia="Calibri" w:hAnsiTheme="minorHAnsi" w:cs="Arial"/>
                <w:color w:val="000000"/>
                <w:szCs w:val="22"/>
              </w:rPr>
              <w:t>7.</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Tahoma"/>
                <w:color w:val="000000"/>
                <w:szCs w:val="22"/>
              </w:rPr>
            </w:pPr>
            <w:r w:rsidRPr="000E0CEB">
              <w:rPr>
                <w:rFonts w:asciiTheme="minorHAnsi" w:eastAsia="Calibri" w:hAnsiTheme="minorHAnsi" w:cs="Tahoma"/>
                <w:color w:val="000000"/>
                <w:szCs w:val="22"/>
              </w:rPr>
              <w:t>Kryterium zgodności ze standardem usług i katalogiem stawek</w:t>
            </w:r>
          </w:p>
        </w:tc>
        <w:tc>
          <w:tcPr>
            <w:tcW w:w="3870" w:type="dxa"/>
            <w:shd w:val="clear" w:color="auto" w:fill="auto"/>
            <w:tcMar>
              <w:left w:w="108" w:type="dxa"/>
            </w:tcMar>
            <w:vAlign w:val="center"/>
          </w:tcPr>
          <w:p w:rsidR="00471B61" w:rsidRPr="000E0CEB" w:rsidRDefault="00477DF1" w:rsidP="0010724C">
            <w:pPr>
              <w:spacing w:line="240" w:lineRule="auto"/>
              <w:jc w:val="both"/>
              <w:rPr>
                <w:rFonts w:asciiTheme="minorHAnsi" w:hAnsiTheme="minorHAnsi" w:cs="Tahoma"/>
                <w:color w:val="000000"/>
                <w:szCs w:val="22"/>
              </w:rPr>
            </w:pPr>
            <w:r w:rsidRPr="000E0CEB">
              <w:rPr>
                <w:rFonts w:asciiTheme="minorHAnsi" w:eastAsia="Calibri" w:hAnsiTheme="minorHAnsi" w:cs="Tahoma"/>
                <w:color w:val="000000"/>
                <w:szCs w:val="22"/>
              </w:rPr>
              <w:t>Czy zaplanowane w ramach projektu zadania są zgodne z określonym minimalnym standardem usług oraz wydatki są zgodne z katalogiem stawek, określonym dla danego konkursu?</w:t>
            </w:r>
          </w:p>
          <w:p w:rsidR="00471B61" w:rsidRPr="000E0CEB" w:rsidRDefault="00477DF1" w:rsidP="0010724C">
            <w:pPr>
              <w:spacing w:line="240" w:lineRule="auto"/>
              <w:jc w:val="both"/>
              <w:rPr>
                <w:rFonts w:asciiTheme="minorHAnsi" w:hAnsiTheme="minorHAnsi" w:cs="Tahoma"/>
                <w:sz w:val="20"/>
              </w:rPr>
            </w:pPr>
            <w:r w:rsidRPr="000E0CEB">
              <w:rPr>
                <w:rFonts w:asciiTheme="minorHAnsi" w:eastAsia="Calibri" w:hAnsiTheme="minorHAnsi" w:cs="Tahoma"/>
                <w:color w:val="000000"/>
                <w:sz w:val="20"/>
              </w:rPr>
              <w:t xml:space="preserve">W ramach tego kryterium weryfikacji podlega zgodność wydatków zaplanowanych w budżecie projektu z określonym standardem </w:t>
            </w:r>
            <w:r w:rsidRPr="000E0CEB">
              <w:rPr>
                <w:rFonts w:asciiTheme="minorHAnsi" w:eastAsia="Calibri" w:hAnsiTheme="minorHAnsi" w:cs="Tahoma"/>
                <w:color w:val="000000"/>
                <w:sz w:val="20"/>
              </w:rPr>
              <w:lastRenderedPageBreak/>
              <w:t xml:space="preserve">usług oraz katalogiem stawek dopuszczalnych w ramach danego konkursu, który stanowi załącznik do regulaminu konkursu. </w:t>
            </w:r>
            <w:r w:rsidRPr="000E0CEB">
              <w:rPr>
                <w:rFonts w:asciiTheme="minorHAnsi" w:eastAsia="Calibri" w:hAnsiTheme="minorHAnsi" w:cs="Tahoma"/>
                <w:sz w:val="20"/>
              </w:rPr>
              <w:t xml:space="preserve">Kryterium nie dotyczy naborów, dla których nie określono standardu usług oraz katalogu stawek.  </w:t>
            </w:r>
          </w:p>
          <w:p w:rsidR="00471B61" w:rsidRPr="000E0CEB" w:rsidRDefault="00477DF1" w:rsidP="0010724C">
            <w:pPr>
              <w:spacing w:line="240" w:lineRule="auto"/>
              <w:jc w:val="both"/>
              <w:rPr>
                <w:rFonts w:asciiTheme="minorHAnsi" w:hAnsiTheme="minorHAnsi" w:cs="Tahoma"/>
                <w:color w:val="000000"/>
                <w:szCs w:val="22"/>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color w:val="000000"/>
                <w:szCs w:val="22"/>
              </w:rPr>
            </w:pPr>
            <w:r w:rsidRPr="000E0CEB">
              <w:rPr>
                <w:rFonts w:asciiTheme="minorHAnsi" w:eastAsia="Calibri" w:hAnsiTheme="minorHAnsi" w:cs="Tahoma"/>
                <w:color w:val="000000"/>
                <w:szCs w:val="22"/>
              </w:rPr>
              <w:lastRenderedPageBreak/>
              <w:t xml:space="preserve">Tak/Nie/Nie dotyczy </w:t>
            </w:r>
          </w:p>
          <w:p w:rsidR="00471B61" w:rsidRPr="000E0CEB" w:rsidRDefault="00477DF1" w:rsidP="0010724C">
            <w:pPr>
              <w:spacing w:line="240" w:lineRule="auto"/>
              <w:jc w:val="center"/>
              <w:rPr>
                <w:rFonts w:asciiTheme="minorHAnsi" w:hAnsiTheme="minorHAnsi" w:cs="Tahoma"/>
                <w:color w:val="000000"/>
                <w:szCs w:val="22"/>
              </w:rPr>
            </w:pPr>
            <w:r w:rsidRPr="000E0CEB">
              <w:rPr>
                <w:rFonts w:asciiTheme="minorHAnsi" w:eastAsia="Calibri" w:hAnsiTheme="minorHAnsi" w:cs="Tahoma"/>
                <w:szCs w:val="22"/>
              </w:rPr>
              <w:t>(niespełnienie kryterium oznacza odrzucenie wniosku)</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lastRenderedPageBreak/>
              <w:t>8.</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Tahoma"/>
                <w:szCs w:val="22"/>
              </w:rPr>
            </w:pPr>
            <w:r w:rsidRPr="000E0CEB">
              <w:rPr>
                <w:rFonts w:asciiTheme="minorHAnsi" w:eastAsia="Calibri" w:hAnsiTheme="minorHAnsi" w:cs="Tahoma"/>
                <w:szCs w:val="22"/>
              </w:rPr>
              <w:t>Kryterium budżetu projektu</w:t>
            </w:r>
          </w:p>
        </w:tc>
        <w:tc>
          <w:tcPr>
            <w:tcW w:w="3870" w:type="dxa"/>
            <w:shd w:val="clear" w:color="auto" w:fill="auto"/>
            <w:tcMar>
              <w:left w:w="108" w:type="dxa"/>
            </w:tcMar>
            <w:vAlign w:val="center"/>
          </w:tcPr>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wszystkie wydatki są kwalifikowalne?</w:t>
            </w:r>
          </w:p>
          <w:p w:rsidR="00471B61" w:rsidRPr="000E0CEB" w:rsidRDefault="00477DF1" w:rsidP="0010724C">
            <w:pPr>
              <w:spacing w:line="240" w:lineRule="auto"/>
              <w:jc w:val="both"/>
              <w:rPr>
                <w:rFonts w:asciiTheme="minorHAnsi" w:hAnsiTheme="minorHAnsi" w:cs="Tahoma"/>
                <w:sz w:val="20"/>
              </w:rPr>
            </w:pPr>
            <w:r w:rsidRPr="000E0CEB">
              <w:rPr>
                <w:rFonts w:asciiTheme="minorHAnsi" w:eastAsia="Calibri" w:hAnsiTheme="minorHAnsi" w:cs="Tahoma"/>
                <w:sz w:val="20"/>
              </w:rPr>
              <w:t xml:space="preserve">W przypadku zidentyfikowania na etapie oceny projektu wydatków niekwalifikowalnych wniosek uznaje się za niespełniający minimalnych wymagań pozwalających otrzymać dofinansowanie. </w:t>
            </w:r>
          </w:p>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 w:val="20"/>
              </w:rPr>
              <w:t>W ramach kryterium IOK dopuszcza możliwość oceny warunkowej.</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cs="Tahoma"/>
                <w:szCs w:val="22"/>
              </w:rPr>
              <w:t>Tak/Nie</w:t>
            </w:r>
          </w:p>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cs="Tahoma"/>
                <w:szCs w:val="22"/>
              </w:rPr>
              <w:t>(niespełnienie kryterium oznacza odrzucenie wniosku)</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color w:val="000000"/>
                <w:szCs w:val="22"/>
              </w:rPr>
            </w:pPr>
            <w:r w:rsidRPr="000E0CEB">
              <w:rPr>
                <w:rFonts w:asciiTheme="minorHAnsi" w:eastAsia="Calibri" w:hAnsiTheme="minorHAnsi" w:cs="Arial"/>
                <w:szCs w:val="22"/>
              </w:rPr>
              <w:t>9.</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Tahoma"/>
                <w:color w:val="000000"/>
                <w:szCs w:val="22"/>
              </w:rPr>
            </w:pPr>
            <w:r w:rsidRPr="000E0CEB">
              <w:rPr>
                <w:rFonts w:asciiTheme="minorHAnsi" w:eastAsia="Calibri" w:hAnsiTheme="minorHAnsi" w:cs="Tahoma"/>
                <w:szCs w:val="22"/>
              </w:rPr>
              <w:t>Kryterium zgodności z SzOOP</w:t>
            </w:r>
          </w:p>
        </w:tc>
        <w:tc>
          <w:tcPr>
            <w:tcW w:w="3870" w:type="dxa"/>
            <w:shd w:val="clear" w:color="auto" w:fill="auto"/>
            <w:tcMar>
              <w:left w:w="108" w:type="dxa"/>
            </w:tcMar>
            <w:vAlign w:val="center"/>
          </w:tcPr>
          <w:p w:rsidR="00471B61" w:rsidRPr="000E0CEB" w:rsidRDefault="00477DF1" w:rsidP="0010724C">
            <w:pPr>
              <w:spacing w:line="240" w:lineRule="auto"/>
              <w:jc w:val="both"/>
              <w:rPr>
                <w:rFonts w:asciiTheme="minorHAnsi" w:hAnsiTheme="minorHAnsi" w:cs="Tahoma"/>
                <w:szCs w:val="22"/>
              </w:rPr>
            </w:pPr>
            <w:r w:rsidRPr="000E0CEB">
              <w:rPr>
                <w:rFonts w:asciiTheme="minorHAnsi" w:eastAsia="Calibri" w:hAnsiTheme="minorHAnsi" w:cs="Tahoma"/>
                <w:szCs w:val="22"/>
              </w:rPr>
              <w:t>Czy projekt jest zgodny z zapisami SzOOP RPO WD 2014-2020?</w:t>
            </w:r>
          </w:p>
          <w:p w:rsidR="00471B61" w:rsidRPr="000E0CEB" w:rsidRDefault="00477DF1" w:rsidP="0010724C">
            <w:pPr>
              <w:spacing w:after="120" w:line="240" w:lineRule="auto"/>
              <w:jc w:val="both"/>
              <w:rPr>
                <w:rFonts w:asciiTheme="minorHAnsi" w:hAnsiTheme="minorHAnsi" w:cs="Tahoma"/>
                <w:color w:val="000000"/>
                <w:sz w:val="20"/>
              </w:rPr>
            </w:pPr>
            <w:r w:rsidRPr="000E0CEB">
              <w:rPr>
                <w:rFonts w:asciiTheme="minorHAnsi" w:eastAsia="Calibri" w:hAnsiTheme="minorHAnsi" w:cs="Tahoma"/>
                <w:sz w:val="20"/>
              </w:rPr>
              <w:t>Kryterium ma na celu zweryfikować zgodność z zapisami SzOOP</w:t>
            </w:r>
            <w:r w:rsidRPr="000E0CEB">
              <w:rPr>
                <w:rFonts w:asciiTheme="minorHAnsi" w:eastAsia="Calibri" w:hAnsiTheme="minorHAnsi"/>
                <w:sz w:val="20"/>
              </w:rPr>
              <w:t>. Dofinansowania nie może otrzymać projekt, który zakłada realizację działań niezgodnych z zapisami SzOOP. Kryterium jest weryfikowane na podstawie zapisów wniosku o dofinansowanie.</w:t>
            </w:r>
          </w:p>
        </w:tc>
        <w:tc>
          <w:tcPr>
            <w:tcW w:w="2541" w:type="dxa"/>
            <w:shd w:val="clear" w:color="auto" w:fill="auto"/>
            <w:tcMar>
              <w:left w:w="108" w:type="dxa"/>
            </w:tcMar>
            <w:vAlign w:val="center"/>
          </w:tcPr>
          <w:p w:rsidR="00471B61" w:rsidRPr="000E0CEB" w:rsidRDefault="00477DF1" w:rsidP="0010724C">
            <w:pPr>
              <w:spacing w:after="120" w:line="240" w:lineRule="auto"/>
              <w:jc w:val="center"/>
              <w:rPr>
                <w:rFonts w:asciiTheme="minorHAnsi" w:hAnsiTheme="minorHAnsi" w:cs="Tahoma"/>
                <w:szCs w:val="22"/>
              </w:rPr>
            </w:pPr>
            <w:r w:rsidRPr="000E0CEB">
              <w:rPr>
                <w:rFonts w:asciiTheme="minorHAnsi" w:eastAsia="Calibri" w:hAnsiTheme="minorHAnsi" w:cs="Tahoma"/>
                <w:szCs w:val="22"/>
              </w:rPr>
              <w:t>Tak/Nie</w:t>
            </w:r>
          </w:p>
          <w:p w:rsidR="00471B61" w:rsidRPr="000E0CEB" w:rsidRDefault="00477DF1" w:rsidP="0010724C">
            <w:pPr>
              <w:spacing w:line="240" w:lineRule="auto"/>
              <w:jc w:val="center"/>
              <w:rPr>
                <w:rFonts w:asciiTheme="minorHAnsi" w:hAnsiTheme="minorHAnsi" w:cs="Tahoma"/>
                <w:color w:val="000000"/>
                <w:szCs w:val="22"/>
              </w:rPr>
            </w:pPr>
            <w:r w:rsidRPr="000E0CEB">
              <w:rPr>
                <w:rFonts w:asciiTheme="minorHAnsi" w:eastAsia="Calibri" w:hAnsiTheme="minorHAnsi" w:cs="Tahoma"/>
                <w:szCs w:val="22"/>
              </w:rPr>
              <w:t>(niespełnienie kryterium oznacza odrzucenie wniosku)</w:t>
            </w:r>
          </w:p>
        </w:tc>
      </w:tr>
      <w:tr w:rsidR="00471B61" w:rsidRPr="000E0CEB" w:rsidTr="0010724C">
        <w:trPr>
          <w:trHeight w:val="432"/>
        </w:trPr>
        <w:tc>
          <w:tcPr>
            <w:tcW w:w="604"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Arial"/>
                <w:szCs w:val="22"/>
              </w:rPr>
            </w:pPr>
            <w:r w:rsidRPr="000E0CEB">
              <w:rPr>
                <w:rFonts w:asciiTheme="minorHAnsi" w:eastAsia="Calibri" w:hAnsiTheme="minorHAnsi" w:cs="Arial"/>
                <w:szCs w:val="22"/>
              </w:rPr>
              <w:t>10.</w:t>
            </w:r>
          </w:p>
        </w:tc>
        <w:tc>
          <w:tcPr>
            <w:tcW w:w="2704" w:type="dxa"/>
            <w:shd w:val="clear" w:color="auto" w:fill="auto"/>
            <w:tcMar>
              <w:left w:w="108" w:type="dxa"/>
            </w:tcMar>
            <w:vAlign w:val="center"/>
          </w:tcPr>
          <w:p w:rsidR="00471B61" w:rsidRPr="000E0CEB" w:rsidRDefault="00477DF1" w:rsidP="0010724C">
            <w:pPr>
              <w:spacing w:line="240" w:lineRule="auto"/>
              <w:rPr>
                <w:rFonts w:asciiTheme="minorHAnsi" w:hAnsiTheme="minorHAnsi" w:cs="Arial"/>
                <w:szCs w:val="22"/>
              </w:rPr>
            </w:pPr>
            <w:r w:rsidRPr="000E0CEB">
              <w:rPr>
                <w:rFonts w:asciiTheme="minorHAnsi" w:eastAsia="Calibri" w:hAnsiTheme="minorHAnsi" w:cs="Tahoma"/>
                <w:szCs w:val="22"/>
              </w:rPr>
              <w:t>Kryterium spełnienia minimalnych wymagań</w:t>
            </w:r>
          </w:p>
        </w:tc>
        <w:tc>
          <w:tcPr>
            <w:tcW w:w="3870" w:type="dxa"/>
            <w:shd w:val="clear" w:color="auto" w:fill="auto"/>
            <w:tcMar>
              <w:left w:w="108" w:type="dxa"/>
            </w:tcMar>
            <w:vAlign w:val="center"/>
          </w:tcPr>
          <w:p w:rsidR="00471B61" w:rsidRPr="000E0CEB" w:rsidRDefault="00477DF1" w:rsidP="0010724C">
            <w:pPr>
              <w:jc w:val="both"/>
              <w:rPr>
                <w:rFonts w:asciiTheme="minorHAnsi" w:hAnsiTheme="minorHAnsi" w:cs="Tahoma"/>
                <w:szCs w:val="22"/>
              </w:rPr>
            </w:pPr>
            <w:r w:rsidRPr="000E0CEB">
              <w:rPr>
                <w:rFonts w:asciiTheme="minorHAnsi" w:eastAsia="Calibri" w:hAnsiTheme="minorHAnsi" w:cs="Tahoma"/>
                <w:szCs w:val="22"/>
              </w:rPr>
              <w:t>Czy wniosek otrzymał:</w:t>
            </w:r>
          </w:p>
          <w:p w:rsidR="00471B61" w:rsidRPr="000E0CEB" w:rsidRDefault="00477DF1" w:rsidP="0010724C">
            <w:pPr>
              <w:pStyle w:val="Akapitzlist"/>
              <w:numPr>
                <w:ilvl w:val="0"/>
                <w:numId w:val="51"/>
              </w:numPr>
              <w:spacing w:before="0" w:line="240" w:lineRule="auto"/>
              <w:ind w:left="200" w:hanging="200"/>
              <w:contextualSpacing/>
              <w:jc w:val="both"/>
              <w:rPr>
                <w:rFonts w:asciiTheme="minorHAnsi" w:hAnsiTheme="minorHAnsi" w:cs="Tahoma"/>
                <w:sz w:val="22"/>
                <w:szCs w:val="22"/>
              </w:rPr>
            </w:pPr>
            <w:r w:rsidRPr="000E0CEB">
              <w:rPr>
                <w:rFonts w:asciiTheme="minorHAnsi" w:eastAsia="Calibri" w:hAnsiTheme="minorHAnsi" w:cs="Tahoma"/>
                <w:sz w:val="22"/>
                <w:szCs w:val="22"/>
              </w:rPr>
              <w:t>wymagane minimum 50 punktów ogółem (łącznie za spełnienie kryteriów oceny merytorycznej oraz kryteriów oceny zgodności projektów ze Strategią ZIT) oraz</w:t>
            </w:r>
          </w:p>
          <w:p w:rsidR="00471B61" w:rsidRPr="000E0CEB" w:rsidRDefault="00477DF1" w:rsidP="0010724C">
            <w:pPr>
              <w:pStyle w:val="Akapitzlist"/>
              <w:numPr>
                <w:ilvl w:val="0"/>
                <w:numId w:val="51"/>
              </w:numPr>
              <w:spacing w:before="0" w:line="240" w:lineRule="auto"/>
              <w:ind w:left="200" w:hanging="200"/>
              <w:contextualSpacing/>
              <w:jc w:val="both"/>
              <w:rPr>
                <w:rFonts w:asciiTheme="minorHAnsi" w:hAnsiTheme="minorHAnsi" w:cs="Tahoma"/>
                <w:sz w:val="22"/>
                <w:szCs w:val="22"/>
              </w:rPr>
            </w:pPr>
            <w:r w:rsidRPr="000E0CEB">
              <w:rPr>
                <w:rFonts w:asciiTheme="minorHAnsi" w:eastAsia="Calibri" w:hAnsiTheme="minorHAnsi" w:cs="Tahoma"/>
                <w:sz w:val="22"/>
                <w:szCs w:val="22"/>
              </w:rPr>
              <w:t>co najmniej 50% punktów w poszczególnych kryteriach merytorycznych oraz</w:t>
            </w:r>
          </w:p>
          <w:p w:rsidR="00471B61" w:rsidRPr="000E0CEB" w:rsidRDefault="00477DF1" w:rsidP="0010724C">
            <w:pPr>
              <w:pStyle w:val="Akapitzlist"/>
              <w:numPr>
                <w:ilvl w:val="0"/>
                <w:numId w:val="51"/>
              </w:numPr>
              <w:spacing w:before="0" w:line="240" w:lineRule="auto"/>
              <w:ind w:left="200" w:hanging="200"/>
              <w:contextualSpacing/>
              <w:jc w:val="both"/>
              <w:rPr>
                <w:rFonts w:asciiTheme="minorHAnsi" w:hAnsiTheme="minorHAnsi" w:cs="Tahoma"/>
                <w:sz w:val="22"/>
                <w:szCs w:val="22"/>
              </w:rPr>
            </w:pPr>
            <w:r w:rsidRPr="000E0CEB">
              <w:rPr>
                <w:rFonts w:asciiTheme="minorHAnsi" w:eastAsia="Calibri" w:hAnsiTheme="minorHAnsi" w:cs="Tahoma"/>
                <w:sz w:val="22"/>
                <w:szCs w:val="22"/>
              </w:rPr>
              <w:t>pozytywną ocenę za spełnienie kryteriów nr 7, 8 i 9?</w:t>
            </w:r>
          </w:p>
        </w:tc>
        <w:tc>
          <w:tcPr>
            <w:tcW w:w="2541" w:type="dxa"/>
            <w:shd w:val="clear" w:color="auto" w:fill="auto"/>
            <w:tcMar>
              <w:left w:w="108" w:type="dxa"/>
            </w:tcMar>
            <w:vAlign w:val="center"/>
          </w:tcPr>
          <w:p w:rsidR="00471B61" w:rsidRPr="000E0CEB" w:rsidRDefault="00477DF1" w:rsidP="0010724C">
            <w:pPr>
              <w:spacing w:line="240" w:lineRule="auto"/>
              <w:jc w:val="center"/>
              <w:rPr>
                <w:rFonts w:asciiTheme="minorHAnsi" w:hAnsiTheme="minorHAnsi" w:cs="Tahoma"/>
                <w:szCs w:val="22"/>
              </w:rPr>
            </w:pPr>
            <w:r w:rsidRPr="000E0CEB">
              <w:rPr>
                <w:rFonts w:asciiTheme="minorHAnsi" w:eastAsia="Calibri" w:hAnsiTheme="minorHAnsi" w:cs="Tahoma"/>
                <w:szCs w:val="22"/>
              </w:rPr>
              <w:t>Tak/Nie</w:t>
            </w:r>
          </w:p>
          <w:p w:rsidR="00471B61" w:rsidRPr="000E0CEB" w:rsidRDefault="00477DF1" w:rsidP="0010724C">
            <w:pPr>
              <w:spacing w:line="240" w:lineRule="auto"/>
              <w:jc w:val="center"/>
              <w:rPr>
                <w:rFonts w:asciiTheme="minorHAnsi" w:hAnsiTheme="minorHAnsi" w:cs="Arial"/>
                <w:b/>
                <w:szCs w:val="22"/>
              </w:rPr>
            </w:pPr>
            <w:r w:rsidRPr="000E0CEB">
              <w:rPr>
                <w:rFonts w:asciiTheme="minorHAnsi" w:eastAsia="Calibri" w:hAnsiTheme="minorHAnsi" w:cs="Tahoma"/>
                <w:szCs w:val="22"/>
              </w:rPr>
              <w:t>(niespełnienie kryterium oznacza odrzucenie wniosku)</w:t>
            </w:r>
          </w:p>
        </w:tc>
      </w:tr>
    </w:tbl>
    <w:p w:rsidR="00471B61" w:rsidRPr="000E0CEB" w:rsidRDefault="00477DF1">
      <w:pPr>
        <w:rPr>
          <w:rFonts w:asciiTheme="minorHAnsi" w:hAnsiTheme="minorHAnsi"/>
          <w:b/>
          <w:szCs w:val="22"/>
        </w:rPr>
      </w:pPr>
      <w:r w:rsidRPr="000E0CEB">
        <w:rPr>
          <w:rFonts w:asciiTheme="minorHAnsi" w:hAnsiTheme="minorHAnsi"/>
          <w:b/>
          <w:szCs w:val="22"/>
        </w:rPr>
        <w:t>Kryteria oceny zgodności projektów ze Strategią ZIT AJ</w:t>
      </w:r>
    </w:p>
    <w:p w:rsidR="00471B61" w:rsidRPr="000E0CEB" w:rsidRDefault="00477DF1">
      <w:pPr>
        <w:ind w:right="411"/>
        <w:jc w:val="both"/>
        <w:rPr>
          <w:rFonts w:asciiTheme="minorHAnsi" w:hAnsiTheme="minorHAnsi" w:cs="Arial"/>
          <w:szCs w:val="22"/>
        </w:rPr>
      </w:pPr>
      <w:r w:rsidRPr="000E0CEB">
        <w:rPr>
          <w:rFonts w:asciiTheme="minorHAnsi" w:eastAsia="Calibri" w:hAnsiTheme="minorHAnsi" w:cs="Arial"/>
          <w:szCs w:val="22"/>
          <w:lang w:eastAsia="en-US"/>
        </w:rPr>
        <w:t>Kryterium jest weryfikowane na podstawie zapisów wniosku o dofinansowanie projektu.</w:t>
      </w:r>
      <w:r w:rsidRPr="000E0CEB">
        <w:rPr>
          <w:rFonts w:asciiTheme="minorHAnsi" w:hAnsiTheme="minorHAnsi" w:cs="Arial"/>
          <w:szCs w:val="22"/>
        </w:rPr>
        <w:t xml:space="preserve"> Nie wyklucza to wykorzystania w ocenie spełnienia kryteriów informacji udzielonych przez Wnioskodawcę lub pozyskanych na temat Wnioskodawcy lub projektu.</w:t>
      </w:r>
    </w:p>
    <w:p w:rsidR="00471B61" w:rsidRPr="000E0CEB" w:rsidRDefault="00477DF1">
      <w:pPr>
        <w:spacing w:line="240" w:lineRule="auto"/>
        <w:ind w:right="411"/>
        <w:jc w:val="both"/>
        <w:rPr>
          <w:rFonts w:asciiTheme="minorHAnsi" w:hAnsiTheme="minorHAnsi" w:cs="Arial"/>
          <w:szCs w:val="22"/>
        </w:rPr>
      </w:pPr>
      <w:r w:rsidRPr="000E0CEB">
        <w:rPr>
          <w:rFonts w:asciiTheme="minorHAnsi" w:hAnsiTheme="minorHAnsi" w:cs="Arial"/>
          <w:szCs w:val="22"/>
        </w:rPr>
        <w:t>Założenia ogólne: liczba możliwych do zdobycia punktów została określona w tabelach poniżej. Ostatecznie będzie stanowić 50% wszystkich możliwych do zdobycia punktów podczas całego procesu oceny.</w:t>
      </w:r>
    </w:p>
    <w:p w:rsidR="00471B61" w:rsidRPr="000E0CEB" w:rsidRDefault="00477DF1">
      <w:pPr>
        <w:spacing w:line="240" w:lineRule="auto"/>
        <w:jc w:val="center"/>
        <w:rPr>
          <w:rFonts w:asciiTheme="minorHAnsi" w:hAnsiTheme="minorHAnsi" w:cs="Arial"/>
          <w:b/>
          <w:szCs w:val="22"/>
          <w:u w:val="single"/>
        </w:rPr>
      </w:pPr>
      <w:r w:rsidRPr="000E0CEB">
        <w:rPr>
          <w:rFonts w:asciiTheme="minorHAnsi" w:hAnsiTheme="minorHAnsi" w:cs="Arial"/>
          <w:b/>
          <w:szCs w:val="22"/>
        </w:rPr>
        <w:t xml:space="preserve">   </w:t>
      </w:r>
      <w:r w:rsidRPr="000E0CEB">
        <w:rPr>
          <w:rFonts w:asciiTheme="minorHAnsi" w:hAnsiTheme="minorHAnsi" w:cs="Arial"/>
          <w:b/>
          <w:szCs w:val="22"/>
          <w:u w:val="single"/>
        </w:rPr>
        <w:t>I sekcja – ocena ogólna</w:t>
      </w:r>
    </w:p>
    <w:tbl>
      <w:tblPr>
        <w:tblW w:w="48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2"/>
        <w:gridCol w:w="2068"/>
        <w:gridCol w:w="2450"/>
        <w:gridCol w:w="3269"/>
        <w:gridCol w:w="1210"/>
      </w:tblGrid>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b/>
                <w:szCs w:val="22"/>
              </w:rPr>
            </w:pPr>
            <w:r w:rsidRPr="000E0CEB">
              <w:rPr>
                <w:rFonts w:asciiTheme="minorHAnsi" w:hAnsiTheme="minorHAnsi" w:cs="Arial"/>
                <w:b/>
                <w:szCs w:val="22"/>
              </w:rPr>
              <w:t>Lp.</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b/>
                <w:szCs w:val="22"/>
              </w:rPr>
            </w:pPr>
            <w:r w:rsidRPr="000E0CEB">
              <w:rPr>
                <w:rFonts w:asciiTheme="minorHAnsi" w:hAnsiTheme="minorHAnsi" w:cs="Arial"/>
                <w:b/>
                <w:szCs w:val="22"/>
              </w:rPr>
              <w:t>Nazwa kryterium</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b/>
                <w:szCs w:val="22"/>
              </w:rPr>
            </w:pPr>
            <w:r w:rsidRPr="000E0CEB">
              <w:rPr>
                <w:rFonts w:asciiTheme="minorHAnsi" w:hAnsiTheme="minorHAnsi" w:cs="Arial"/>
                <w:b/>
                <w:szCs w:val="22"/>
              </w:rPr>
              <w:t xml:space="preserve">Definicja kryterium </w:t>
            </w:r>
          </w:p>
          <w:p w:rsidR="00471B61" w:rsidRPr="000E0CEB" w:rsidRDefault="00471B61">
            <w:pPr>
              <w:spacing w:line="240" w:lineRule="auto"/>
              <w:jc w:val="both"/>
              <w:rPr>
                <w:rFonts w:asciiTheme="minorHAnsi" w:hAnsiTheme="minorHAnsi" w:cs="Arial"/>
                <w:b/>
                <w:szCs w:val="22"/>
              </w:rPr>
            </w:pP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lastRenderedPageBreak/>
              <w:t xml:space="preserve">Opis znaczenia kryterium </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 xml:space="preserve">Waga </w:t>
            </w:r>
            <w:r w:rsidRPr="000E0CEB">
              <w:rPr>
                <w:rFonts w:asciiTheme="minorHAnsi" w:hAnsiTheme="minorHAnsi" w:cs="Arial"/>
                <w:b/>
                <w:szCs w:val="22"/>
              </w:rPr>
              <w:lastRenderedPageBreak/>
              <w:t xml:space="preserve">kryterium % </w:t>
            </w:r>
          </w:p>
        </w:tc>
      </w:tr>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lastRenderedPageBreak/>
              <w:t>1</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Ocena zgodności projektu ze Strategią ZIT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Weryfikacja czy projekt wpisuje się w Strategię ZIT</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TAK/NIE</w:t>
            </w:r>
          </w:p>
          <w:p w:rsidR="00471B61" w:rsidRPr="000E0CEB" w:rsidRDefault="00471B61">
            <w:pPr>
              <w:spacing w:line="240" w:lineRule="auto"/>
              <w:jc w:val="center"/>
              <w:rPr>
                <w:rFonts w:asciiTheme="minorHAnsi" w:hAnsiTheme="minorHAnsi" w:cs="Arial"/>
                <w:szCs w:val="22"/>
              </w:rPr>
            </w:pPr>
          </w:p>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Kryterium obligatoryjne (kluczowe) – niespełnienie oznacza odrzucenia wniosku</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n/d</w:t>
            </w:r>
          </w:p>
        </w:tc>
      </w:tr>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t>2</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Poprawność doboru wskaźników</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 xml:space="preserve">W ramach kryterium będzie sprawdzane czy wybrane wskaźniki produktu i rezultatu odzwierciedlają zakres rzeczowy projektu, </w:t>
            </w:r>
            <w:r w:rsidRPr="000E0CEB">
              <w:rPr>
                <w:rFonts w:asciiTheme="minorHAnsi" w:hAnsiTheme="minorHAnsi" w:cs="Arial"/>
                <w:szCs w:val="22"/>
              </w:rPr>
              <w:br/>
              <w:t>a założone do osiągnięcia wartości są realne do osiągnięcia (nie zostały sztucznie zawyżone lub zaniżone)</w:t>
            </w:r>
          </w:p>
          <w:p w:rsidR="00471B61" w:rsidRPr="000E0CEB" w:rsidRDefault="00477DF1">
            <w:pPr>
              <w:spacing w:line="240" w:lineRule="auto"/>
              <w:rPr>
                <w:rFonts w:asciiTheme="minorHAnsi" w:hAnsiTheme="minorHAnsi" w:cs="Arial"/>
                <w:sz w:val="20"/>
                <w:u w:val="single"/>
              </w:rPr>
            </w:pPr>
            <w:r w:rsidRPr="000E0CEB">
              <w:rPr>
                <w:rFonts w:asciiTheme="minorHAnsi" w:hAnsiTheme="minorHAnsi" w:cs="Arial"/>
                <w:sz w:val="20"/>
                <w:u w:val="single"/>
              </w:rPr>
              <w:t>Kryterium dotyczy wyłącznie wskaźników zapisanych w Strategii ZIT</w:t>
            </w:r>
            <w:r w:rsidRPr="000E0CEB">
              <w:rPr>
                <w:rFonts w:asciiTheme="minorHAnsi" w:hAnsiTheme="minorHAnsi" w:cs="Arial"/>
                <w:sz w:val="20"/>
              </w:rPr>
              <w:t xml:space="preserve"> wynikających z Porozumienia</w:t>
            </w:r>
            <w:r w:rsidRPr="000E0CEB">
              <w:rPr>
                <w:rStyle w:val="Zakotwiczenieprzypisudolnego"/>
                <w:rFonts w:asciiTheme="minorHAnsi" w:hAnsiTheme="minorHAnsi" w:cs="Arial"/>
                <w:sz w:val="20"/>
              </w:rPr>
              <w:footnoteReference w:id="7"/>
            </w:r>
            <w:r w:rsidRPr="000E0CEB">
              <w:rPr>
                <w:rFonts w:asciiTheme="minorHAnsi" w:hAnsiTheme="minorHAnsi" w:cs="Arial"/>
                <w:sz w:val="20"/>
                <w:u w:val="single"/>
              </w:rPr>
              <w:t>.</w:t>
            </w:r>
          </w:p>
          <w:p w:rsidR="00471B61" w:rsidRPr="000E0CEB" w:rsidRDefault="00477DF1" w:rsidP="000C3423">
            <w:pPr>
              <w:jc w:val="both"/>
              <w:rPr>
                <w:rFonts w:asciiTheme="minorHAnsi" w:hAnsiTheme="minorHAnsi" w:cs="Arial"/>
                <w:szCs w:val="22"/>
                <w:u w:val="single"/>
              </w:rPr>
            </w:pPr>
            <w:r w:rsidRPr="000E0CEB">
              <w:rPr>
                <w:rFonts w:asciiTheme="minorHAnsi" w:hAnsiTheme="minorHAnsi"/>
                <w:sz w:val="20"/>
              </w:rPr>
              <w:t>Kryterium dotyczy wyłącznie projektów, które realizują wskaźniki dla których w Porozumieniu określono wartości docelowe.</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TAK/NIE</w:t>
            </w:r>
          </w:p>
          <w:p w:rsidR="00471B61" w:rsidRPr="000E0CEB" w:rsidRDefault="00471B61">
            <w:pPr>
              <w:spacing w:line="240" w:lineRule="auto"/>
              <w:jc w:val="center"/>
              <w:rPr>
                <w:rFonts w:asciiTheme="minorHAnsi" w:hAnsiTheme="minorHAnsi" w:cs="Arial"/>
                <w:szCs w:val="22"/>
              </w:rPr>
            </w:pPr>
          </w:p>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 xml:space="preserve">Kryterium obligatoryjne (kluczowe) – niespełnienie oznacza odrzucenia wniosku </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u w:val="single"/>
              </w:rPr>
              <w:t>n/d</w:t>
            </w:r>
          </w:p>
        </w:tc>
      </w:tr>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t>3</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Wpływ projektu na realizację Strategii ZIT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Tahoma"/>
                <w:szCs w:val="22"/>
              </w:rPr>
              <w:t xml:space="preserve">Weryfikowany będzie faktyczny wpływ przedsięwzięcia na minimalizację negatywnych zjawisk  opisanych w  Strategii ZIT oraz faktyczny wpływ projektu na realizację zamierzeń strategicznych ZIT. Sprawdzana  będzie zbieżność zapisów dokumentacji </w:t>
            </w:r>
            <w:r w:rsidRPr="000E0CEB">
              <w:rPr>
                <w:rFonts w:asciiTheme="minorHAnsi" w:hAnsiTheme="minorHAnsi" w:cs="Tahoma"/>
                <w:szCs w:val="22"/>
              </w:rPr>
              <w:lastRenderedPageBreak/>
              <w:t>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lastRenderedPageBreak/>
              <w:t>Kryterium punktowe</w:t>
            </w:r>
          </w:p>
          <w:p w:rsidR="00471B61" w:rsidRPr="000E0CEB" w:rsidRDefault="00471B61">
            <w:pPr>
              <w:spacing w:line="240" w:lineRule="auto"/>
              <w:jc w:val="center"/>
              <w:rPr>
                <w:rFonts w:asciiTheme="minorHAnsi" w:hAnsiTheme="minorHAnsi" w:cs="Arial"/>
                <w:szCs w:val="22"/>
              </w:rPr>
            </w:pPr>
          </w:p>
          <w:p w:rsidR="00471B61" w:rsidRPr="000E0CEB" w:rsidRDefault="00477DF1">
            <w:pPr>
              <w:spacing w:before="0" w:after="240" w:line="240" w:lineRule="auto"/>
              <w:jc w:val="center"/>
              <w:rPr>
                <w:rFonts w:asciiTheme="minorHAnsi" w:hAnsiTheme="minorHAnsi"/>
              </w:rPr>
            </w:pPr>
            <w:r w:rsidRPr="000E0CEB">
              <w:rPr>
                <w:rFonts w:asciiTheme="minorHAnsi" w:hAnsiTheme="minorHAnsi" w:cs="Arial"/>
                <w:szCs w:val="22"/>
              </w:rPr>
              <w:t>skala punktowa od 0 do 25 pkt</w:t>
            </w:r>
          </w:p>
          <w:p w:rsidR="00471B61" w:rsidRPr="000E0CEB" w:rsidRDefault="00477DF1">
            <w:pPr>
              <w:spacing w:before="0" w:after="240" w:line="240" w:lineRule="auto"/>
              <w:jc w:val="center"/>
              <w:rPr>
                <w:rFonts w:asciiTheme="minorHAnsi" w:hAnsiTheme="minorHAnsi" w:cs="Arial"/>
                <w:szCs w:val="22"/>
              </w:rPr>
            </w:pPr>
            <w:r w:rsidRPr="000E0CEB">
              <w:rPr>
                <w:rFonts w:asciiTheme="minorHAnsi" w:hAnsiTheme="minorHAnsi" w:cs="Arial"/>
                <w:szCs w:val="22"/>
              </w:rPr>
              <w:t xml:space="preserve"> </w:t>
            </w:r>
          </w:p>
          <w:p w:rsidR="00471B61" w:rsidRPr="000E0CEB" w:rsidRDefault="00471B61">
            <w:pPr>
              <w:spacing w:before="0" w:after="240" w:line="240" w:lineRule="auto"/>
              <w:rPr>
                <w:rFonts w:asciiTheme="minorHAnsi" w:hAnsiTheme="minorHAnsi" w:cs="Arial"/>
                <w:szCs w:val="22"/>
              </w:rPr>
            </w:pPr>
          </w:p>
          <w:p w:rsidR="00471B61" w:rsidRPr="000E0CEB" w:rsidRDefault="00471B61">
            <w:pPr>
              <w:spacing w:line="240" w:lineRule="auto"/>
              <w:jc w:val="center"/>
              <w:rPr>
                <w:rFonts w:asciiTheme="minorHAnsi" w:hAnsiTheme="minorHAnsi" w:cs="Arial"/>
                <w:szCs w:val="22"/>
              </w:rPr>
            </w:pPr>
          </w:p>
          <w:p w:rsidR="00471B61" w:rsidRPr="000E0CEB" w:rsidRDefault="00471B61">
            <w:pPr>
              <w:spacing w:line="240" w:lineRule="auto"/>
              <w:jc w:val="center"/>
              <w:rPr>
                <w:rFonts w:asciiTheme="minorHAnsi" w:hAnsiTheme="minorHAnsi" w:cs="Arial"/>
                <w:szCs w:val="22"/>
              </w:rPr>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50%</w:t>
            </w:r>
          </w:p>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(25 pkt)</w:t>
            </w:r>
          </w:p>
        </w:tc>
      </w:tr>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lastRenderedPageBreak/>
              <w:t>4</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Wpływ realizacji projektu na realizację wartości docelowej wskaźników monitoringu realizacji celów Strategii ZIT wynikających z Porozumienia</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Tahoma"/>
                <w:szCs w:val="22"/>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Kryterium punktowe</w:t>
            </w:r>
          </w:p>
          <w:p w:rsidR="00471B61" w:rsidRPr="000E0CEB" w:rsidRDefault="00471B61">
            <w:pPr>
              <w:spacing w:line="240" w:lineRule="auto"/>
              <w:jc w:val="center"/>
              <w:rPr>
                <w:rFonts w:asciiTheme="minorHAnsi" w:hAnsiTheme="minorHAnsi" w:cs="Arial"/>
                <w:szCs w:val="22"/>
              </w:rPr>
            </w:pPr>
          </w:p>
          <w:p w:rsidR="00471B61" w:rsidRPr="000E0CEB" w:rsidRDefault="00477DF1">
            <w:pPr>
              <w:spacing w:before="0" w:after="240" w:line="240" w:lineRule="auto"/>
              <w:jc w:val="center"/>
              <w:rPr>
                <w:rFonts w:asciiTheme="minorHAnsi" w:hAnsiTheme="minorHAnsi"/>
              </w:rPr>
            </w:pPr>
            <w:r w:rsidRPr="000E0CEB">
              <w:rPr>
                <w:rFonts w:asciiTheme="minorHAnsi" w:hAnsiTheme="minorHAnsi" w:cs="Arial"/>
                <w:szCs w:val="22"/>
              </w:rPr>
              <w:t>skala punktowa od  0 do 20 pkt</w:t>
            </w:r>
          </w:p>
          <w:p w:rsidR="00471B61" w:rsidRPr="000E0CEB" w:rsidRDefault="00471B61">
            <w:pPr>
              <w:spacing w:before="0" w:after="240" w:line="240" w:lineRule="auto"/>
              <w:jc w:val="center"/>
              <w:rPr>
                <w:rFonts w:asciiTheme="minorHAnsi" w:hAnsiTheme="minorHAnsi" w:cs="Arial"/>
                <w:szCs w:val="22"/>
              </w:rPr>
            </w:pPr>
          </w:p>
          <w:p w:rsidR="00471B61" w:rsidRPr="000E0CEB" w:rsidRDefault="00471B61">
            <w:pPr>
              <w:spacing w:line="240" w:lineRule="auto"/>
              <w:jc w:val="center"/>
              <w:rPr>
                <w:rFonts w:asciiTheme="minorHAnsi" w:hAnsiTheme="minorHAnsi" w:cs="Arial"/>
                <w:szCs w:val="22"/>
              </w:rPr>
            </w:pPr>
          </w:p>
          <w:p w:rsidR="00471B61" w:rsidRPr="000E0CEB" w:rsidRDefault="00471B61">
            <w:pPr>
              <w:spacing w:line="240" w:lineRule="auto"/>
              <w:jc w:val="center"/>
              <w:rPr>
                <w:rFonts w:asciiTheme="minorHAnsi" w:hAnsiTheme="minorHAnsi" w:cs="Arial"/>
                <w:szCs w:val="22"/>
              </w:rPr>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40%</w:t>
            </w:r>
          </w:p>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(20 pkt)</w:t>
            </w:r>
          </w:p>
        </w:tc>
      </w:tr>
      <w:tr w:rsidR="00471B61" w:rsidRPr="000E0CEB">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t>5</w:t>
            </w:r>
          </w:p>
        </w:tc>
        <w:tc>
          <w:tcPr>
            <w:tcW w:w="2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Komplementarny charakter projektu</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t>W ramach tego kryterium będzie weryfikowane czy istnieją projekty powiązane ze zgłoszonym projektem , które zostały zrealizowane, bądź są w trakcie realizacji, bądź zostały zgłoszone w ramach tego samego naboru.</w:t>
            </w:r>
          </w:p>
          <w:p w:rsidR="00471B61" w:rsidRPr="000E0CEB" w:rsidRDefault="00477DF1">
            <w:pPr>
              <w:spacing w:line="240" w:lineRule="auto"/>
              <w:jc w:val="both"/>
              <w:rPr>
                <w:rFonts w:asciiTheme="minorHAnsi" w:hAnsiTheme="minorHAnsi" w:cs="Arial"/>
                <w:szCs w:val="22"/>
              </w:rPr>
            </w:pPr>
            <w:r w:rsidRPr="000E0CEB">
              <w:rPr>
                <w:rFonts w:asciiTheme="minorHAnsi" w:hAnsiTheme="minorHAnsi" w:cs="Arial"/>
                <w:szCs w:val="22"/>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lastRenderedPageBreak/>
              <w:t>Kryterium punktowe</w:t>
            </w:r>
          </w:p>
          <w:p w:rsidR="00471B61" w:rsidRPr="000E0CEB" w:rsidRDefault="00471B61">
            <w:pPr>
              <w:spacing w:line="240" w:lineRule="auto"/>
              <w:jc w:val="center"/>
              <w:rPr>
                <w:rFonts w:asciiTheme="minorHAnsi" w:hAnsiTheme="minorHAnsi" w:cs="Arial"/>
                <w:szCs w:val="22"/>
              </w:rPr>
            </w:pPr>
          </w:p>
          <w:p w:rsidR="00471B61" w:rsidRPr="000E0CEB" w:rsidRDefault="00477DF1">
            <w:pPr>
              <w:spacing w:before="0" w:after="240" w:line="240" w:lineRule="auto"/>
              <w:jc w:val="center"/>
              <w:rPr>
                <w:rFonts w:asciiTheme="minorHAnsi" w:hAnsiTheme="minorHAnsi"/>
              </w:rPr>
            </w:pPr>
            <w:r w:rsidRPr="000E0CEB">
              <w:rPr>
                <w:rFonts w:asciiTheme="minorHAnsi" w:hAnsiTheme="minorHAnsi" w:cs="Arial"/>
                <w:szCs w:val="22"/>
              </w:rPr>
              <w:t>skala punktowa  od 0 do 5 pkt</w:t>
            </w:r>
          </w:p>
          <w:p w:rsidR="00471B61" w:rsidRPr="000E0CEB" w:rsidRDefault="00471B61">
            <w:pPr>
              <w:spacing w:before="0" w:after="240" w:line="240" w:lineRule="auto"/>
              <w:jc w:val="center"/>
              <w:rPr>
                <w:rFonts w:asciiTheme="minorHAnsi" w:hAnsiTheme="minorHAnsi" w:cs="Arial"/>
                <w:szCs w:val="22"/>
              </w:rPr>
            </w:pPr>
          </w:p>
          <w:p w:rsidR="00471B61" w:rsidRPr="000E0CEB" w:rsidRDefault="00477DF1">
            <w:pPr>
              <w:spacing w:before="0" w:after="240" w:line="240" w:lineRule="auto"/>
              <w:jc w:val="center"/>
              <w:rPr>
                <w:rFonts w:asciiTheme="minorHAnsi" w:hAnsiTheme="minorHAnsi" w:cs="Arial"/>
                <w:szCs w:val="22"/>
              </w:rPr>
            </w:pPr>
            <w:r w:rsidRPr="000E0CEB">
              <w:rPr>
                <w:rFonts w:asciiTheme="minorHAnsi" w:hAnsiTheme="minorHAnsi" w:cs="Arial"/>
                <w:szCs w:val="22"/>
              </w:rPr>
              <w:t xml:space="preserve">  </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10%</w:t>
            </w:r>
          </w:p>
          <w:p w:rsidR="00471B61" w:rsidRPr="000E0CEB" w:rsidRDefault="00477DF1">
            <w:pPr>
              <w:spacing w:line="240" w:lineRule="auto"/>
              <w:jc w:val="center"/>
              <w:rPr>
                <w:rFonts w:asciiTheme="minorHAnsi" w:hAnsiTheme="minorHAnsi"/>
              </w:rPr>
            </w:pPr>
            <w:r w:rsidRPr="000E0CEB">
              <w:rPr>
                <w:rFonts w:asciiTheme="minorHAnsi" w:hAnsiTheme="minorHAnsi" w:cs="Arial"/>
                <w:szCs w:val="22"/>
              </w:rPr>
              <w:t>(5 pkt)</w:t>
            </w:r>
          </w:p>
        </w:tc>
      </w:tr>
    </w:tbl>
    <w:p w:rsidR="00471B61" w:rsidRPr="000E0CEB" w:rsidRDefault="00471B61">
      <w:pPr>
        <w:spacing w:line="240" w:lineRule="auto"/>
        <w:rPr>
          <w:rFonts w:asciiTheme="minorHAnsi" w:hAnsiTheme="minorHAnsi" w:cs="Arial"/>
          <w:b/>
          <w:szCs w:val="22"/>
        </w:rPr>
      </w:pPr>
    </w:p>
    <w:p w:rsidR="00471B61" w:rsidRPr="000E0CEB" w:rsidRDefault="00477DF1">
      <w:pPr>
        <w:spacing w:line="240" w:lineRule="auto"/>
        <w:rPr>
          <w:rFonts w:asciiTheme="minorHAnsi" w:hAnsiTheme="minorHAnsi"/>
        </w:rPr>
      </w:pPr>
      <w:r w:rsidRPr="000E0CEB">
        <w:rPr>
          <w:rFonts w:asciiTheme="minorHAnsi" w:hAnsiTheme="minorHAnsi" w:cs="Arial"/>
          <w:szCs w:val="22"/>
        </w:rPr>
        <w:t xml:space="preserve">Punktacja do kryterium nr 3 </w:t>
      </w:r>
      <w:r w:rsidRPr="000E0CEB">
        <w:rPr>
          <w:rFonts w:asciiTheme="minorHAnsi" w:hAnsiTheme="minorHAnsi" w:cs="Arial"/>
          <w:i/>
          <w:szCs w:val="22"/>
        </w:rPr>
        <w:t>Wpływ projektu na realizację Strategii ZIT AJ</w:t>
      </w:r>
    </w:p>
    <w:p w:rsidR="00471B61" w:rsidRPr="000E0CEB" w:rsidRDefault="00471B61">
      <w:pPr>
        <w:spacing w:line="240" w:lineRule="auto"/>
        <w:rPr>
          <w:rFonts w:asciiTheme="minorHAnsi" w:hAnsiTheme="minorHAnsi" w:cs="Arial"/>
          <w:i/>
          <w:szCs w:val="22"/>
        </w:rPr>
      </w:pPr>
    </w:p>
    <w:tbl>
      <w:tblPr>
        <w:tblW w:w="47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151"/>
        <w:gridCol w:w="2303"/>
        <w:gridCol w:w="2587"/>
        <w:gridCol w:w="2299"/>
      </w:tblGrid>
      <w:tr w:rsidR="00471B61" w:rsidRPr="000E0CEB" w:rsidTr="0048530A">
        <w:trPr>
          <w:trHeight w:val="2609"/>
        </w:trPr>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rPr>
                <w:rFonts w:asciiTheme="minorHAnsi" w:hAnsiTheme="minorHAnsi"/>
                <w:szCs w:val="22"/>
              </w:rPr>
            </w:pPr>
            <w:r w:rsidRPr="000E0CEB">
              <w:rPr>
                <w:rFonts w:asciiTheme="minorHAnsi" w:hAnsiTheme="minorHAnsi"/>
                <w:szCs w:val="22"/>
              </w:rPr>
              <w:t>Wyszczególnienie</w:t>
            </w:r>
          </w:p>
          <w:p w:rsidR="00471B61" w:rsidRPr="000E0CEB" w:rsidRDefault="00471B61">
            <w:pPr>
              <w:spacing w:line="240" w:lineRule="auto"/>
              <w:jc w:val="center"/>
              <w:rPr>
                <w:rFonts w:asciiTheme="minorHAnsi" w:hAnsiTheme="minorHAnsi"/>
                <w:strike/>
                <w:szCs w:val="22"/>
              </w:rPr>
            </w:pP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rsidP="0048530A">
            <w:pPr>
              <w:jc w:val="center"/>
              <w:rPr>
                <w:rFonts w:asciiTheme="minorHAnsi" w:hAnsiTheme="minorHAnsi"/>
                <w:b/>
                <w:szCs w:val="22"/>
              </w:rPr>
            </w:pPr>
            <w:r w:rsidRPr="000E0CEB">
              <w:rPr>
                <w:rFonts w:asciiTheme="minorHAnsi" w:hAnsiTheme="minorHAnsi"/>
                <w:b/>
                <w:bCs/>
                <w:szCs w:val="22"/>
              </w:rPr>
              <w:t xml:space="preserve">Wpływ projektu na zapewnienie wspomagania rozwoju dzieci ze szczególnymi potrzebami edukacyjnymi </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rsidP="0048530A">
            <w:pPr>
              <w:jc w:val="center"/>
              <w:rPr>
                <w:rFonts w:asciiTheme="minorHAnsi" w:hAnsiTheme="minorHAnsi"/>
                <w:b/>
                <w:szCs w:val="22"/>
              </w:rPr>
            </w:pPr>
            <w:r w:rsidRPr="000E0CEB">
              <w:rPr>
                <w:rFonts w:asciiTheme="minorHAnsi" w:hAnsiTheme="minorHAnsi"/>
                <w:b/>
                <w:bCs/>
                <w:szCs w:val="22"/>
              </w:rPr>
              <w:t>Wpływ projektu na rozszerzenie oferty szkoły o zajęcia zwiększające szanse edukacyjne dzieci ze szczególnymi potrzebami edukacyjnymi</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rsidP="00504223">
            <w:pPr>
              <w:jc w:val="center"/>
              <w:rPr>
                <w:rFonts w:asciiTheme="minorHAnsi" w:hAnsiTheme="minorHAnsi"/>
                <w:b/>
                <w:szCs w:val="22"/>
              </w:rPr>
            </w:pPr>
            <w:r w:rsidRPr="000E0CEB">
              <w:rPr>
                <w:rFonts w:asciiTheme="minorHAnsi" w:hAnsiTheme="minorHAnsi"/>
                <w:b/>
                <w:bCs/>
                <w:szCs w:val="22"/>
              </w:rPr>
              <w:t>Wpływ projektu na wypełnianie luki w dostępie do technologii informatyczno-komunikacyjnych</w:t>
            </w:r>
          </w:p>
        </w:tc>
      </w:tr>
      <w:tr w:rsidR="00471B61" w:rsidRPr="000E0CEB">
        <w:trPr>
          <w:trHeight w:val="846"/>
        </w:trPr>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0 (brak wpływu i wpływ nieznaczący)</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0 pkt</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0 pkt</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0 pkt</w:t>
            </w:r>
          </w:p>
        </w:tc>
      </w:tr>
      <w:tr w:rsidR="00471B61" w:rsidRPr="000E0CEB">
        <w:trPr>
          <w:trHeight w:val="806"/>
        </w:trPr>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50% maksymalnej oceny (niski wpływ)</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7,5 pkt</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jc w:val="center"/>
              <w:rPr>
                <w:rFonts w:asciiTheme="minorHAnsi" w:hAnsiTheme="minorHAnsi"/>
                <w:szCs w:val="22"/>
              </w:rPr>
            </w:pPr>
            <w:r w:rsidRPr="000E0CEB">
              <w:rPr>
                <w:rFonts w:asciiTheme="minorHAnsi" w:hAnsiTheme="minorHAnsi"/>
                <w:szCs w:val="22"/>
              </w:rPr>
              <w:t>2,5 pkt</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2,5 pkt</w:t>
            </w:r>
          </w:p>
        </w:tc>
      </w:tr>
      <w:tr w:rsidR="00471B61" w:rsidRPr="000E0CEB">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100% maksymalnej oceny (wysoki wpływ)</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15 pkt</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5 pkt</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szCs w:val="22"/>
              </w:rPr>
            </w:pPr>
            <w:r w:rsidRPr="000E0CEB">
              <w:rPr>
                <w:rFonts w:asciiTheme="minorHAnsi" w:hAnsiTheme="minorHAnsi"/>
                <w:szCs w:val="22"/>
              </w:rPr>
              <w:t>5 pkt</w:t>
            </w:r>
          </w:p>
        </w:tc>
      </w:tr>
      <w:tr w:rsidR="00471B61" w:rsidRPr="000E0CEB">
        <w:trPr>
          <w:trHeight w:val="1111"/>
        </w:trPr>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jc w:val="center"/>
              <w:rPr>
                <w:rFonts w:asciiTheme="minorHAnsi" w:hAnsiTheme="minorHAnsi" w:cs="Arial"/>
                <w:szCs w:val="22"/>
              </w:rPr>
            </w:pPr>
            <w:r w:rsidRPr="000E0CEB">
              <w:rPr>
                <w:rFonts w:asciiTheme="minorHAnsi" w:hAnsiTheme="minorHAnsi" w:cs="Arial"/>
                <w:szCs w:val="22"/>
              </w:rPr>
              <w:t>Waga  czynnika /elementu</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jc w:val="center"/>
              <w:rPr>
                <w:rFonts w:asciiTheme="minorHAnsi" w:hAnsiTheme="minorHAnsi" w:cs="Arial"/>
                <w:szCs w:val="22"/>
              </w:rPr>
            </w:pPr>
            <w:r w:rsidRPr="000E0CEB">
              <w:rPr>
                <w:rFonts w:asciiTheme="minorHAnsi" w:hAnsiTheme="minorHAnsi" w:cs="Arial"/>
                <w:szCs w:val="22"/>
              </w:rPr>
              <w:t>60 %</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4F93" w:rsidRPr="000E0CEB" w:rsidRDefault="000E4F93" w:rsidP="000E4F93">
            <w:pPr>
              <w:pStyle w:val="tekstZPORR"/>
              <w:spacing w:before="200" w:line="320" w:lineRule="atLeast"/>
              <w:jc w:val="center"/>
              <w:rPr>
                <w:rFonts w:asciiTheme="minorHAnsi" w:hAnsiTheme="minorHAnsi"/>
              </w:rPr>
            </w:pPr>
          </w:p>
          <w:p w:rsidR="00471B61" w:rsidRPr="000E0CEB" w:rsidRDefault="00477DF1" w:rsidP="000E4F93">
            <w:pPr>
              <w:pStyle w:val="tekstZPORR"/>
              <w:spacing w:before="200" w:line="320" w:lineRule="atLeast"/>
              <w:jc w:val="center"/>
              <w:rPr>
                <w:rFonts w:asciiTheme="minorHAnsi" w:hAnsiTheme="minorHAnsi"/>
              </w:rPr>
            </w:pPr>
            <w:r w:rsidRPr="000E0CEB">
              <w:rPr>
                <w:rFonts w:asciiTheme="minorHAnsi" w:hAnsiTheme="minorHAnsi"/>
              </w:rPr>
              <w:t>20 %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4F93" w:rsidRPr="000E0CEB" w:rsidRDefault="000E4F93" w:rsidP="000E4F93">
            <w:pPr>
              <w:pStyle w:val="Tekstpodstawowy21"/>
              <w:jc w:val="center"/>
              <w:rPr>
                <w:rFonts w:asciiTheme="minorHAnsi" w:hAnsiTheme="minorHAnsi"/>
              </w:rPr>
            </w:pPr>
          </w:p>
          <w:p w:rsidR="00471B61" w:rsidRPr="000E0CEB" w:rsidRDefault="00477DF1" w:rsidP="000E4F93">
            <w:pPr>
              <w:pStyle w:val="Tekstpodstawowy21"/>
              <w:jc w:val="center"/>
              <w:rPr>
                <w:rFonts w:asciiTheme="minorHAnsi" w:hAnsiTheme="minorHAnsi"/>
              </w:rPr>
            </w:pPr>
            <w:r w:rsidRPr="000E0CEB">
              <w:rPr>
                <w:rFonts w:asciiTheme="minorHAnsi" w:hAnsiTheme="minorHAnsi"/>
              </w:rPr>
              <w:t>20 %</w:t>
            </w:r>
          </w:p>
        </w:tc>
      </w:tr>
      <w:tr w:rsidR="00471B61" w:rsidRPr="000E0CEB">
        <w:trPr>
          <w:trHeight w:val="891"/>
        </w:trPr>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lastRenderedPageBreak/>
              <w:t>Ocena:</w:t>
            </w:r>
          </w:p>
          <w:p w:rsidR="00471B61" w:rsidRPr="000E0CEB" w:rsidRDefault="00477DF1">
            <w:pPr>
              <w:jc w:val="center"/>
              <w:rPr>
                <w:rFonts w:asciiTheme="minorHAnsi" w:hAnsiTheme="minorHAnsi" w:cs="Arial"/>
                <w:szCs w:val="22"/>
              </w:rPr>
            </w:pPr>
            <w:r w:rsidRPr="000E0CEB">
              <w:rPr>
                <w:rFonts w:asciiTheme="minorHAnsi" w:hAnsiTheme="minorHAnsi" w:cs="Arial"/>
                <w:b/>
                <w:szCs w:val="22"/>
              </w:rPr>
              <w:t>(max 25 pkt. – 100%)</w:t>
            </w:r>
          </w:p>
        </w:tc>
        <w:tc>
          <w:tcPr>
            <w:tcW w:w="2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15</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5</w:t>
            </w:r>
          </w:p>
        </w:tc>
        <w:tc>
          <w:tcPr>
            <w:tcW w:w="2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5</w:t>
            </w:r>
          </w:p>
        </w:tc>
      </w:tr>
    </w:tbl>
    <w:p w:rsidR="00785577" w:rsidRPr="000E0CEB" w:rsidRDefault="00785577">
      <w:pPr>
        <w:spacing w:line="240" w:lineRule="auto"/>
        <w:rPr>
          <w:rFonts w:asciiTheme="minorHAnsi" w:hAnsiTheme="minorHAnsi" w:cs="Arial"/>
          <w:b/>
          <w:szCs w:val="22"/>
        </w:rPr>
      </w:pPr>
    </w:p>
    <w:p w:rsidR="007C3496" w:rsidRPr="000E0CEB" w:rsidRDefault="007C3496" w:rsidP="008B07E1">
      <w:pPr>
        <w:rPr>
          <w:rFonts w:asciiTheme="minorHAnsi" w:hAnsiTheme="minorHAnsi"/>
          <w:sz w:val="18"/>
          <w:szCs w:val="18"/>
        </w:rPr>
        <w:sectPr w:rsidR="007C3496" w:rsidRPr="000E0CEB" w:rsidSect="007C3496">
          <w:footerReference w:type="default" r:id="rId35"/>
          <w:pgSz w:w="11906" w:h="16838"/>
          <w:pgMar w:top="1418" w:right="1106" w:bottom="765" w:left="1080" w:header="708" w:footer="708" w:gutter="0"/>
          <w:cols w:space="708"/>
          <w:formProt w:val="0"/>
          <w:titlePg/>
          <w:docGrid w:linePitch="360" w:charSpace="-2049"/>
        </w:sectPr>
      </w:pPr>
    </w:p>
    <w:tbl>
      <w:tblPr>
        <w:tblpPr w:leftFromText="141" w:rightFromText="141" w:horzAnchor="margin" w:tblpY="60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486"/>
        <w:gridCol w:w="1487"/>
        <w:gridCol w:w="1486"/>
        <w:gridCol w:w="1487"/>
        <w:gridCol w:w="1487"/>
        <w:gridCol w:w="1488"/>
        <w:gridCol w:w="1487"/>
        <w:gridCol w:w="1488"/>
        <w:gridCol w:w="1487"/>
        <w:gridCol w:w="1488"/>
      </w:tblGrid>
      <w:tr w:rsidR="00944DC3" w:rsidRPr="000E0CEB" w:rsidTr="00935A9F">
        <w:trPr>
          <w:trHeight w:val="2835"/>
        </w:trPr>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rPr>
                <w:rFonts w:asciiTheme="minorHAnsi" w:hAnsiTheme="minorHAnsi"/>
                <w:sz w:val="18"/>
                <w:szCs w:val="18"/>
              </w:rPr>
            </w:pPr>
            <w:r w:rsidRPr="000E0CEB">
              <w:rPr>
                <w:rFonts w:asciiTheme="minorHAnsi" w:hAnsiTheme="minorHAnsi"/>
                <w:sz w:val="18"/>
                <w:szCs w:val="18"/>
              </w:rPr>
              <w:lastRenderedPageBreak/>
              <w:t>Wyszczególnienie</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line="240" w:lineRule="auto"/>
              <w:jc w:val="center"/>
              <w:rPr>
                <w:rFonts w:asciiTheme="minorHAnsi" w:eastAsia="Calibri" w:hAnsiTheme="minorHAnsi" w:cs="Tahoma"/>
                <w:b/>
                <w:sz w:val="18"/>
                <w:szCs w:val="18"/>
                <w:u w:val="single"/>
                <w:lang w:eastAsia="en-US"/>
              </w:rPr>
            </w:pPr>
            <w:r w:rsidRPr="000E0CEB">
              <w:rPr>
                <w:rFonts w:asciiTheme="minorHAnsi" w:eastAsia="Calibri" w:hAnsiTheme="minorHAnsi" w:cs="Tahoma"/>
                <w:b/>
                <w:sz w:val="18"/>
                <w:szCs w:val="18"/>
                <w:u w:val="single"/>
                <w:lang w:eastAsia="en-US"/>
              </w:rPr>
              <w:t>Liczba uczniów objętych wsparciem w zakresie rozwijana kompetencji kluczowych w programie</w:t>
            </w:r>
          </w:p>
          <w:p w:rsidR="00A43237" w:rsidRPr="000E0CEB" w:rsidRDefault="00A43237" w:rsidP="00935A9F">
            <w:pPr>
              <w:spacing w:before="0" w:line="240" w:lineRule="auto"/>
              <w:jc w:val="center"/>
              <w:rPr>
                <w:rFonts w:asciiTheme="minorHAnsi" w:eastAsia="Calibri" w:hAnsiTheme="minorHAnsi" w:cs="Tahoma"/>
                <w:b/>
                <w:sz w:val="18"/>
                <w:szCs w:val="18"/>
                <w:u w:val="single"/>
                <w:lang w:eastAsia="en-US"/>
              </w:rPr>
            </w:pPr>
          </w:p>
          <w:p w:rsidR="00A43237" w:rsidRPr="000E0CEB" w:rsidRDefault="00A43237" w:rsidP="00935A9F">
            <w:pPr>
              <w:spacing w:before="0" w:line="240" w:lineRule="auto"/>
              <w:rPr>
                <w:rFonts w:asciiTheme="minorHAnsi" w:eastAsia="Calibri" w:hAnsiTheme="minorHAnsi" w:cs="Tahoma"/>
                <w:b/>
                <w:sz w:val="18"/>
                <w:szCs w:val="18"/>
                <w:u w:val="single"/>
                <w:lang w:eastAsia="en-US"/>
              </w:rPr>
            </w:pPr>
          </w:p>
        </w:tc>
        <w:tc>
          <w:tcPr>
            <w:tcW w:w="1486"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line="240" w:lineRule="auto"/>
              <w:jc w:val="center"/>
              <w:rPr>
                <w:rFonts w:asciiTheme="minorHAnsi" w:eastAsia="Calibri" w:hAnsiTheme="minorHAnsi" w:cs="Tahoma"/>
                <w:b/>
                <w:sz w:val="18"/>
                <w:szCs w:val="18"/>
                <w:u w:val="single"/>
                <w:lang w:eastAsia="en-US"/>
              </w:rPr>
            </w:pPr>
            <w:r w:rsidRPr="000E0CEB">
              <w:rPr>
                <w:rFonts w:asciiTheme="minorHAnsi" w:eastAsia="Calibri" w:hAnsiTheme="minorHAnsi" w:cs="Tahoma"/>
                <w:b/>
                <w:sz w:val="18"/>
                <w:szCs w:val="18"/>
                <w:u w:val="single"/>
                <w:lang w:eastAsia="en-US"/>
              </w:rPr>
              <w:t>Liczba nauczycieli objętych wsparciem w programie</w:t>
            </w:r>
          </w:p>
          <w:p w:rsidR="00A43237" w:rsidRPr="000E0CEB" w:rsidRDefault="00A43237" w:rsidP="00935A9F">
            <w:pPr>
              <w:spacing w:before="0" w:line="240" w:lineRule="auto"/>
              <w:jc w:val="center"/>
              <w:rPr>
                <w:rFonts w:asciiTheme="minorHAnsi" w:eastAsia="Calibri" w:hAnsiTheme="minorHAnsi" w:cs="Tahoma"/>
                <w:b/>
                <w:sz w:val="18"/>
                <w:szCs w:val="18"/>
                <w:u w:val="single"/>
                <w:lang w:eastAsia="en-US"/>
              </w:rPr>
            </w:pP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b/>
                <w:sz w:val="18"/>
                <w:szCs w:val="18"/>
                <w:u w:val="single"/>
              </w:rPr>
              <w:t>Liczba nauczycieli objętych wsparciem z zakresu TIK w programie</w:t>
            </w:r>
          </w:p>
          <w:p w:rsidR="00A43237" w:rsidRPr="000E0CEB" w:rsidRDefault="00A43237" w:rsidP="00935A9F">
            <w:pPr>
              <w:spacing w:line="240" w:lineRule="auto"/>
              <w:jc w:val="center"/>
              <w:rPr>
                <w:rFonts w:asciiTheme="minorHAnsi" w:hAnsiTheme="minorHAnsi"/>
                <w:b/>
                <w:sz w:val="18"/>
                <w:szCs w:val="18"/>
                <w:u w:val="single"/>
              </w:rPr>
            </w:pP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b/>
                <w:sz w:val="18"/>
                <w:szCs w:val="18"/>
                <w:u w:val="single"/>
              </w:rPr>
              <w:t>Liczba szkół, których pracownie przedmiotowe zostały doposażone w programie</w:t>
            </w:r>
          </w:p>
          <w:p w:rsidR="00A43237" w:rsidRPr="000E0CEB" w:rsidRDefault="00A43237" w:rsidP="00935A9F">
            <w:pPr>
              <w:spacing w:line="240" w:lineRule="auto"/>
              <w:jc w:val="center"/>
              <w:rPr>
                <w:rFonts w:asciiTheme="minorHAnsi" w:hAnsiTheme="minorHAnsi"/>
                <w:b/>
                <w:sz w:val="18"/>
                <w:szCs w:val="18"/>
                <w:u w:val="single"/>
              </w:rPr>
            </w:pP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b/>
                <w:sz w:val="18"/>
                <w:szCs w:val="18"/>
                <w:u w:val="single"/>
              </w:rPr>
              <w:t>Liczba szkół i placówek systemu oświaty wyposażonych w ramach programu w sprzęt TIK do prowadzenia zajęć edukacyjnych-</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line="240" w:lineRule="auto"/>
              <w:jc w:val="center"/>
              <w:rPr>
                <w:rFonts w:asciiTheme="minorHAnsi" w:hAnsiTheme="minorHAnsi" w:cs="Tahoma"/>
                <w:b/>
                <w:sz w:val="18"/>
                <w:szCs w:val="18"/>
                <w:u w:val="single"/>
              </w:rPr>
            </w:pPr>
            <w:r w:rsidRPr="000E0CEB">
              <w:rPr>
                <w:rFonts w:asciiTheme="minorHAnsi" w:hAnsiTheme="minorHAnsi" w:cs="Tahoma"/>
                <w:b/>
                <w:sz w:val="18"/>
                <w:szCs w:val="18"/>
                <w:u w:val="single"/>
              </w:rPr>
              <w:t>Liczba uczniów, którzy nabyli kompetencje kluczowe po opuszczeniu programu</w:t>
            </w:r>
          </w:p>
          <w:p w:rsidR="00A43237" w:rsidRPr="000E0CEB" w:rsidRDefault="00A43237" w:rsidP="00935A9F">
            <w:pPr>
              <w:spacing w:before="0" w:line="240" w:lineRule="auto"/>
              <w:jc w:val="center"/>
              <w:rPr>
                <w:rFonts w:asciiTheme="minorHAnsi" w:hAnsiTheme="minorHAnsi"/>
                <w:b/>
                <w:sz w:val="18"/>
                <w:szCs w:val="18"/>
                <w:u w:val="single"/>
              </w:rPr>
            </w:pP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cs="Tahoma"/>
                <w:b/>
                <w:sz w:val="18"/>
                <w:szCs w:val="18"/>
                <w:u w:val="single"/>
              </w:rPr>
              <w:t>Liczba nauczycieli, którzy uzyskali kwalifikacje lub nabyli kompetencje po opuszczeniu programu</w:t>
            </w:r>
          </w:p>
          <w:p w:rsidR="00A43237" w:rsidRPr="000E0CEB" w:rsidRDefault="00A43237" w:rsidP="00935A9F">
            <w:pPr>
              <w:spacing w:line="240" w:lineRule="auto"/>
              <w:jc w:val="center"/>
              <w:rPr>
                <w:rFonts w:asciiTheme="minorHAnsi" w:hAnsiTheme="minorHAnsi"/>
                <w:b/>
                <w:sz w:val="18"/>
                <w:szCs w:val="18"/>
                <w:u w:val="single"/>
              </w:rPr>
            </w:pPr>
          </w:p>
        </w:tc>
        <w:tc>
          <w:tcPr>
            <w:tcW w:w="1487" w:type="dxa"/>
            <w:tcBorders>
              <w:top w:val="single" w:sz="4" w:space="0" w:color="00000A"/>
              <w:left w:val="single" w:sz="4" w:space="0" w:color="auto"/>
              <w:bottom w:val="single" w:sz="4" w:space="0" w:color="00000A"/>
            </w:tcBorders>
            <w:shd w:val="clear" w:color="auto" w:fill="auto"/>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cs="Tahoma"/>
                <w:b/>
                <w:sz w:val="18"/>
                <w:szCs w:val="18"/>
                <w:u w:val="single"/>
              </w:rPr>
              <w:t xml:space="preserve">Liczba szkół, w których pracownie przedmiotowe wykorzystują doposażenie do prowadzenia zajęć edukacyjnych </w:t>
            </w:r>
          </w:p>
        </w:tc>
        <w:tc>
          <w:tcPr>
            <w:tcW w:w="1488"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line="240" w:lineRule="auto"/>
              <w:jc w:val="center"/>
              <w:rPr>
                <w:rFonts w:asciiTheme="minorHAnsi" w:hAnsiTheme="minorHAnsi"/>
                <w:b/>
                <w:sz w:val="18"/>
                <w:szCs w:val="18"/>
                <w:u w:val="single"/>
              </w:rPr>
            </w:pPr>
            <w:r w:rsidRPr="000E0CEB">
              <w:rPr>
                <w:rFonts w:asciiTheme="minorHAnsi" w:hAnsiTheme="minorHAnsi"/>
                <w:b/>
                <w:sz w:val="18"/>
                <w:szCs w:val="18"/>
                <w:u w:val="single"/>
              </w:rPr>
              <w:t>Liczba szkół i placówek systemu oświaty wykorzystujących sprzęt TIK do prowadzenia zajęć edukacyjnych</w:t>
            </w:r>
          </w:p>
          <w:p w:rsidR="00A43237" w:rsidRPr="000E0CEB" w:rsidRDefault="00A43237" w:rsidP="00935A9F">
            <w:pPr>
              <w:spacing w:line="240" w:lineRule="auto"/>
              <w:jc w:val="center"/>
              <w:rPr>
                <w:rFonts w:asciiTheme="minorHAnsi" w:hAnsiTheme="minorHAnsi"/>
                <w:b/>
                <w:sz w:val="18"/>
                <w:szCs w:val="18"/>
                <w:u w:val="single"/>
              </w:rPr>
            </w:pPr>
          </w:p>
        </w:tc>
      </w:tr>
      <w:tr w:rsidR="00944DC3" w:rsidRPr="000E0CEB" w:rsidTr="00935A9F">
        <w:trPr>
          <w:trHeight w:val="1062"/>
        </w:trPr>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sz w:val="18"/>
                <w:szCs w:val="18"/>
              </w:rPr>
            </w:pPr>
            <w:r w:rsidRPr="000E0CEB">
              <w:rPr>
                <w:rFonts w:asciiTheme="minorHAnsi" w:hAnsiTheme="minorHAnsi"/>
                <w:sz w:val="18"/>
                <w:szCs w:val="18"/>
              </w:rPr>
              <w:t>0 (brak wpływu i wpływ nieznaczący)</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do 20</w:t>
            </w:r>
          </w:p>
        </w:tc>
        <w:tc>
          <w:tcPr>
            <w:tcW w:w="1486"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pon.2</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pon.2</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 67%</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 73%</w:t>
            </w:r>
          </w:p>
        </w:tc>
        <w:tc>
          <w:tcPr>
            <w:tcW w:w="1487" w:type="dxa"/>
            <w:tcBorders>
              <w:top w:val="single" w:sz="4" w:space="0" w:color="00000A"/>
              <w:left w:val="single" w:sz="4" w:space="0" w:color="auto"/>
              <w:bottom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 93%</w:t>
            </w:r>
          </w:p>
        </w:tc>
        <w:tc>
          <w:tcPr>
            <w:tcW w:w="1488"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pon. 37 %</w:t>
            </w:r>
          </w:p>
        </w:tc>
      </w:tr>
      <w:tr w:rsidR="00944DC3" w:rsidRPr="000E0CEB" w:rsidTr="00935A9F">
        <w:trPr>
          <w:trHeight w:val="981"/>
        </w:trPr>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sz w:val="18"/>
                <w:szCs w:val="18"/>
              </w:rPr>
            </w:pPr>
            <w:r w:rsidRPr="000E0CEB">
              <w:rPr>
                <w:rFonts w:asciiTheme="minorHAnsi" w:hAnsiTheme="minorHAnsi"/>
                <w:sz w:val="18"/>
                <w:szCs w:val="18"/>
              </w:rPr>
              <w:t>25% maksymalnej oceny (niski wpływ)</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20-39</w:t>
            </w:r>
          </w:p>
        </w:tc>
        <w:tc>
          <w:tcPr>
            <w:tcW w:w="1486"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2-4</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w:t>
            </w:r>
          </w:p>
        </w:tc>
        <w:tc>
          <w:tcPr>
            <w:tcW w:w="1487" w:type="dxa"/>
            <w:tcBorders>
              <w:top w:val="single" w:sz="4" w:space="0" w:color="00000A"/>
              <w:left w:val="single" w:sz="4" w:space="0" w:color="auto"/>
              <w:bottom w:val="single" w:sz="4" w:space="0" w:color="auto"/>
              <w:right w:val="single" w:sz="4" w:space="0" w:color="00000A"/>
            </w:tcBorders>
            <w:shd w:val="clear" w:color="auto" w:fill="auto"/>
            <w:vAlign w:val="center"/>
          </w:tcPr>
          <w:p w:rsidR="00A43237" w:rsidRPr="000E0CEB" w:rsidRDefault="00A43237" w:rsidP="00935A9F">
            <w:pPr>
              <w:spacing w:before="0"/>
              <w:jc w:val="center"/>
              <w:rPr>
                <w:rFonts w:asciiTheme="minorHAnsi" w:hAnsiTheme="minorHAnsi"/>
                <w:sz w:val="20"/>
              </w:rPr>
            </w:pP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n/d</w:t>
            </w:r>
          </w:p>
          <w:p w:rsidR="00A43237" w:rsidRPr="000E0CEB" w:rsidRDefault="00A43237" w:rsidP="00935A9F">
            <w:pPr>
              <w:spacing w:before="0"/>
              <w:jc w:val="center"/>
              <w:rPr>
                <w:rFonts w:asciiTheme="minorHAnsi" w:hAnsiTheme="minorHAnsi"/>
                <w:sz w:val="20"/>
              </w:rPr>
            </w:pPr>
          </w:p>
        </w:tc>
        <w:tc>
          <w:tcPr>
            <w:tcW w:w="148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A43237" w:rsidRPr="000E0CEB" w:rsidRDefault="00A43237" w:rsidP="00935A9F">
            <w:pPr>
              <w:spacing w:before="0"/>
              <w:jc w:val="center"/>
              <w:rPr>
                <w:rFonts w:asciiTheme="minorHAnsi" w:hAnsiTheme="minorHAnsi"/>
                <w:sz w:val="20"/>
              </w:rPr>
            </w:pP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n/d</w:t>
            </w:r>
          </w:p>
          <w:p w:rsidR="00A43237" w:rsidRPr="000E0CEB" w:rsidRDefault="00A43237" w:rsidP="00935A9F">
            <w:pPr>
              <w:spacing w:before="0"/>
              <w:jc w:val="center"/>
              <w:rPr>
                <w:rFonts w:asciiTheme="minorHAnsi" w:hAnsiTheme="minorHAnsi"/>
                <w:sz w:val="20"/>
              </w:rPr>
            </w:pP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67%-69%</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73%-75%</w:t>
            </w:r>
          </w:p>
        </w:tc>
        <w:tc>
          <w:tcPr>
            <w:tcW w:w="1487" w:type="dxa"/>
            <w:tcBorders>
              <w:top w:val="single" w:sz="4" w:space="0" w:color="00000A"/>
              <w:left w:val="single" w:sz="4" w:space="0" w:color="auto"/>
              <w:bottom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93%-95%</w:t>
            </w:r>
          </w:p>
        </w:tc>
        <w:tc>
          <w:tcPr>
            <w:tcW w:w="1488"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0,5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37%-39%</w:t>
            </w:r>
          </w:p>
        </w:tc>
      </w:tr>
      <w:tr w:rsidR="00944DC3" w:rsidRPr="000E0CEB" w:rsidTr="00935A9F">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sz w:val="18"/>
                <w:szCs w:val="18"/>
              </w:rPr>
            </w:pPr>
            <w:r w:rsidRPr="000E0CEB">
              <w:rPr>
                <w:rFonts w:asciiTheme="minorHAnsi" w:hAnsiTheme="minorHAnsi"/>
                <w:sz w:val="18"/>
                <w:szCs w:val="18"/>
              </w:rPr>
              <w:t>50% maksymalnej oceny (średni wpływ)</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40-80</w:t>
            </w:r>
          </w:p>
        </w:tc>
        <w:tc>
          <w:tcPr>
            <w:tcW w:w="1486"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5-12</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3 -6</w:t>
            </w:r>
          </w:p>
        </w:tc>
        <w:tc>
          <w:tcPr>
            <w:tcW w:w="1487" w:type="dxa"/>
            <w:tcBorders>
              <w:top w:val="single" w:sz="4" w:space="0" w:color="auto"/>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w:t>
            </w:r>
          </w:p>
        </w:tc>
        <w:tc>
          <w:tcPr>
            <w:tcW w:w="1488"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 xml:space="preserve">1 pkt </w:t>
            </w:r>
            <w:r w:rsidRPr="000E0CEB">
              <w:rPr>
                <w:rFonts w:asciiTheme="minorHAnsi" w:hAnsiTheme="minorHAnsi"/>
                <w:sz w:val="20"/>
              </w:rPr>
              <w:br/>
              <w:t>1</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70%-72%</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76%-78%</w:t>
            </w:r>
          </w:p>
        </w:tc>
        <w:tc>
          <w:tcPr>
            <w:tcW w:w="1487" w:type="dxa"/>
            <w:tcBorders>
              <w:top w:val="single" w:sz="4" w:space="0" w:color="00000A"/>
              <w:left w:val="single" w:sz="4" w:space="0" w:color="auto"/>
              <w:bottom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96%-98%</w:t>
            </w:r>
          </w:p>
        </w:tc>
        <w:tc>
          <w:tcPr>
            <w:tcW w:w="1488"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1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40%-42%</w:t>
            </w:r>
          </w:p>
        </w:tc>
      </w:tr>
      <w:tr w:rsidR="00944DC3" w:rsidRPr="000E0CEB" w:rsidTr="00935A9F">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sz w:val="18"/>
                <w:szCs w:val="18"/>
              </w:rPr>
            </w:pPr>
            <w:r w:rsidRPr="000E0CEB">
              <w:rPr>
                <w:rFonts w:asciiTheme="minorHAnsi" w:hAnsiTheme="minorHAnsi"/>
                <w:sz w:val="18"/>
                <w:szCs w:val="18"/>
              </w:rPr>
              <w:t>100% maksymalnej oceny (wysoki wpływ)</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4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 80</w:t>
            </w:r>
          </w:p>
        </w:tc>
        <w:tc>
          <w:tcPr>
            <w:tcW w:w="1486"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pow.12</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pow.6</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pow.1</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pow.1</w:t>
            </w:r>
          </w:p>
        </w:tc>
        <w:tc>
          <w:tcPr>
            <w:tcW w:w="1487"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 72%</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 78%</w:t>
            </w:r>
          </w:p>
        </w:tc>
        <w:tc>
          <w:tcPr>
            <w:tcW w:w="1487" w:type="dxa"/>
            <w:tcBorders>
              <w:top w:val="single" w:sz="4" w:space="0" w:color="00000A"/>
              <w:left w:val="single" w:sz="4" w:space="0" w:color="auto"/>
              <w:bottom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pow.98%</w:t>
            </w:r>
          </w:p>
        </w:tc>
        <w:tc>
          <w:tcPr>
            <w:tcW w:w="1488" w:type="dxa"/>
            <w:tcBorders>
              <w:top w:val="single" w:sz="4" w:space="0" w:color="00000A"/>
              <w:left w:val="single" w:sz="4" w:space="0" w:color="auto"/>
              <w:bottom w:val="single" w:sz="4" w:space="0" w:color="00000A"/>
              <w:right w:val="single" w:sz="4" w:space="0" w:color="00000A"/>
            </w:tcBorders>
            <w:shd w:val="clear" w:color="auto" w:fill="auto"/>
            <w:vAlign w:val="center"/>
          </w:tcPr>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2 pkt</w:t>
            </w:r>
          </w:p>
          <w:p w:rsidR="00A43237" w:rsidRPr="000E0CEB" w:rsidRDefault="00477DF1" w:rsidP="00935A9F">
            <w:pPr>
              <w:spacing w:before="0"/>
              <w:jc w:val="center"/>
              <w:rPr>
                <w:rFonts w:asciiTheme="minorHAnsi" w:hAnsiTheme="minorHAnsi"/>
                <w:sz w:val="20"/>
              </w:rPr>
            </w:pPr>
            <w:r w:rsidRPr="000E0CEB">
              <w:rPr>
                <w:rFonts w:asciiTheme="minorHAnsi" w:hAnsiTheme="minorHAnsi"/>
                <w:sz w:val="20"/>
              </w:rPr>
              <w:t>pow. 42%</w:t>
            </w:r>
          </w:p>
        </w:tc>
      </w:tr>
      <w:tr w:rsidR="00944DC3" w:rsidRPr="000E0CEB" w:rsidTr="00935A9F">
        <w:trPr>
          <w:trHeight w:val="665"/>
        </w:trPr>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b/>
                <w:sz w:val="18"/>
                <w:szCs w:val="18"/>
              </w:rPr>
            </w:pPr>
            <w:r w:rsidRPr="000E0CEB">
              <w:rPr>
                <w:rFonts w:asciiTheme="minorHAnsi" w:hAnsiTheme="minorHAnsi"/>
                <w:b/>
                <w:sz w:val="18"/>
                <w:szCs w:val="18"/>
              </w:rPr>
              <w:t>Waga danego wskaźnika</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b/>
                <w:sz w:val="20"/>
              </w:rPr>
            </w:pPr>
            <w:r w:rsidRPr="000E0CEB">
              <w:rPr>
                <w:rFonts w:asciiTheme="minorHAnsi" w:hAnsiTheme="minorHAnsi"/>
                <w:b/>
                <w:sz w:val="20"/>
              </w:rPr>
              <w:t>20%</w:t>
            </w:r>
          </w:p>
        </w:tc>
        <w:tc>
          <w:tcPr>
            <w:tcW w:w="1486"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7"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7"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7" w:type="dxa"/>
            <w:tcBorders>
              <w:top w:val="single" w:sz="4" w:space="0" w:color="00000A"/>
              <w:left w:val="single" w:sz="4" w:space="0" w:color="auto"/>
              <w:bottom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10%</w:t>
            </w:r>
          </w:p>
        </w:tc>
        <w:tc>
          <w:tcPr>
            <w:tcW w:w="1488"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b/>
                <w:sz w:val="20"/>
              </w:rPr>
            </w:pPr>
            <w:r w:rsidRPr="000E0CEB">
              <w:rPr>
                <w:rFonts w:asciiTheme="minorHAnsi" w:hAnsiTheme="minorHAnsi"/>
                <w:b/>
                <w:sz w:val="20"/>
              </w:rPr>
              <w:t>10%</w:t>
            </w:r>
          </w:p>
        </w:tc>
      </w:tr>
      <w:tr w:rsidR="00944DC3" w:rsidRPr="000E0CEB" w:rsidTr="00935A9F">
        <w:trPr>
          <w:trHeight w:val="891"/>
        </w:trPr>
        <w:tc>
          <w:tcPr>
            <w:tcW w:w="14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3237" w:rsidRPr="000E0CEB" w:rsidRDefault="00477DF1" w:rsidP="00935A9F">
            <w:pPr>
              <w:spacing w:before="0" w:line="240" w:lineRule="auto"/>
              <w:rPr>
                <w:rFonts w:asciiTheme="minorHAnsi" w:hAnsiTheme="minorHAnsi"/>
                <w:b/>
                <w:sz w:val="18"/>
                <w:szCs w:val="18"/>
              </w:rPr>
            </w:pPr>
            <w:r w:rsidRPr="000E0CEB">
              <w:rPr>
                <w:rFonts w:asciiTheme="minorHAnsi" w:hAnsiTheme="minorHAnsi"/>
                <w:b/>
                <w:sz w:val="18"/>
                <w:szCs w:val="18"/>
              </w:rPr>
              <w:t>Ocena:</w:t>
            </w:r>
            <w:r w:rsidRPr="000E0CEB">
              <w:rPr>
                <w:rFonts w:asciiTheme="minorHAnsi" w:hAnsiTheme="minorHAnsi"/>
                <w:b/>
                <w:sz w:val="18"/>
                <w:szCs w:val="18"/>
              </w:rPr>
              <w:br/>
              <w:t>(max 20 pkt. – 100%)</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b/>
                <w:sz w:val="20"/>
              </w:rPr>
            </w:pPr>
            <w:r w:rsidRPr="000E0CEB">
              <w:rPr>
                <w:rFonts w:asciiTheme="minorHAnsi" w:hAnsiTheme="minorHAnsi"/>
                <w:b/>
                <w:sz w:val="20"/>
              </w:rPr>
              <w:t>4 pkt</w:t>
            </w:r>
          </w:p>
        </w:tc>
        <w:tc>
          <w:tcPr>
            <w:tcW w:w="1486"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7"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7"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7"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7" w:type="dxa"/>
            <w:tcBorders>
              <w:top w:val="single" w:sz="4" w:space="0" w:color="00000A"/>
              <w:left w:val="single" w:sz="4" w:space="0" w:color="auto"/>
              <w:bottom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c>
          <w:tcPr>
            <w:tcW w:w="1488" w:type="dxa"/>
            <w:tcBorders>
              <w:top w:val="single" w:sz="4" w:space="0" w:color="00000A"/>
              <w:left w:val="single" w:sz="4" w:space="0" w:color="auto"/>
              <w:bottom w:val="single" w:sz="4" w:space="0" w:color="00000A"/>
              <w:right w:val="single" w:sz="4" w:space="0" w:color="00000A"/>
            </w:tcBorders>
            <w:shd w:val="clear" w:color="auto" w:fill="auto"/>
          </w:tcPr>
          <w:p w:rsidR="00A43237" w:rsidRPr="000E0CEB" w:rsidRDefault="00477DF1" w:rsidP="00935A9F">
            <w:pPr>
              <w:spacing w:before="0"/>
              <w:jc w:val="center"/>
              <w:rPr>
                <w:rFonts w:asciiTheme="minorHAnsi" w:hAnsiTheme="minorHAnsi"/>
                <w:sz w:val="20"/>
              </w:rPr>
            </w:pPr>
            <w:r w:rsidRPr="000E0CEB">
              <w:rPr>
                <w:rFonts w:asciiTheme="minorHAnsi" w:hAnsiTheme="minorHAnsi"/>
                <w:b/>
                <w:sz w:val="20"/>
              </w:rPr>
              <w:t>2 pkt</w:t>
            </w:r>
          </w:p>
        </w:tc>
      </w:tr>
    </w:tbl>
    <w:p w:rsidR="00935A9F" w:rsidRPr="000E0CEB" w:rsidRDefault="00477DF1" w:rsidP="00935A9F">
      <w:pPr>
        <w:spacing w:line="240" w:lineRule="auto"/>
        <w:rPr>
          <w:rFonts w:asciiTheme="minorHAnsi" w:hAnsiTheme="minorHAnsi" w:cs="Arial"/>
          <w:b/>
          <w:i/>
          <w:szCs w:val="22"/>
        </w:rPr>
      </w:pPr>
      <w:r w:rsidRPr="000E0CEB">
        <w:rPr>
          <w:rFonts w:asciiTheme="minorHAnsi" w:hAnsiTheme="minorHAnsi" w:cs="Arial"/>
          <w:b/>
          <w:szCs w:val="22"/>
        </w:rPr>
        <w:t xml:space="preserve">Punktacja do kryterium nr 4 </w:t>
      </w:r>
      <w:r w:rsidRPr="000E0CEB">
        <w:rPr>
          <w:rFonts w:asciiTheme="minorHAnsi" w:hAnsiTheme="minorHAnsi" w:cs="Arial"/>
          <w:b/>
          <w:i/>
          <w:szCs w:val="22"/>
        </w:rPr>
        <w:t>Wpływ realizacji projektu na realizację wartości docelowej wskaźników monitoringu realizacji celów Strategii ZIT wynikających z Porozumienia</w:t>
      </w:r>
    </w:p>
    <w:p w:rsidR="007C3496" w:rsidRPr="000E0CEB" w:rsidRDefault="007C3496">
      <w:pPr>
        <w:spacing w:line="240" w:lineRule="auto"/>
        <w:rPr>
          <w:rFonts w:asciiTheme="minorHAnsi" w:hAnsiTheme="minorHAnsi" w:cs="Arial"/>
          <w:szCs w:val="22"/>
        </w:rPr>
        <w:sectPr w:rsidR="007C3496" w:rsidRPr="000E0CEB" w:rsidSect="007C3496">
          <w:pgSz w:w="16838" w:h="11906" w:orient="landscape"/>
          <w:pgMar w:top="1077" w:right="1418" w:bottom="1106" w:left="765" w:header="709" w:footer="709" w:gutter="0"/>
          <w:cols w:space="708"/>
          <w:formProt w:val="0"/>
          <w:titlePg/>
          <w:docGrid w:linePitch="360" w:charSpace="-2049"/>
        </w:sectPr>
      </w:pPr>
    </w:p>
    <w:p w:rsidR="00471B61" w:rsidRPr="000E0CEB" w:rsidRDefault="00C84E25">
      <w:pPr>
        <w:spacing w:line="240" w:lineRule="auto"/>
        <w:rPr>
          <w:rFonts w:asciiTheme="minorHAnsi" w:hAnsiTheme="minorHAnsi" w:cs="Arial"/>
          <w:szCs w:val="22"/>
        </w:rPr>
      </w:pPr>
      <w:r w:rsidRPr="00C84E25">
        <w:rPr>
          <w:rFonts w:asciiTheme="minorHAnsi" w:hAnsiTheme="minorHAnsi"/>
          <w:noProof/>
        </w:rPr>
        <w:lastRenderedPageBreak/>
        <w:pict>
          <v:shape id="Łącznik prosty ze strzałką 28" o:spid="_x0000_s1030" style="position:absolute;margin-left:383.65pt;margin-top:470.15pt;width:.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" path="m,l21600,21600e" filled="f" strokecolor="#4a7ebb">
            <v:stroke endarrow="open"/>
            <v:path arrowok="t"/>
          </v:shape>
        </w:pict>
      </w:r>
    </w:p>
    <w:p w:rsidR="00471B61" w:rsidRPr="000E0CEB" w:rsidRDefault="00477DF1">
      <w:pPr>
        <w:spacing w:line="240" w:lineRule="auto"/>
        <w:rPr>
          <w:rFonts w:asciiTheme="minorHAnsi" w:hAnsiTheme="minorHAnsi" w:cs="Arial"/>
          <w:b/>
          <w:szCs w:val="22"/>
        </w:rPr>
      </w:pPr>
      <w:r w:rsidRPr="000E0CEB">
        <w:rPr>
          <w:rFonts w:asciiTheme="minorHAnsi" w:hAnsiTheme="minorHAnsi" w:cs="Arial"/>
          <w:b/>
          <w:szCs w:val="22"/>
        </w:rPr>
        <w:t xml:space="preserve">Punktacja do kryterium nr 5 </w:t>
      </w:r>
      <w:r w:rsidRPr="000E0CEB">
        <w:rPr>
          <w:rFonts w:asciiTheme="minorHAnsi" w:hAnsiTheme="minorHAnsi" w:cs="Arial"/>
          <w:b/>
          <w:i/>
          <w:szCs w:val="22"/>
        </w:rPr>
        <w:t>Komplementarny charakter projektu</w:t>
      </w:r>
    </w:p>
    <w:p w:rsidR="00471B61" w:rsidRPr="000E0CEB" w:rsidRDefault="00471B61">
      <w:pPr>
        <w:spacing w:line="240" w:lineRule="auto"/>
        <w:jc w:val="center"/>
        <w:rPr>
          <w:rFonts w:asciiTheme="minorHAnsi" w:hAnsiTheme="minorHAnsi" w:cs="Arial"/>
          <w:szCs w:val="2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88"/>
        <w:gridCol w:w="5348"/>
      </w:tblGrid>
      <w:tr w:rsidR="00471B61" w:rsidRPr="000E0CEB">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Punktacja</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1B61">
            <w:pPr>
              <w:spacing w:line="240" w:lineRule="auto"/>
              <w:jc w:val="center"/>
              <w:rPr>
                <w:rFonts w:asciiTheme="minorHAnsi" w:hAnsiTheme="minorHAnsi" w:cs="Arial"/>
                <w:szCs w:val="22"/>
              </w:rPr>
            </w:pPr>
          </w:p>
        </w:tc>
      </w:tr>
      <w:tr w:rsidR="00471B61" w:rsidRPr="000E0CEB">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Tahoma"/>
                <w:b/>
                <w:szCs w:val="22"/>
              </w:rPr>
            </w:pPr>
            <w:r w:rsidRPr="000E0CEB">
              <w:rPr>
                <w:rFonts w:asciiTheme="minorHAnsi" w:hAnsiTheme="minorHAnsi" w:cs="Tahoma"/>
                <w:b/>
                <w:szCs w:val="22"/>
              </w:rPr>
              <w:t xml:space="preserve">0 </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Tahoma"/>
                <w:b/>
                <w:szCs w:val="22"/>
              </w:rPr>
            </w:pPr>
            <w:r w:rsidRPr="000E0CEB">
              <w:rPr>
                <w:rFonts w:asciiTheme="minorHAnsi" w:hAnsiTheme="minorHAnsi" w:cs="Tahoma"/>
                <w:b/>
                <w:szCs w:val="22"/>
              </w:rPr>
              <w:t>Brak komplementarności</w:t>
            </w:r>
          </w:p>
        </w:tc>
      </w:tr>
      <w:tr w:rsidR="00471B61" w:rsidRPr="000E0CEB">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Tahoma"/>
                <w:b/>
                <w:szCs w:val="22"/>
              </w:rPr>
              <w:t>25% maksymalnej oceny – 1,25 pkt</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Tahoma"/>
                <w:b/>
                <w:szCs w:val="22"/>
              </w:rPr>
            </w:pPr>
            <w:r w:rsidRPr="000E0CEB">
              <w:rPr>
                <w:rFonts w:asciiTheme="minorHAnsi" w:hAnsiTheme="minorHAnsi" w:cs="Tahoma"/>
                <w:b/>
                <w:szCs w:val="22"/>
              </w:rPr>
              <w:t>Projekt komplementarny z co najmniej jednym projektem</w:t>
            </w:r>
          </w:p>
        </w:tc>
      </w:tr>
      <w:tr w:rsidR="00471B61" w:rsidRPr="000E0CEB">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Tahoma"/>
                <w:b/>
                <w:szCs w:val="22"/>
              </w:rPr>
              <w:t>50% maksymalnej oceny – 2,5 pkt</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Tahoma"/>
                <w:b/>
                <w:szCs w:val="22"/>
              </w:rPr>
            </w:pPr>
            <w:r w:rsidRPr="000E0CEB">
              <w:rPr>
                <w:rFonts w:asciiTheme="minorHAnsi" w:hAnsiTheme="minorHAnsi" w:cs="Tahoma"/>
                <w:b/>
                <w:szCs w:val="22"/>
              </w:rPr>
              <w:t>Projekt komplementarny z co najmniej trzema projektami, w tym minimum jednym w ramach naboru</w:t>
            </w:r>
          </w:p>
        </w:tc>
      </w:tr>
      <w:tr w:rsidR="00471B61" w:rsidRPr="000E0CEB">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rPr>
            </w:pPr>
            <w:r w:rsidRPr="000E0CEB">
              <w:rPr>
                <w:rFonts w:asciiTheme="minorHAnsi" w:hAnsiTheme="minorHAnsi" w:cs="Tahoma"/>
                <w:b/>
                <w:szCs w:val="22"/>
              </w:rPr>
              <w:t>100%</w:t>
            </w:r>
            <w:r w:rsidRPr="000E0CEB">
              <w:rPr>
                <w:rFonts w:asciiTheme="minorHAnsi" w:hAnsiTheme="minorHAnsi"/>
                <w:szCs w:val="22"/>
              </w:rPr>
              <w:t xml:space="preserve"> </w:t>
            </w:r>
            <w:r w:rsidRPr="000E0CEB">
              <w:rPr>
                <w:rFonts w:asciiTheme="minorHAnsi" w:hAnsiTheme="minorHAnsi" w:cs="Tahoma"/>
                <w:b/>
                <w:szCs w:val="22"/>
              </w:rPr>
              <w:t>maksymalnej oceny – 5 pkt</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both"/>
              <w:rPr>
                <w:rFonts w:asciiTheme="minorHAnsi" w:hAnsiTheme="minorHAnsi" w:cs="Tahoma"/>
                <w:b/>
                <w:szCs w:val="22"/>
              </w:rPr>
            </w:pPr>
            <w:r w:rsidRPr="000E0CEB">
              <w:rPr>
                <w:rFonts w:asciiTheme="minorHAnsi" w:hAnsiTheme="minorHAnsi" w:cs="Tahoma"/>
                <w:b/>
                <w:szCs w:val="22"/>
              </w:rPr>
              <w:t>Projekt komplementarny z co najmniej pięcioma projektami, w tym minimum trzema w ramach naboru</w:t>
            </w:r>
          </w:p>
        </w:tc>
      </w:tr>
      <w:tr w:rsidR="00471B61" w:rsidRPr="000E0CEB">
        <w:trPr>
          <w:trHeight w:val="757"/>
        </w:trPr>
        <w:tc>
          <w:tcPr>
            <w:tcW w:w="4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Tahoma"/>
                <w:b/>
                <w:szCs w:val="22"/>
              </w:rPr>
            </w:pPr>
            <w:r w:rsidRPr="000E0CEB">
              <w:rPr>
                <w:rFonts w:asciiTheme="minorHAnsi" w:hAnsiTheme="minorHAnsi" w:cs="Tahoma"/>
                <w:b/>
                <w:szCs w:val="22"/>
              </w:rPr>
              <w:t>Ocena:</w:t>
            </w:r>
          </w:p>
          <w:p w:rsidR="00471B61" w:rsidRPr="000E0CEB" w:rsidRDefault="00477DF1" w:rsidP="00380A8C">
            <w:pPr>
              <w:spacing w:line="240" w:lineRule="auto"/>
              <w:jc w:val="center"/>
              <w:rPr>
                <w:rFonts w:asciiTheme="minorHAnsi" w:hAnsiTheme="minorHAnsi"/>
              </w:rPr>
            </w:pPr>
            <w:r w:rsidRPr="000E0CEB">
              <w:rPr>
                <w:rFonts w:asciiTheme="minorHAnsi" w:hAnsiTheme="minorHAnsi" w:cs="Tahoma"/>
                <w:b/>
                <w:szCs w:val="22"/>
              </w:rPr>
              <w:t>(max 5 pkt. – 100%)</w:t>
            </w:r>
          </w:p>
        </w:tc>
        <w:tc>
          <w:tcPr>
            <w:tcW w:w="5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1B61">
            <w:pPr>
              <w:spacing w:line="240" w:lineRule="auto"/>
              <w:jc w:val="both"/>
              <w:rPr>
                <w:rFonts w:asciiTheme="minorHAnsi" w:hAnsiTheme="minorHAnsi" w:cs="Tahoma"/>
                <w:b/>
                <w:szCs w:val="22"/>
              </w:rPr>
            </w:pPr>
          </w:p>
        </w:tc>
      </w:tr>
    </w:tbl>
    <w:p w:rsidR="00471B61" w:rsidRPr="000E0CEB" w:rsidRDefault="00471B61">
      <w:pPr>
        <w:spacing w:line="240" w:lineRule="auto"/>
        <w:jc w:val="center"/>
        <w:rPr>
          <w:rFonts w:asciiTheme="minorHAnsi" w:hAnsiTheme="minorHAnsi" w:cs="Arial"/>
          <w:szCs w:val="22"/>
          <w:u w:val="single"/>
        </w:rPr>
      </w:pPr>
    </w:p>
    <w:p w:rsidR="00471B61" w:rsidRPr="000E0CEB" w:rsidRDefault="00477DF1">
      <w:pPr>
        <w:spacing w:line="240" w:lineRule="auto"/>
        <w:jc w:val="center"/>
        <w:rPr>
          <w:rFonts w:asciiTheme="minorHAnsi" w:hAnsiTheme="minorHAnsi" w:cs="Arial"/>
          <w:b/>
          <w:szCs w:val="22"/>
          <w:u w:val="single"/>
        </w:rPr>
      </w:pPr>
      <w:r w:rsidRPr="000E0CEB">
        <w:rPr>
          <w:rFonts w:asciiTheme="minorHAnsi" w:hAnsiTheme="minorHAnsi" w:cs="Arial"/>
          <w:b/>
          <w:szCs w:val="22"/>
          <w:u w:val="single"/>
        </w:rPr>
        <w:t>II sekcja – minimum punktowe</w:t>
      </w:r>
    </w:p>
    <w:p w:rsidR="00471B61" w:rsidRPr="000E0CEB" w:rsidRDefault="00471B61">
      <w:pPr>
        <w:spacing w:line="240" w:lineRule="auto"/>
        <w:rPr>
          <w:rFonts w:asciiTheme="minorHAnsi" w:hAnsiTheme="minorHAnsi" w:cs="Arial"/>
          <w:szCs w:val="22"/>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6"/>
        <w:gridCol w:w="2809"/>
        <w:gridCol w:w="3546"/>
        <w:gridCol w:w="3085"/>
      </w:tblGrid>
      <w:tr w:rsidR="00471B61" w:rsidRPr="000E0CEB">
        <w:tc>
          <w:tcPr>
            <w:tcW w:w="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Lp.</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Nazwa kryterium</w:t>
            </w:r>
          </w:p>
        </w:tc>
        <w:tc>
          <w:tcPr>
            <w:tcW w:w="3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 xml:space="preserve">Definicja kryterium </w:t>
            </w:r>
          </w:p>
          <w:p w:rsidR="00471B61" w:rsidRPr="000E0CEB" w:rsidRDefault="00471B61">
            <w:pPr>
              <w:spacing w:line="240" w:lineRule="auto"/>
              <w:jc w:val="center"/>
              <w:rPr>
                <w:rFonts w:asciiTheme="minorHAnsi" w:hAnsiTheme="minorHAnsi" w:cs="Arial"/>
                <w:b/>
                <w:szCs w:val="22"/>
              </w:rPr>
            </w:pP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b/>
                <w:szCs w:val="22"/>
              </w:rPr>
            </w:pPr>
            <w:r w:rsidRPr="000E0CEB">
              <w:rPr>
                <w:rFonts w:asciiTheme="minorHAnsi" w:hAnsiTheme="minorHAnsi" w:cs="Arial"/>
                <w:b/>
                <w:szCs w:val="22"/>
              </w:rPr>
              <w:t xml:space="preserve">Opis znaczenia kryterium </w:t>
            </w:r>
          </w:p>
        </w:tc>
      </w:tr>
      <w:tr w:rsidR="00471B61" w:rsidRPr="000E0CEB">
        <w:tc>
          <w:tcPr>
            <w:tcW w:w="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1</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 xml:space="preserve">Uzyskanie przez projekt minimum punktowego </w:t>
            </w:r>
          </w:p>
        </w:tc>
        <w:tc>
          <w:tcPr>
            <w:tcW w:w="3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rPr>
                <w:rFonts w:asciiTheme="minorHAnsi" w:hAnsiTheme="minorHAnsi" w:cs="Arial"/>
                <w:szCs w:val="22"/>
              </w:rPr>
            </w:pPr>
            <w:r w:rsidRPr="000E0CEB">
              <w:rPr>
                <w:rFonts w:asciiTheme="minorHAnsi" w:hAnsiTheme="minorHAnsi" w:cs="Arial"/>
                <w:szCs w:val="22"/>
              </w:rPr>
              <w:t>W ramach tego kryterium będzie sprawdzane czy, projekt otrzymał co najmniej 15% możliwych do uzyskania punktów na tym etapie oceny</w:t>
            </w:r>
          </w:p>
        </w:tc>
        <w:tc>
          <w:tcPr>
            <w:tcW w:w="30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TAK/NIE</w:t>
            </w:r>
          </w:p>
          <w:p w:rsidR="00471B61" w:rsidRPr="000E0CEB" w:rsidRDefault="00477DF1">
            <w:pPr>
              <w:spacing w:line="240" w:lineRule="auto"/>
              <w:jc w:val="center"/>
              <w:rPr>
                <w:rFonts w:asciiTheme="minorHAnsi" w:hAnsiTheme="minorHAnsi" w:cs="Arial"/>
                <w:szCs w:val="22"/>
              </w:rPr>
            </w:pPr>
            <w:r w:rsidRPr="000E0CEB">
              <w:rPr>
                <w:rFonts w:asciiTheme="minorHAnsi" w:hAnsiTheme="minorHAnsi" w:cs="Arial"/>
                <w:szCs w:val="22"/>
              </w:rPr>
              <w:t>Kryterium obligatoryjne (kluczowe) – niespełnienie oznacza odrzucenia wniosku</w:t>
            </w:r>
          </w:p>
        </w:tc>
      </w:tr>
    </w:tbl>
    <w:p w:rsidR="00B63284" w:rsidRPr="000E0CEB" w:rsidRDefault="004D576A">
      <w:pPr>
        <w:pStyle w:val="Nagwek2"/>
        <w:numPr>
          <w:ilvl w:val="0"/>
          <w:numId w:val="53"/>
        </w:numPr>
      </w:pPr>
      <w:bookmarkStart w:id="253" w:name="_Toc426632957"/>
      <w:bookmarkStart w:id="254" w:name="_Toc425495111"/>
      <w:bookmarkStart w:id="255" w:name="_Toc425495078"/>
      <w:bookmarkStart w:id="256" w:name="_Toc430826847"/>
      <w:bookmarkStart w:id="257" w:name="_Toc428787545"/>
      <w:bookmarkStart w:id="258" w:name="_Toc426632962"/>
      <w:bookmarkStart w:id="259" w:name="_Toc438125968"/>
      <w:bookmarkStart w:id="260" w:name="_Toc441241706"/>
      <w:bookmarkEnd w:id="253"/>
      <w:bookmarkEnd w:id="254"/>
      <w:bookmarkEnd w:id="255"/>
      <w:bookmarkEnd w:id="256"/>
      <w:bookmarkEnd w:id="257"/>
      <w:bookmarkEnd w:id="258"/>
      <w:r w:rsidRPr="000E0CEB">
        <w:t>Analiza kart oceny i obliczanie liczby przyznanych punktów</w:t>
      </w:r>
      <w:bookmarkEnd w:id="259"/>
      <w:bookmarkEnd w:id="260"/>
    </w:p>
    <w:p w:rsidR="00471B61" w:rsidRPr="000E0CEB" w:rsidRDefault="00477DF1">
      <w:pPr>
        <w:spacing w:before="120" w:after="120" w:line="240" w:lineRule="auto"/>
        <w:jc w:val="both"/>
        <w:rPr>
          <w:rFonts w:asciiTheme="minorHAnsi" w:hAnsiTheme="minorHAnsi"/>
        </w:rPr>
      </w:pPr>
      <w:r w:rsidRPr="000E0CEB">
        <w:rPr>
          <w:rFonts w:asciiTheme="minorHAnsi" w:hAnsiTheme="minorHAnsi"/>
          <w:szCs w:val="22"/>
        </w:rPr>
        <w:t>Wypełnione karty oceny przekazywane są niezwłocznie przewodniczącemu KOP lub z-cy przewodniczącego KOP ds. Strategii ZIT (w przypadku etapu oceny zgodności ze Strategią ZIT) albo innej osobie przez nich upoważnionej.</w:t>
      </w:r>
    </w:p>
    <w:p w:rsidR="00471B61" w:rsidRPr="000E0CEB" w:rsidRDefault="00477DF1">
      <w:pPr>
        <w:spacing w:before="120" w:after="120" w:line="240" w:lineRule="auto"/>
        <w:jc w:val="both"/>
        <w:rPr>
          <w:rFonts w:asciiTheme="minorHAnsi" w:hAnsiTheme="minorHAnsi"/>
        </w:rPr>
      </w:pPr>
      <w:r w:rsidRPr="000E0CEB">
        <w:rPr>
          <w:rFonts w:asciiTheme="minorHAnsi" w:hAnsiTheme="minorHAnsi"/>
          <w:szCs w:val="22"/>
        </w:rPr>
        <w:t xml:space="preserve">Po otrzymaniu kart oceny przewodniczący KOP lub z-ca przewodniczącego KOP ds. Strategii ZIT (w przypadku etapu oceny zgodności ze Strategią ZIT albo inna osoba przez nich upoważniona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merytorycznej (co najmniej 15 punktów na każdym etapie)  oraz kwestiach skierowanych do negocjacji. </w:t>
      </w:r>
    </w:p>
    <w:p w:rsidR="00471B61" w:rsidRPr="000E0CEB" w:rsidRDefault="00477DF1">
      <w:pPr>
        <w:spacing w:before="120" w:after="120" w:line="240" w:lineRule="auto"/>
        <w:jc w:val="both"/>
        <w:rPr>
          <w:rFonts w:asciiTheme="minorHAnsi" w:hAnsiTheme="minorHAnsi"/>
        </w:rPr>
      </w:pPr>
      <w:r w:rsidRPr="000E0CEB">
        <w:rPr>
          <w:rFonts w:asciiTheme="minorHAnsi" w:hAnsiTheme="minorHAnsi"/>
          <w:szCs w:val="22"/>
        </w:rPr>
        <w:t xml:space="preserve">W przypadku wystąpienia rozbieżności w ocenie przewodniczący KOP lub z-ca przewodniczącego KOP ds. Strategii ZIT (w przypadku etapu oceny zgodności ze Strategią ZIT) podejmuje decyzję o innym sposobie ich rozstrzygnięcia. Rozbieżności w kwestiach skierowanych do negocjacji rozstrzyga przewodniczący KOP albo podejmuje decyzję o innym sposobie ich rozstrzygnięcia. </w:t>
      </w:r>
    </w:p>
    <w:p w:rsidR="00471B61" w:rsidRPr="000E0CEB" w:rsidRDefault="00477DF1">
      <w:pPr>
        <w:spacing w:before="120" w:after="120" w:line="240" w:lineRule="auto"/>
        <w:jc w:val="both"/>
        <w:rPr>
          <w:rFonts w:asciiTheme="minorHAnsi" w:hAnsiTheme="minorHAnsi"/>
        </w:rPr>
      </w:pPr>
      <w:r w:rsidRPr="000E0CEB">
        <w:rPr>
          <w:rFonts w:asciiTheme="minorHAnsi" w:hAnsiTheme="minorHAnsi"/>
          <w:szCs w:val="22"/>
        </w:rPr>
        <w:lastRenderedPageBreak/>
        <w:t>W przypadku etapu oceny zgodności projektu ze Strategią ZIT AJ w sytuacji, gdy wniosek od jednego oceniającego otrzymał wymagane minimum punktów ogółem, a od drugiego otrzymał poniżej ww. minimum punktowego oraz różnica w liczbie punktów przyznanych wynosi co najmniej 15 punktów, projekt poddawany jest obligatoryjnie dodatkowej ocenie, którą przeprowadza  trzeci oceniający wybrany w drodze losowania.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przypadku etapu oceny formalno-merytorycznej w sytuacji, gdy wniosek od jednego oceniającego otrzymał, co najmniej 50% punktów w każdej części oceny ogólnych kryteriów merytorycznych oraz 50 punktów ogółem, a od drugiego otrzymał poniżej ww. minimum punktowego, w co najmniej jednej części oceny oraz różnica w liczbie punktów przyznanych bezwarunkowo wynosi, co najmniej 15 punktów, projekt poddawany jest obligatoryjnie dodatkowej ocenie, którą przeprowadza przed skierowaniem projektu do ewentualnych negocjacji trzeci oceniający wybrany w drodze losowania.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Ostateczną i wiążącą ocenę projektu stanowi suma średniej arytmetycznej punktów ogółem z dwóch ocen wniosku za spełnianie ogólnych kryteriów merytorycznych przyznanych bezwarunkowo i warunkowo (w przypadku, gdy przeprowadzane były negocjacje) oraz suma średniej arytmetycznej punktów przyznanych </w:t>
      </w:r>
      <w:r w:rsidRPr="000E0CEB">
        <w:rPr>
          <w:rFonts w:asciiTheme="minorHAnsi" w:hAnsiTheme="minorHAnsi" w:cs="Arial"/>
          <w:b/>
          <w:szCs w:val="22"/>
        </w:rPr>
        <w:t>za spełnienie kryteriów oceny zgodności ze strategią ZIT.</w:t>
      </w:r>
    </w:p>
    <w:p w:rsidR="00471B61" w:rsidRPr="000E0CEB" w:rsidRDefault="00471B61">
      <w:pPr>
        <w:spacing w:before="120" w:after="120" w:line="240" w:lineRule="auto"/>
        <w:jc w:val="both"/>
        <w:rPr>
          <w:rFonts w:asciiTheme="minorHAnsi" w:hAnsiTheme="minorHAnsi"/>
          <w:szCs w:val="22"/>
        </w:rPr>
      </w:pP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0E0CEB">
        <w:rPr>
          <w:rFonts w:asciiTheme="minorHAnsi" w:hAnsiTheme="minorHAnsi" w:cs="Arial"/>
          <w:b/>
          <w:szCs w:val="22"/>
        </w:rPr>
        <w:t xml:space="preserve">za spełnienie kryteriów oceny zgodności ze Strategią ZIT </w:t>
      </w:r>
      <w:r w:rsidRPr="000E0CEB">
        <w:rPr>
          <w:rFonts w:asciiTheme="minorHAnsi" w:hAnsiTheme="minorHAnsi"/>
          <w:b/>
          <w:szCs w:val="22"/>
        </w:rPr>
        <w:t>AJ</w:t>
      </w:r>
      <w:r w:rsidRPr="000E0CEB">
        <w:rPr>
          <w:rFonts w:asciiTheme="minorHAnsi" w:hAnsiTheme="minorHAnsi" w:cs="Arial"/>
          <w:b/>
          <w:szCs w:val="22"/>
        </w:rPr>
        <w:t>.</w:t>
      </w:r>
    </w:p>
    <w:p w:rsidR="00471B61" w:rsidRPr="000E0CEB" w:rsidRDefault="00477DF1" w:rsidP="000C3423">
      <w:pPr>
        <w:spacing w:before="120" w:after="120" w:line="240" w:lineRule="auto"/>
        <w:jc w:val="both"/>
        <w:rPr>
          <w:rFonts w:asciiTheme="minorHAnsi" w:hAnsiTheme="minorHAnsi"/>
          <w:szCs w:val="22"/>
        </w:rPr>
      </w:pPr>
      <w:r w:rsidRPr="000E0CEB">
        <w:rPr>
          <w:rFonts w:asciiTheme="minorHAnsi" w:hAnsiTheme="minorHAnsi"/>
          <w:szCs w:val="22"/>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0E0CEB">
        <w:rPr>
          <w:rFonts w:asciiTheme="minorHAnsi" w:hAnsiTheme="minorHAnsi" w:cs="Arial"/>
          <w:b/>
          <w:szCs w:val="22"/>
        </w:rPr>
        <w:t xml:space="preserve">za spełnienie kryteriów oceny zgodności ze Strategią ZIT </w:t>
      </w:r>
      <w:r w:rsidRPr="000E0CEB">
        <w:rPr>
          <w:rFonts w:asciiTheme="minorHAnsi" w:hAnsiTheme="minorHAnsi"/>
          <w:b/>
          <w:szCs w:val="22"/>
        </w:rPr>
        <w:t>AJ</w:t>
      </w:r>
      <w:r w:rsidRPr="000E0CEB">
        <w:rPr>
          <w:rFonts w:asciiTheme="minorHAnsi" w:hAnsiTheme="minorHAnsi" w:cs="Arial"/>
          <w:b/>
          <w:szCs w:val="22"/>
        </w:rPr>
        <w:t>.</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Maksymalna możliwa do uzyskania </w:t>
      </w:r>
      <w:r w:rsidRPr="000E0CEB">
        <w:rPr>
          <w:rFonts w:asciiTheme="minorHAnsi" w:hAnsiTheme="minorHAnsi"/>
        </w:rPr>
        <w:t>średnia</w:t>
      </w:r>
      <w:r w:rsidRPr="000E0CEB">
        <w:rPr>
          <w:rFonts w:asciiTheme="minorHAnsi" w:hAnsiTheme="minorHAnsi"/>
          <w:szCs w:val="22"/>
        </w:rPr>
        <w:t xml:space="preserve"> liczba punktów za spełnianie łącznie kryteriów oceny </w:t>
      </w:r>
      <w:r w:rsidRPr="000E0CEB">
        <w:rPr>
          <w:rFonts w:asciiTheme="minorHAnsi" w:hAnsiTheme="minorHAnsi" w:cs="Arial"/>
          <w:szCs w:val="22"/>
        </w:rPr>
        <w:t xml:space="preserve">zgodności ze strategią ZIT </w:t>
      </w:r>
      <w:r w:rsidRPr="000E0CEB">
        <w:rPr>
          <w:rFonts w:asciiTheme="minorHAnsi" w:hAnsiTheme="minorHAnsi"/>
          <w:b/>
          <w:szCs w:val="22"/>
        </w:rPr>
        <w:t>AJ</w:t>
      </w:r>
      <w:r w:rsidRPr="000E0CEB">
        <w:rPr>
          <w:rFonts w:asciiTheme="minorHAnsi" w:hAnsiTheme="minorHAnsi" w:cs="Arial"/>
          <w:szCs w:val="22"/>
        </w:rPr>
        <w:t xml:space="preserve"> kryteriów</w:t>
      </w:r>
      <w:r w:rsidRPr="000E0CEB">
        <w:rPr>
          <w:rFonts w:asciiTheme="minorHAnsi" w:hAnsiTheme="minorHAnsi"/>
          <w:szCs w:val="22"/>
        </w:rPr>
        <w:t xml:space="preserve"> merytorycznych wynosi 100.</w:t>
      </w:r>
    </w:p>
    <w:p w:rsidR="00B63284" w:rsidRPr="000E0CEB" w:rsidRDefault="004D576A">
      <w:pPr>
        <w:pStyle w:val="Nagwek2"/>
        <w:numPr>
          <w:ilvl w:val="0"/>
          <w:numId w:val="53"/>
        </w:numPr>
      </w:pPr>
      <w:bookmarkStart w:id="261" w:name="_Toc441241707"/>
      <w:bookmarkStart w:id="262" w:name="_Toc430826848"/>
      <w:bookmarkStart w:id="263" w:name="_Toc438125969"/>
      <w:bookmarkStart w:id="264" w:name="_Toc441241708"/>
      <w:bookmarkEnd w:id="261"/>
      <w:bookmarkEnd w:id="262"/>
      <w:r w:rsidRPr="000E0CEB">
        <w:t>Negocjacje</w:t>
      </w:r>
      <w:bookmarkEnd w:id="263"/>
      <w:bookmarkEnd w:id="264"/>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Negocjacjom będą podlegały te projekty, które otrzymają, co najmniej 50 punktów 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Negocjacje są prowadzone </w:t>
      </w:r>
      <w:r w:rsidRPr="000E0CEB">
        <w:rPr>
          <w:rFonts w:asciiTheme="minorHAnsi" w:hAnsiTheme="minorHAnsi"/>
          <w:b/>
          <w:szCs w:val="22"/>
        </w:rPr>
        <w:t>do wyczerpania kwoty przeznaczonej na dofinansowanie projektów w konkursie</w:t>
      </w:r>
      <w:r w:rsidRPr="000E0CEB">
        <w:rPr>
          <w:rFonts w:asciiTheme="minorHAnsi" w:hAnsiTheme="minorHAnsi"/>
          <w:szCs w:val="22"/>
        </w:rPr>
        <w:t xml:space="preserve"> – poczynając od projektu, który uzyskałby najlepszą ocenę.</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cs="Tahoma"/>
          <w:sz w:val="22"/>
          <w:szCs w:val="22"/>
        </w:rPr>
        <w:t>Kryterium adekwatności celu projektu i założonych do osiągnięcia rezultatów</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lastRenderedPageBreak/>
        <w:t>kryterium doświadczenia,</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trafności działań i racjonalności harmonogramu</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doboru grupy docelowej,</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budżetu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eastAsia="+mn-ea" w:hAnsiTheme="minorHAnsi"/>
          <w:szCs w:val="22"/>
        </w:rPr>
        <w:t>IOK może nego</w:t>
      </w:r>
      <w:r w:rsidRPr="000E0CEB">
        <w:rPr>
          <w:rFonts w:asciiTheme="minorHAnsi" w:hAnsiTheme="minorHAnsi"/>
          <w:szCs w:val="22"/>
        </w:rPr>
        <w:t xml:space="preserve">cjować z większą niż wynika to </w:t>
      </w:r>
      <w:r w:rsidRPr="000E0CEB">
        <w:rPr>
          <w:rFonts w:asciiTheme="minorHAnsi" w:eastAsia="+mn-ea" w:hAnsiTheme="minorHAnsi"/>
          <w:szCs w:val="22"/>
        </w:rPr>
        <w:t>z dostępnej w danym momencie alokacji na konkurs liczbą W</w:t>
      </w:r>
      <w:r w:rsidRPr="000E0CEB">
        <w:rPr>
          <w:rFonts w:asciiTheme="minorHAnsi" w:hAnsiTheme="minorHAnsi"/>
          <w:szCs w:val="22"/>
        </w:rPr>
        <w:t>niosko</w:t>
      </w:r>
      <w:r w:rsidRPr="000E0CEB">
        <w:rPr>
          <w:rFonts w:asciiTheme="minorHAnsi" w:eastAsia="+mn-ea" w:hAnsiTheme="minorHAnsi"/>
          <w:szCs w:val="22"/>
        </w:rPr>
        <w:t>dawców, których projekty oceniono warunkowo (nawet je</w:t>
      </w:r>
      <w:r w:rsidRPr="000E0CEB">
        <w:rPr>
          <w:rFonts w:asciiTheme="minorHAnsi" w:hAnsiTheme="minorHAnsi"/>
          <w:szCs w:val="22"/>
        </w:rPr>
        <w:t xml:space="preserve">śli nie ma oceny strategicznej). </w:t>
      </w:r>
      <w:r w:rsidRPr="000E0CEB">
        <w:rPr>
          <w:rFonts w:asciiTheme="minorHAnsi" w:eastAsia="+mn-ea" w:hAnsiTheme="minorHAnsi"/>
          <w:szCs w:val="22"/>
        </w:rPr>
        <w:t xml:space="preserve">„Kwotę przeznaczoną na dofinansowanie projektów” można interpretować jako sumę pierwotnej alokacji na konkurs wskazanej w </w:t>
      </w:r>
      <w:r w:rsidRPr="000E0CEB">
        <w:rPr>
          <w:rFonts w:asciiTheme="minorHAnsi" w:hAnsiTheme="minorHAnsi"/>
          <w:szCs w:val="22"/>
        </w:rPr>
        <w:t>niniejszym</w:t>
      </w:r>
      <w:r w:rsidRPr="000E0CEB">
        <w:rPr>
          <w:rFonts w:asciiTheme="minorHAnsi" w:eastAsia="+mn-ea" w:hAnsiTheme="minorHAnsi"/>
          <w:szCs w:val="22"/>
        </w:rPr>
        <w:t xml:space="preserve"> regulaminie oraz kwoty, o którą może ewentualnie zostać zwiększona ta alokacja po roz</w:t>
      </w:r>
      <w:r w:rsidRPr="000E0CEB">
        <w:rPr>
          <w:rFonts w:asciiTheme="minorHAnsi" w:hAnsiTheme="minorHAnsi"/>
          <w:szCs w:val="22"/>
        </w:rPr>
        <w:t xml:space="preserve">strzygnięciu konkursu (zgodnie </w:t>
      </w:r>
      <w:r w:rsidRPr="000E0CEB">
        <w:rPr>
          <w:rFonts w:asciiTheme="minorHAnsi" w:eastAsia="+mn-ea" w:hAnsiTheme="minorHAnsi"/>
          <w:szCs w:val="22"/>
        </w:rPr>
        <w:t>z wiedzą IOK)</w:t>
      </w:r>
      <w:r w:rsidRPr="000E0CEB">
        <w:rPr>
          <w:rFonts w:asciiTheme="minorHAnsi" w:hAnsiTheme="minorHAnsi"/>
          <w:szCs w:val="22"/>
        </w:rPr>
        <w:t>.</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Pismo, o którym mowa powyżej zawiera kopie wypełnionych kart oceny w postaci załączników, z zastrzeżeniem, że IOK, przekazując Wnioskodawcy tę informację, zachowuje zasadę anonimowości osób dokonujących oceny.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Negocjacje obejmują wszystkie kwestie wskazane przez oceniających w wypełnionych przez nich kartach oceny.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Kierując projekt do negocjacji oceniający podaje w karcie oceny merytorycznej zakres negocjacji wraz z uzasadnieniem.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Negocjacje projektów są przeprowadzane w formie pisemnej (w tym z wykorzystaniem elektronicznych kanałów komunikacji) lub ustnej (spotkanie obu stron negocjacji).</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rsidR="00B63284" w:rsidRPr="000E0CEB" w:rsidRDefault="004D576A">
      <w:pPr>
        <w:pStyle w:val="Nagwek2"/>
        <w:numPr>
          <w:ilvl w:val="0"/>
          <w:numId w:val="53"/>
        </w:numPr>
        <w:rPr>
          <w:rFonts w:eastAsia="Calibri"/>
        </w:rPr>
      </w:pPr>
      <w:bookmarkStart w:id="265" w:name="_Toc426632963"/>
      <w:bookmarkStart w:id="266" w:name="_Toc430826849"/>
      <w:bookmarkStart w:id="267" w:name="_Toc438125970"/>
      <w:bookmarkStart w:id="268" w:name="_Toc441241709"/>
      <w:bookmarkStart w:id="269" w:name="_Toc428787546"/>
      <w:bookmarkStart w:id="270" w:name="_Toc426632964"/>
      <w:bookmarkEnd w:id="265"/>
      <w:bookmarkEnd w:id="266"/>
      <w:r w:rsidRPr="000E0CEB">
        <w:rPr>
          <w:rFonts w:eastAsia="Calibri"/>
        </w:rPr>
        <w:t>Rozstrzygnięcie konkursu</w:t>
      </w:r>
      <w:bookmarkEnd w:id="267"/>
      <w:bookmarkEnd w:id="268"/>
    </w:p>
    <w:p w:rsidR="00471B61" w:rsidRPr="000E0CEB" w:rsidRDefault="00477DF1">
      <w:pPr>
        <w:jc w:val="both"/>
        <w:rPr>
          <w:rFonts w:asciiTheme="minorHAnsi" w:hAnsiTheme="minorHAnsi"/>
          <w:szCs w:val="22"/>
        </w:rPr>
      </w:pPr>
      <w:r w:rsidRPr="000E0CEB">
        <w:rPr>
          <w:rFonts w:asciiTheme="minorHAnsi" w:eastAsia="Calibri" w:hAnsiTheme="minorHAnsi"/>
          <w:szCs w:val="22"/>
        </w:rPr>
        <w:t xml:space="preserve">Po zakończeniu oceny formalno-merytorycznej wszystkich projektów w danym konkursie, sporządzany jest protokół zawierający informacje o przebiegu i wynikach oceny. </w:t>
      </w:r>
      <w:r w:rsidRPr="000E0CEB">
        <w:rPr>
          <w:rFonts w:asciiTheme="minorHAnsi" w:hAnsiTheme="minorHAnsi"/>
          <w:szCs w:val="22"/>
        </w:rPr>
        <w:t>O kolejności projektów na liście decyduje liczba punktów przyznana danemu projektowi bezwarunkowo albo liczba punktów przyznana danemu projektowi w wyniku negocjacji.</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Lista jest uszeregowana w kolejności malejącej liczby uzyskanych punktów. W przypadku projektów z równą liczbą punktów projekty są uszeregowane biorąc pod uwagę liczbę otrzymanych punktów za kryteria merytoryczne </w:t>
      </w:r>
      <w:r w:rsidRPr="000E0CEB">
        <w:rPr>
          <w:rFonts w:asciiTheme="minorHAnsi" w:hAnsiTheme="minorHAnsi"/>
          <w:bCs/>
          <w:szCs w:val="22"/>
        </w:rPr>
        <w:t xml:space="preserve">oraz kryteria oceny zgodności projektów ze Strategią ZIT AJ </w:t>
      </w:r>
      <w:r w:rsidRPr="000E0CEB">
        <w:rPr>
          <w:rFonts w:asciiTheme="minorHAnsi" w:hAnsiTheme="minorHAnsi"/>
          <w:szCs w:val="22"/>
        </w:rPr>
        <w:t xml:space="preserve">w następującej kolejności: </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cs="Tahoma"/>
          <w:sz w:val="22"/>
          <w:szCs w:val="22"/>
        </w:rPr>
        <w:t>Kryterium adekwatności celu projektu i założonych do osiągnięcia rezultatów</w:t>
      </w:r>
    </w:p>
    <w:p w:rsidR="00407B5D"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bCs/>
          <w:sz w:val="22"/>
          <w:szCs w:val="22"/>
        </w:rPr>
        <w:t>Kryterium: Wpływ projektu na realizację wartości docelowej wskaźników monitoringu realizacji celów Strategii ZIT AJ wynikających z Porozumienia</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doświadczenia,</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trafności działań i racjonalności harmonogramu</w:t>
      </w:r>
    </w:p>
    <w:p w:rsidR="00407B5D"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bCs/>
          <w:sz w:val="22"/>
          <w:szCs w:val="22"/>
        </w:rPr>
        <w:t>Kryterium: Komplementarny charakter projektu</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doboru grupy docelowej,</w:t>
      </w:r>
    </w:p>
    <w:p w:rsidR="00471B61" w:rsidRPr="000E0CEB" w:rsidRDefault="00477DF1">
      <w:pPr>
        <w:pStyle w:val="Akapitzlist"/>
        <w:numPr>
          <w:ilvl w:val="0"/>
          <w:numId w:val="34"/>
        </w:numPr>
        <w:spacing w:before="0" w:line="240" w:lineRule="auto"/>
        <w:ind w:left="714" w:hanging="357"/>
        <w:jc w:val="both"/>
        <w:rPr>
          <w:rFonts w:asciiTheme="minorHAnsi" w:hAnsiTheme="minorHAnsi"/>
          <w:sz w:val="22"/>
          <w:szCs w:val="22"/>
        </w:rPr>
      </w:pPr>
      <w:r w:rsidRPr="000E0CEB">
        <w:rPr>
          <w:rFonts w:asciiTheme="minorHAnsi" w:hAnsiTheme="minorHAnsi"/>
          <w:sz w:val="22"/>
          <w:szCs w:val="22"/>
        </w:rPr>
        <w:t>kryterium budżetu projektu</w:t>
      </w:r>
    </w:p>
    <w:p w:rsidR="00471B61" w:rsidRPr="000E0CEB" w:rsidRDefault="00471B61">
      <w:pPr>
        <w:spacing w:before="0" w:line="240" w:lineRule="auto"/>
        <w:ind w:left="714"/>
        <w:jc w:val="both"/>
        <w:rPr>
          <w:rFonts w:asciiTheme="minorHAnsi" w:hAnsiTheme="minorHAnsi"/>
          <w:szCs w:val="22"/>
        </w:rPr>
      </w:pPr>
    </w:p>
    <w:p w:rsidR="00471B61" w:rsidRPr="000E0CEB" w:rsidRDefault="00477DF1">
      <w:pPr>
        <w:jc w:val="both"/>
        <w:rPr>
          <w:rFonts w:asciiTheme="minorHAnsi" w:hAnsiTheme="minorHAnsi"/>
          <w:szCs w:val="22"/>
        </w:rPr>
      </w:pPr>
      <w:r w:rsidRPr="000E0CEB">
        <w:rPr>
          <w:rFonts w:asciiTheme="minorHAnsi" w:eastAsia="+mn-ea" w:hAnsiTheme="minorHAnsi"/>
          <w:szCs w:val="22"/>
        </w:rPr>
        <w:lastRenderedPageBreak/>
        <w:t>IOK może nego</w:t>
      </w:r>
      <w:r w:rsidRPr="000E0CEB">
        <w:rPr>
          <w:rFonts w:asciiTheme="minorHAnsi" w:hAnsiTheme="minorHAnsi"/>
          <w:szCs w:val="22"/>
        </w:rPr>
        <w:t xml:space="preserve">cjować z większą niż wynika to </w:t>
      </w:r>
      <w:r w:rsidRPr="000E0CEB">
        <w:rPr>
          <w:rFonts w:asciiTheme="minorHAnsi" w:eastAsia="+mn-ea" w:hAnsiTheme="minorHAnsi"/>
          <w:szCs w:val="22"/>
        </w:rPr>
        <w:t xml:space="preserve">z dostępnej w danym momencie alokacji na konkurs liczbą </w:t>
      </w:r>
      <w:r w:rsidRPr="000E0CEB">
        <w:rPr>
          <w:rFonts w:asciiTheme="minorHAnsi" w:hAnsiTheme="minorHAnsi"/>
          <w:szCs w:val="22"/>
        </w:rPr>
        <w:t>wniosko</w:t>
      </w:r>
      <w:r w:rsidRPr="000E0CEB">
        <w:rPr>
          <w:rFonts w:asciiTheme="minorHAnsi" w:eastAsia="+mn-ea" w:hAnsiTheme="minorHAnsi"/>
          <w:szCs w:val="22"/>
        </w:rPr>
        <w:t>dawców, których projekty oceniono warunkowo (nawet je</w:t>
      </w:r>
      <w:r w:rsidRPr="000E0CEB">
        <w:rPr>
          <w:rFonts w:asciiTheme="minorHAnsi" w:hAnsiTheme="minorHAnsi"/>
          <w:szCs w:val="22"/>
        </w:rPr>
        <w:t xml:space="preserve">śli nie ma oceny strategicznej). </w:t>
      </w:r>
      <w:r w:rsidRPr="000E0CEB">
        <w:rPr>
          <w:rFonts w:asciiTheme="minorHAnsi" w:eastAsia="+mn-ea" w:hAnsiTheme="minorHAnsi"/>
          <w:szCs w:val="22"/>
        </w:rPr>
        <w:t xml:space="preserve">„Kwotę przeznaczoną na dofinansowanie projektów” można interpretować jako sumę pierwotnej alokacji na konkurs wskazanej w </w:t>
      </w:r>
      <w:r w:rsidRPr="000E0CEB">
        <w:rPr>
          <w:rFonts w:asciiTheme="minorHAnsi" w:hAnsiTheme="minorHAnsi"/>
          <w:szCs w:val="22"/>
        </w:rPr>
        <w:t>niniejszym</w:t>
      </w:r>
      <w:r w:rsidRPr="000E0CEB">
        <w:rPr>
          <w:rFonts w:asciiTheme="minorHAnsi" w:eastAsia="+mn-ea" w:hAnsiTheme="minorHAnsi"/>
          <w:szCs w:val="22"/>
        </w:rPr>
        <w:t xml:space="preserve"> regulaminie oraz kwoty, o którą może ewentualnie zostać zwiększona ta alokacja po roz</w:t>
      </w:r>
      <w:r w:rsidRPr="000E0CEB">
        <w:rPr>
          <w:rFonts w:asciiTheme="minorHAnsi" w:hAnsiTheme="minorHAnsi"/>
          <w:szCs w:val="22"/>
        </w:rPr>
        <w:t xml:space="preserve">strzygnięciu konkursu (zgodnie </w:t>
      </w:r>
      <w:r w:rsidRPr="000E0CEB">
        <w:rPr>
          <w:rFonts w:asciiTheme="minorHAnsi" w:eastAsia="+mn-ea" w:hAnsiTheme="minorHAnsi"/>
          <w:szCs w:val="22"/>
        </w:rPr>
        <w:t>z wiedzą IOK)</w:t>
      </w:r>
      <w:r w:rsidRPr="000E0CEB">
        <w:rPr>
          <w:rFonts w:asciiTheme="minorHAnsi" w:hAnsiTheme="minorHAnsi"/>
          <w:szCs w:val="22"/>
        </w:rPr>
        <w:t>.</w:t>
      </w:r>
    </w:p>
    <w:p w:rsidR="00471B61" w:rsidRPr="000E0CEB" w:rsidRDefault="00471B61">
      <w:pPr>
        <w:spacing w:before="0" w:line="240" w:lineRule="auto"/>
        <w:jc w:val="both"/>
        <w:rPr>
          <w:rFonts w:asciiTheme="minorHAnsi" w:hAnsiTheme="minorHAnsi"/>
          <w:szCs w:val="22"/>
        </w:rPr>
      </w:pPr>
    </w:p>
    <w:p w:rsidR="00471B61" w:rsidRPr="000E0CEB" w:rsidRDefault="00477DF1">
      <w:pPr>
        <w:spacing w:before="120" w:after="120" w:line="240" w:lineRule="auto"/>
        <w:jc w:val="both"/>
        <w:rPr>
          <w:rFonts w:asciiTheme="minorHAnsi" w:hAnsiTheme="minorHAnsi"/>
          <w:szCs w:val="22"/>
        </w:rPr>
      </w:pPr>
      <w:r w:rsidRPr="000E0CEB">
        <w:rPr>
          <w:rFonts w:asciiTheme="minorHAnsi" w:eastAsia="Calibri" w:hAnsiTheme="minorHAnsi"/>
          <w:szCs w:val="22"/>
        </w:rPr>
        <w:t xml:space="preserve">IZ RPO WD rozstrzyga konkurs, zatwierdzając listy ocenionych projektów. </w:t>
      </w:r>
      <w:r w:rsidRPr="000E0CEB">
        <w:rPr>
          <w:rFonts w:asciiTheme="minorHAnsi" w:hAnsiTheme="minorHAnsi"/>
          <w:b/>
          <w:szCs w:val="22"/>
        </w:rPr>
        <w:t>(</w:t>
      </w:r>
      <w:r w:rsidRPr="000E0CEB">
        <w:rPr>
          <w:rFonts w:asciiTheme="minorHAnsi" w:hAnsiTheme="minorHAnsi"/>
          <w:szCs w:val="22"/>
        </w:rPr>
        <w:t>ZIT AJ wspólnie</w:t>
      </w:r>
      <w:r w:rsidRPr="000E0CEB">
        <w:rPr>
          <w:rFonts w:asciiTheme="minorHAnsi" w:hAnsiTheme="minorHAnsi"/>
          <w:szCs w:val="22"/>
        </w:rPr>
        <w:br/>
        <w:t xml:space="preserve">z IZ RPO WD dokonują wyboru projektów do dofinansowania – co jest równoznaczne z tym, że zarówno ZIT AJ jak i IZ RPO WD zatwierdzają listę, o której mowa w art. 44 ust. 4 ustawy).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Zgodnie z art. 46 ust. 4 ustawy po rozstrzygnięciu konkursu IOK zamieszcza na swojej stronie internetowej </w:t>
      </w:r>
      <w:hyperlink r:id="rId36">
        <w:r w:rsidRPr="000E0CEB">
          <w:rPr>
            <w:rStyle w:val="czeinternetowe"/>
            <w:rFonts w:asciiTheme="minorHAnsi" w:hAnsiTheme="minorHAnsi"/>
            <w:webHidden/>
            <w:szCs w:val="22"/>
          </w:rPr>
          <w:t>www.rpo.dolnyslask.pl</w:t>
        </w:r>
      </w:hyperlink>
      <w:r w:rsidRPr="000E0CEB">
        <w:rPr>
          <w:rFonts w:asciiTheme="minorHAnsi" w:hAnsiTheme="minorHAnsi"/>
          <w:szCs w:val="22"/>
        </w:rPr>
        <w:t xml:space="preserve">, </w:t>
      </w:r>
      <w:hyperlink r:id="rId37">
        <w:r w:rsidRPr="000E0CEB">
          <w:rPr>
            <w:rStyle w:val="czeinternetowe"/>
            <w:rFonts w:asciiTheme="minorHAnsi" w:hAnsiTheme="minorHAnsi" w:cs="Calibri"/>
            <w:webHidden/>
            <w:szCs w:val="22"/>
          </w:rPr>
          <w:t>www.zitaj.jeleniagora.pl</w:t>
        </w:r>
      </w:hyperlink>
      <w:r w:rsidRPr="000E0CEB">
        <w:rPr>
          <w:rFonts w:asciiTheme="minorHAnsi" w:hAnsiTheme="minorHAnsi"/>
          <w:szCs w:val="22"/>
        </w:rPr>
        <w:t xml:space="preserve">    oraz na portalu (nie później niż 7 dni od rozstrzygnięcia konkursu) listę projektów, które uzyskały wymaganą liczbę punktów, z wyróżnieniem projektów wybranych do dofinansowania</w:t>
      </w:r>
      <w:r w:rsidRPr="000E0CEB">
        <w:rPr>
          <w:rFonts w:asciiTheme="minorHAnsi" w:hAnsiTheme="minorHAnsi" w:cs="Arial"/>
          <w:szCs w:val="22"/>
        </w:rPr>
        <w:t>, tj. listę, która nie będzie uwzględniała tych projektów, które brały udział w konkursie, ale nie uzyskały wymaganej liczby punktów.</w:t>
      </w:r>
    </w:p>
    <w:p w:rsidR="00471B61" w:rsidRPr="000E0CEB" w:rsidRDefault="00477DF1">
      <w:pPr>
        <w:spacing w:before="120" w:after="120" w:line="240" w:lineRule="auto"/>
        <w:jc w:val="both"/>
        <w:rPr>
          <w:rFonts w:asciiTheme="minorHAnsi" w:eastAsia="Calibri" w:hAnsiTheme="minorHAnsi"/>
          <w:szCs w:val="22"/>
        </w:rPr>
      </w:pPr>
      <w:r w:rsidRPr="000E0CEB">
        <w:rPr>
          <w:rFonts w:asciiTheme="minorHAnsi" w:hAnsiTheme="minorHAnsi"/>
          <w:szCs w:val="22"/>
        </w:rPr>
        <w:t xml:space="preserve"> Z ww. listą zamieszcza się informację o składzie KOP.</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Po rozstrzygnięciu konkursu niezwłocznie do Wnioskodawcy przekazana jest pisemna informacja o zakończeniu oceny jego projektu oraz</w:t>
      </w:r>
    </w:p>
    <w:p w:rsidR="00471B61" w:rsidRPr="000E0CEB" w:rsidRDefault="00477DF1">
      <w:pPr>
        <w:numPr>
          <w:ilvl w:val="0"/>
          <w:numId w:val="10"/>
        </w:numPr>
        <w:spacing w:before="120" w:after="120" w:line="240" w:lineRule="auto"/>
        <w:ind w:left="426" w:hanging="425"/>
        <w:jc w:val="both"/>
        <w:rPr>
          <w:rFonts w:asciiTheme="minorHAnsi" w:hAnsiTheme="minorHAnsi"/>
          <w:szCs w:val="22"/>
        </w:rPr>
      </w:pPr>
      <w:r w:rsidRPr="000E0CEB">
        <w:rPr>
          <w:rFonts w:asciiTheme="minorHAnsi" w:hAnsiTheme="minorHAnsi"/>
          <w:szCs w:val="22"/>
        </w:rPr>
        <w:t>pozytywnej ocenie projektu oraz wybraniu go do dofinansowania wraz z prośbą o złożenie załączników niezbędnych do podpisania umowy albo</w:t>
      </w:r>
    </w:p>
    <w:p w:rsidR="00471B61" w:rsidRPr="000E0CEB" w:rsidRDefault="00477DF1">
      <w:pPr>
        <w:numPr>
          <w:ilvl w:val="0"/>
          <w:numId w:val="10"/>
        </w:numPr>
        <w:spacing w:before="0" w:after="200" w:line="240" w:lineRule="auto"/>
        <w:ind w:left="426" w:hanging="425"/>
        <w:jc w:val="both"/>
        <w:rPr>
          <w:rFonts w:asciiTheme="minorHAnsi" w:hAnsiTheme="minorHAnsi"/>
          <w:szCs w:val="22"/>
        </w:rPr>
      </w:pPr>
      <w:r w:rsidRPr="000E0CEB">
        <w:rPr>
          <w:rFonts w:asciiTheme="minorHAnsi" w:hAnsiTheme="minorHAnsi"/>
          <w:szCs w:val="22"/>
        </w:rPr>
        <w:t xml:space="preserve">negatywnej ocenie projektu i niewybraniu go do dofinansowania wraz ze zgodnym z art. 46 ust. 5 Ustawy pouczeniem o możliwości wniesienia protestu, o którym mowa w art. 53 ust. 1 Ustawy. </w:t>
      </w:r>
      <w:bookmarkEnd w:id="269"/>
      <w:bookmarkEnd w:id="270"/>
      <w:r w:rsidRPr="000E0CEB">
        <w:rPr>
          <w:rFonts w:asciiTheme="minorHAnsi" w:eastAsia="Calibri" w:hAnsiTheme="minorHAnsi"/>
          <w:szCs w:val="22"/>
        </w:rPr>
        <w:t>W przypadku negatywnej oceny ww. informacja zawiera dodatkowo pouczenie o możliwości wniesienia środka odwoławczego do właściwej instytucji.</w:t>
      </w:r>
    </w:p>
    <w:p w:rsidR="00471B61" w:rsidRPr="000E0CEB" w:rsidRDefault="00471B61">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0E4F93" w:rsidRPr="000E0CEB" w:rsidRDefault="000E4F93">
      <w:pPr>
        <w:spacing w:before="0" w:after="200" w:line="240" w:lineRule="auto"/>
        <w:ind w:left="426"/>
        <w:jc w:val="both"/>
        <w:rPr>
          <w:rFonts w:asciiTheme="minorHAnsi" w:hAnsiTheme="minorHAnsi"/>
          <w:szCs w:val="22"/>
        </w:rPr>
      </w:pPr>
    </w:p>
    <w:p w:rsidR="00B63284" w:rsidRPr="000E0CEB" w:rsidRDefault="00477DF1">
      <w:pPr>
        <w:pStyle w:val="Nagwek1"/>
        <w:pBdr>
          <w:top w:val="single" w:sz="12" w:space="0" w:color="00000A"/>
          <w:left w:val="single" w:sz="12" w:space="4" w:color="00000A"/>
          <w:bottom w:val="single" w:sz="12" w:space="0" w:color="00000A"/>
          <w:right w:val="single" w:sz="12" w:space="4" w:color="00000A"/>
        </w:pBdr>
        <w:tabs>
          <w:tab w:val="center" w:pos="4860"/>
          <w:tab w:val="left" w:pos="7830"/>
        </w:tabs>
        <w:spacing w:before="120" w:after="120" w:line="240" w:lineRule="auto"/>
        <w:rPr>
          <w:sz w:val="22"/>
          <w:szCs w:val="22"/>
        </w:rPr>
      </w:pPr>
      <w:bookmarkStart w:id="271" w:name="_Toc426632965"/>
      <w:bookmarkStart w:id="272" w:name="_Toc430826850"/>
      <w:bookmarkStart w:id="273" w:name="_Toc438125971"/>
      <w:bookmarkStart w:id="274" w:name="_Toc441241710"/>
      <w:r w:rsidRPr="000E0CEB">
        <w:rPr>
          <w:sz w:val="22"/>
          <w:szCs w:val="22"/>
        </w:rPr>
        <w:lastRenderedPageBreak/>
        <w:t>VI. Procedura odwoławcz</w:t>
      </w:r>
      <w:bookmarkEnd w:id="271"/>
      <w:r w:rsidRPr="000E0CEB">
        <w:rPr>
          <w:sz w:val="22"/>
          <w:szCs w:val="22"/>
        </w:rPr>
        <w:t>a</w:t>
      </w:r>
      <w:bookmarkEnd w:id="272"/>
      <w:bookmarkEnd w:id="273"/>
      <w:bookmarkEnd w:id="274"/>
      <w:r w:rsidRPr="000E0CEB">
        <w:rPr>
          <w:sz w:val="22"/>
          <w:szCs w:val="22"/>
        </w:rPr>
        <w:tab/>
      </w:r>
    </w:p>
    <w:p w:rsidR="00B63284" w:rsidRPr="000E0CEB" w:rsidRDefault="004D576A">
      <w:pPr>
        <w:pStyle w:val="Nagwek2"/>
        <w:numPr>
          <w:ilvl w:val="3"/>
          <w:numId w:val="10"/>
        </w:numPr>
        <w:ind w:left="284" w:hanging="284"/>
      </w:pPr>
      <w:bookmarkStart w:id="275" w:name="_Toc430826851"/>
      <w:bookmarkStart w:id="276" w:name="_Toc438125972"/>
      <w:bookmarkStart w:id="277" w:name="_Toc441241711"/>
      <w:bookmarkEnd w:id="275"/>
      <w:r w:rsidRPr="000E0CEB">
        <w:t>Zakres podmiotowy i przedmiotowy procedury odwoławczej</w:t>
      </w:r>
      <w:bookmarkEnd w:id="276"/>
      <w:bookmarkEnd w:id="277"/>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kwestii procedury odwoławczej przysługującej Wnioskodawcom zastosowanie mają przepisy rozdziału 15 Ustawy.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Wnioskodawcy, którego wniosek uzyskał ocenę negatywną, przysługuje prawo wniesienia protestu.</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Zgodnie z art. 53 ust. 2 Ustawy negatywną oceną jest ocena w zakresie spełniania przez projekt kryteriów wyboru projektów, w ramach, której:</w:t>
      </w:r>
    </w:p>
    <w:p w:rsidR="00471B61" w:rsidRPr="000E0CEB" w:rsidRDefault="00477DF1">
      <w:pPr>
        <w:pStyle w:val="Akapitzlist"/>
        <w:numPr>
          <w:ilvl w:val="0"/>
          <w:numId w:val="26"/>
        </w:numPr>
        <w:spacing w:before="0" w:line="240" w:lineRule="auto"/>
        <w:ind w:left="426" w:hanging="425"/>
        <w:jc w:val="both"/>
        <w:rPr>
          <w:rFonts w:asciiTheme="minorHAnsi" w:hAnsiTheme="minorHAnsi"/>
          <w:sz w:val="22"/>
          <w:szCs w:val="22"/>
        </w:rPr>
      </w:pPr>
      <w:r w:rsidRPr="000E0CEB">
        <w:rPr>
          <w:rFonts w:asciiTheme="minorHAnsi" w:hAnsiTheme="minorHAnsi"/>
          <w:sz w:val="22"/>
          <w:szCs w:val="22"/>
        </w:rPr>
        <w:t>projekt nie uzyskał wymaganej liczby punktów lub nie spełnił kryteriów wyboru projektów, na skutek czego nie może być wybrany do dofinansowania albo skierowany do kolejnego etapu oceny;</w:t>
      </w:r>
    </w:p>
    <w:p w:rsidR="00471B61" w:rsidRPr="000E0CEB" w:rsidRDefault="00477DF1" w:rsidP="000C3423">
      <w:pPr>
        <w:pStyle w:val="Akapitzlist"/>
        <w:numPr>
          <w:ilvl w:val="0"/>
          <w:numId w:val="26"/>
        </w:numPr>
        <w:spacing w:before="0" w:line="240" w:lineRule="auto"/>
        <w:ind w:left="426" w:hanging="426"/>
        <w:jc w:val="both"/>
        <w:rPr>
          <w:rFonts w:asciiTheme="minorHAnsi" w:hAnsiTheme="minorHAnsi"/>
          <w:sz w:val="22"/>
          <w:szCs w:val="22"/>
        </w:rPr>
      </w:pPr>
      <w:r w:rsidRPr="000E0CEB">
        <w:rPr>
          <w:rFonts w:asciiTheme="minorHAnsi" w:hAnsiTheme="minorHAnsi"/>
          <w:sz w:val="22"/>
          <w:szCs w:val="22"/>
        </w:rPr>
        <w:t>projekt uzyskał wymaganą liczbę punktów lub spełnił kryteria wyboru projektów, jednak kwota przeznaczona na dofinansowanie projektów w konkursie nie wystarcza na wybranie go do dofinansowania.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IOK pisemnie informuje Wnioskodawcę o negatywnym wyniku oceny projektu w rozumieniu art. 53 ust. 2 ustawy. Pismo informujące zawiera pouczenie o możliwości wniesienia protestu.</w:t>
      </w:r>
    </w:p>
    <w:p w:rsidR="00B63284" w:rsidRPr="000E0CEB" w:rsidRDefault="004D576A">
      <w:pPr>
        <w:pStyle w:val="Nagwek2"/>
        <w:numPr>
          <w:ilvl w:val="3"/>
          <w:numId w:val="10"/>
        </w:numPr>
        <w:ind w:left="284" w:hanging="284"/>
      </w:pPr>
      <w:bookmarkStart w:id="278" w:name="_Toc426632966"/>
      <w:bookmarkStart w:id="279" w:name="_Toc430826852"/>
      <w:bookmarkStart w:id="280" w:name="_Toc438125973"/>
      <w:bookmarkStart w:id="281" w:name="_Toc441241712"/>
      <w:bookmarkEnd w:id="278"/>
      <w:bookmarkEnd w:id="279"/>
      <w:r w:rsidRPr="000E0CEB">
        <w:t>Protest</w:t>
      </w:r>
      <w:bookmarkEnd w:id="280"/>
      <w:bookmarkEnd w:id="281"/>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Zgodnie z art. 53 ust. 1 Ustawy celem wniesienia protestu jest ponowne sprawdzenie złożonego wniosku w zakresie spełniania kryteriów wyboru projektów.</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b/>
          <w:szCs w:val="22"/>
        </w:rPr>
        <w:t>Protest może dotyczyć każdego etapu oceny projektu skutkującego możliwością odrzucenia wniosku</w:t>
      </w:r>
      <w:r w:rsidRPr="000E0CEB">
        <w:rPr>
          <w:rFonts w:asciiTheme="minorHAnsi" w:hAnsiTheme="minorHAnsi"/>
          <w:szCs w:val="22"/>
        </w:rPr>
        <w:t>, a więc zarówno oceny zgodności ze Strategią ZIT,  oceny spełnienia kryteriów formalnych i dostępu, jak i oceny spełnienia kryteriów horyzontalnych,, a także sposobu dokonania oceny (w zakresie ewentualnych naruszeń proceduralnych)</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Na podstawie art. 53 ust. 3 Ustawy w przypadku, gdy kwota przeznaczona na dofinansowanie projektów w konkursie nie wystarcza na wybranie projektu</w:t>
      </w:r>
      <w:r w:rsidR="00883483" w:rsidRPr="000E0CEB">
        <w:rPr>
          <w:rFonts w:asciiTheme="minorHAnsi" w:hAnsiTheme="minorHAnsi"/>
          <w:szCs w:val="22"/>
        </w:rPr>
        <w:t xml:space="preserve"> </w:t>
      </w:r>
      <w:r w:rsidRPr="000E0CEB">
        <w:rPr>
          <w:rFonts w:asciiTheme="minorHAnsi" w:hAnsiTheme="minorHAnsi"/>
          <w:szCs w:val="22"/>
        </w:rPr>
        <w:t xml:space="preserve">do dofinansowania, okoliczność ta nie może stanowić wyłącznej przesłanki wniesienia protestu. </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Dopuszcza się możliwość wniesienia protestu po otrzymaniu przez Wnioskodawcę pisemnej informacji o negatywnej ocenie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Zgodnie z art. 55 Ustawy</w:t>
      </w:r>
      <w:r w:rsidRPr="000E0CEB">
        <w:rPr>
          <w:rFonts w:asciiTheme="minorHAnsi" w:hAnsiTheme="minorHAnsi" w:cs="Arial"/>
          <w:szCs w:val="22"/>
        </w:rPr>
        <w:t xml:space="preserve"> p</w:t>
      </w:r>
      <w:r w:rsidRPr="000E0CEB">
        <w:rPr>
          <w:rFonts w:asciiTheme="minorHAnsi" w:hAnsiTheme="minorHAnsi"/>
          <w:szCs w:val="22"/>
        </w:rPr>
        <w:t>rotest rozpatrywany jest przez IZ RPO WD.</w:t>
      </w:r>
    </w:p>
    <w:p w:rsidR="00471B61" w:rsidRPr="000E0CEB" w:rsidRDefault="00477DF1" w:rsidP="00883483">
      <w:pPr>
        <w:numPr>
          <w:ilvl w:val="0"/>
          <w:numId w:val="47"/>
        </w:numPr>
        <w:spacing w:before="0" w:line="240" w:lineRule="auto"/>
        <w:jc w:val="both"/>
        <w:rPr>
          <w:rFonts w:asciiTheme="minorHAnsi" w:hAnsiTheme="minorHAnsi"/>
          <w:szCs w:val="22"/>
        </w:rPr>
      </w:pPr>
      <w:r w:rsidRPr="000E0CEB">
        <w:rPr>
          <w:rFonts w:asciiTheme="minorHAnsi" w:hAnsiTheme="minorHAnsi"/>
          <w:b/>
          <w:szCs w:val="22"/>
        </w:rPr>
        <w:t>Protest</w:t>
      </w:r>
      <w:r w:rsidRPr="000E0CEB">
        <w:rPr>
          <w:rFonts w:asciiTheme="minorHAnsi" w:hAnsiTheme="minorHAnsi"/>
          <w:szCs w:val="22"/>
        </w:rPr>
        <w:t xml:space="preserve"> zgodnie z art. 56 ust. 1 ustawy </w:t>
      </w:r>
      <w:r w:rsidRPr="000E0CEB">
        <w:rPr>
          <w:rFonts w:asciiTheme="minorHAnsi" w:hAnsiTheme="minorHAnsi"/>
          <w:b/>
          <w:szCs w:val="22"/>
        </w:rPr>
        <w:t>jest wnoszony w terminie 14 dni</w:t>
      </w:r>
      <w:r w:rsidRPr="000E0CEB">
        <w:rPr>
          <w:rStyle w:val="Zakotwiczenieprzypisudolnego"/>
          <w:rFonts w:asciiTheme="minorHAnsi" w:hAnsiTheme="minorHAnsi"/>
          <w:b/>
          <w:szCs w:val="22"/>
        </w:rPr>
        <w:footnoteReference w:id="8"/>
      </w:r>
      <w:r w:rsidRPr="000E0CEB">
        <w:rPr>
          <w:rFonts w:asciiTheme="minorHAnsi" w:hAnsiTheme="minorHAnsi"/>
          <w:b/>
          <w:szCs w:val="22"/>
        </w:rPr>
        <w:t xml:space="preserve"> </w:t>
      </w:r>
      <w:r w:rsidRPr="000E0CEB">
        <w:rPr>
          <w:rFonts w:asciiTheme="minorHAnsi" w:hAnsiTheme="minorHAnsi"/>
          <w:szCs w:val="22"/>
        </w:rPr>
        <w:t>od dnia doręczenia informacji o wyniku oceny</w:t>
      </w:r>
      <w:r w:rsidRPr="000E0CEB">
        <w:rPr>
          <w:rFonts w:asciiTheme="minorHAnsi" w:hAnsiTheme="minorHAnsi"/>
          <w:b/>
          <w:szCs w:val="22"/>
        </w:rPr>
        <w:t xml:space="preserve"> za pośrednictwem IOK,</w:t>
      </w:r>
      <w:r w:rsidRPr="000E0CEB">
        <w:rPr>
          <w:rFonts w:asciiTheme="minorHAnsi" w:hAnsiTheme="minorHAnsi" w:cs="Arial"/>
          <w:szCs w:val="22"/>
        </w:rPr>
        <w:t xml:space="preserve"> która dokonywała oceny wniosku o dofinansowanie projektu,</w:t>
      </w:r>
      <w:r w:rsidRPr="000E0CEB">
        <w:rPr>
          <w:rFonts w:asciiTheme="minorHAnsi" w:hAnsiTheme="minorHAnsi" w:cs="Arial"/>
          <w:b/>
          <w:szCs w:val="22"/>
        </w:rPr>
        <w:t xml:space="preserve"> </w:t>
      </w:r>
      <w:r w:rsidRPr="000E0CEB">
        <w:rPr>
          <w:rFonts w:asciiTheme="minorHAnsi" w:hAnsiTheme="minorHAnsi"/>
          <w:b/>
          <w:szCs w:val="22"/>
        </w:rPr>
        <w:t xml:space="preserve"> tj. za pośrednictwem:</w:t>
      </w:r>
    </w:p>
    <w:p w:rsidR="00471B61" w:rsidRPr="000E0CEB" w:rsidRDefault="00477DF1" w:rsidP="00883483">
      <w:pPr>
        <w:spacing w:before="0" w:line="240" w:lineRule="auto"/>
        <w:ind w:left="502"/>
        <w:jc w:val="both"/>
        <w:rPr>
          <w:rFonts w:asciiTheme="minorHAnsi" w:hAnsiTheme="minorHAnsi"/>
          <w:szCs w:val="22"/>
        </w:rPr>
      </w:pPr>
      <w:r w:rsidRPr="000E0CEB">
        <w:rPr>
          <w:rFonts w:asciiTheme="minorHAnsi" w:hAnsiTheme="minorHAnsi"/>
          <w:b/>
          <w:szCs w:val="22"/>
        </w:rPr>
        <w:t xml:space="preserve">– ZIT AJ  (po zakończeniu oceny zgodności ze Strategią ZIT AJ) </w:t>
      </w:r>
      <w:r w:rsidRPr="000E0CEB">
        <w:rPr>
          <w:rFonts w:asciiTheme="minorHAnsi" w:hAnsiTheme="minorHAnsi"/>
          <w:szCs w:val="22"/>
        </w:rPr>
        <w:t>w przypadku</w:t>
      </w:r>
      <w:r w:rsidRPr="000E0CEB">
        <w:rPr>
          <w:rFonts w:asciiTheme="minorHAnsi" w:hAnsiTheme="minorHAnsi"/>
          <w:b/>
          <w:szCs w:val="22"/>
        </w:rPr>
        <w:t xml:space="preserve"> </w:t>
      </w:r>
      <w:r w:rsidRPr="000E0CEB">
        <w:rPr>
          <w:rFonts w:asciiTheme="minorHAnsi" w:hAnsiTheme="minorHAnsi" w:cs="Arial"/>
          <w:b/>
          <w:szCs w:val="22"/>
        </w:rPr>
        <w:t xml:space="preserve"> </w:t>
      </w:r>
      <w:r w:rsidRPr="000E0CEB">
        <w:rPr>
          <w:rFonts w:asciiTheme="minorHAnsi" w:hAnsiTheme="minorHAnsi" w:cs="Arial"/>
          <w:szCs w:val="22"/>
        </w:rPr>
        <w:t>protestu od wyników negatywnej oceny zgodności ze Strategią ZIT,</w:t>
      </w:r>
    </w:p>
    <w:p w:rsidR="00471B61" w:rsidRPr="000E0CEB" w:rsidRDefault="00477DF1" w:rsidP="00883483">
      <w:pPr>
        <w:numPr>
          <w:ilvl w:val="0"/>
          <w:numId w:val="48"/>
        </w:numPr>
        <w:spacing w:before="0" w:line="240" w:lineRule="auto"/>
        <w:ind w:left="567" w:firstLine="0"/>
        <w:jc w:val="both"/>
        <w:rPr>
          <w:rFonts w:asciiTheme="minorHAnsi" w:hAnsiTheme="minorHAnsi"/>
        </w:rPr>
      </w:pPr>
      <w:r w:rsidRPr="000E0CEB">
        <w:rPr>
          <w:rFonts w:asciiTheme="minorHAnsi" w:hAnsiTheme="minorHAnsi"/>
          <w:b/>
          <w:szCs w:val="22"/>
        </w:rPr>
        <w:t xml:space="preserve"> </w:t>
      </w:r>
      <w:r w:rsidRPr="000E0CEB">
        <w:rPr>
          <w:rFonts w:asciiTheme="minorHAnsi" w:hAnsiTheme="minorHAnsi" w:cs="Arial"/>
          <w:b/>
          <w:szCs w:val="22"/>
        </w:rPr>
        <w:t>IZ RPO WD</w:t>
      </w:r>
      <w:r w:rsidRPr="000E0CEB">
        <w:rPr>
          <w:rFonts w:asciiTheme="minorHAnsi" w:hAnsiTheme="minorHAnsi"/>
          <w:b/>
          <w:szCs w:val="22"/>
        </w:rPr>
        <w:t xml:space="preserve"> (po zakończeniu oceny formalnej lub merytorycznej) </w:t>
      </w:r>
      <w:r w:rsidRPr="000E0CEB">
        <w:rPr>
          <w:rFonts w:asciiTheme="minorHAnsi" w:hAnsiTheme="minorHAnsi"/>
          <w:szCs w:val="22"/>
        </w:rPr>
        <w:t>w przypadku</w:t>
      </w:r>
      <w:r w:rsidRPr="000E0CEB">
        <w:rPr>
          <w:rFonts w:asciiTheme="minorHAnsi" w:hAnsiTheme="minorHAnsi"/>
          <w:b/>
          <w:szCs w:val="22"/>
        </w:rPr>
        <w:t xml:space="preserve"> </w:t>
      </w:r>
      <w:r w:rsidRPr="000E0CEB">
        <w:rPr>
          <w:rFonts w:asciiTheme="minorHAnsi" w:hAnsiTheme="minorHAnsi" w:cs="Arial"/>
          <w:b/>
          <w:szCs w:val="22"/>
        </w:rPr>
        <w:t xml:space="preserve"> </w:t>
      </w:r>
      <w:r w:rsidRPr="000E0CEB">
        <w:rPr>
          <w:rFonts w:asciiTheme="minorHAnsi" w:hAnsiTheme="minorHAnsi" w:cs="Arial"/>
          <w:szCs w:val="22"/>
        </w:rPr>
        <w:t>protestu od wyników negatywnej oceny formalno- merytorycznej</w:t>
      </w:r>
      <w:r w:rsidRPr="000E0CEB">
        <w:rPr>
          <w:rFonts w:asciiTheme="minorHAnsi" w:hAnsiTheme="minorHAnsi"/>
          <w:b/>
          <w:szCs w:val="22"/>
        </w:rPr>
        <w:t xml:space="preserve"> </w:t>
      </w:r>
      <w:r w:rsidRPr="000E0CEB">
        <w:rPr>
          <w:rFonts w:asciiTheme="minorHAnsi" w:hAnsiTheme="minorHAnsi" w:cs="Arial"/>
          <w:szCs w:val="22"/>
        </w:rPr>
        <w:t xml:space="preserve">oraz zgodności ze Strategią ZIT </w:t>
      </w:r>
      <w:r w:rsidRPr="000E0CEB">
        <w:rPr>
          <w:rFonts w:asciiTheme="minorHAnsi" w:hAnsiTheme="minorHAnsi"/>
          <w:szCs w:val="22"/>
        </w:rPr>
        <w:t>z zastrzeżeniem, że jeżeli protest złożony po negatywnej ocenie formalno – merytorycznej zawiera również zarzuty od części oceny dotyczącej kryteriów zgodności ze strategią ZIT,  IZ RPO WD wystąpi do ZIT AJ z prośbą o weryfikację wyniku oceny w tym zakresie</w:t>
      </w:r>
      <w:r w:rsidRPr="000E0CEB">
        <w:rPr>
          <w:rFonts w:asciiTheme="minorHAnsi" w:hAnsiTheme="minorHAnsi" w:cs="Arial"/>
          <w:szCs w:val="22"/>
        </w:rPr>
        <w:t>.</w:t>
      </w:r>
    </w:p>
    <w:p w:rsidR="00471B61" w:rsidRPr="000E0CEB" w:rsidRDefault="00471B61">
      <w:pPr>
        <w:ind w:left="567"/>
        <w:jc w:val="both"/>
        <w:rPr>
          <w:rFonts w:asciiTheme="minorHAnsi" w:hAnsiTheme="minorHAnsi"/>
          <w:szCs w:val="22"/>
        </w:rPr>
      </w:pP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IZ RPO WD rozpatruje protest, weryfikując prawidłowość oceny projektu w zakresie kryteriów wyboru projektów oraz zarzutów podniesionych przez Wnioskodawcę – w terminie nie dłuższym niż 30 dni, licząc od </w:t>
      </w:r>
      <w:r w:rsidRPr="000E0CEB">
        <w:rPr>
          <w:rFonts w:asciiTheme="minorHAnsi" w:hAnsiTheme="minorHAnsi"/>
          <w:szCs w:val="22"/>
        </w:rPr>
        <w:lastRenderedPageBreak/>
        <w:t>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63284" w:rsidRPr="000E0CEB" w:rsidRDefault="004D576A">
      <w:pPr>
        <w:pStyle w:val="Nagwek2"/>
        <w:numPr>
          <w:ilvl w:val="3"/>
          <w:numId w:val="10"/>
        </w:numPr>
        <w:ind w:left="284" w:hanging="284"/>
      </w:pPr>
      <w:bookmarkStart w:id="282" w:name="_Toc430826853"/>
      <w:bookmarkStart w:id="283" w:name="_Toc426632968"/>
      <w:bookmarkStart w:id="284" w:name="_Toc438125974"/>
      <w:bookmarkStart w:id="285" w:name="_Toc441241713"/>
      <w:bookmarkEnd w:id="282"/>
      <w:bookmarkEnd w:id="283"/>
      <w:r w:rsidRPr="000E0CEB">
        <w:t>Sposób złożenia protestu</w:t>
      </w:r>
      <w:bookmarkEnd w:id="284"/>
      <w:bookmarkEnd w:id="285"/>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pisemnej informacji dla Wnioskodawcy o negatywnej ocenie projektu  IOK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Protest należy wnieść w formie pisemnej do IOK (odpowiednio IZ RPO WD lub ZIT AJ:</w:t>
      </w:r>
    </w:p>
    <w:p w:rsidR="00471B61" w:rsidRPr="000E0CEB" w:rsidRDefault="00477DF1">
      <w:pPr>
        <w:numPr>
          <w:ilvl w:val="0"/>
          <w:numId w:val="27"/>
        </w:numPr>
        <w:spacing w:before="0" w:line="240" w:lineRule="auto"/>
        <w:ind w:left="425" w:hanging="425"/>
        <w:jc w:val="both"/>
        <w:rPr>
          <w:rFonts w:asciiTheme="minorHAnsi" w:hAnsiTheme="minorHAnsi"/>
          <w:szCs w:val="22"/>
        </w:rPr>
      </w:pPr>
      <w:r w:rsidRPr="000E0CEB">
        <w:rPr>
          <w:rFonts w:asciiTheme="minorHAnsi" w:hAnsiTheme="minorHAnsi"/>
          <w:szCs w:val="22"/>
        </w:rPr>
        <w:t>osobiście</w:t>
      </w:r>
    </w:p>
    <w:p w:rsidR="00471B61" w:rsidRPr="000E0CEB" w:rsidRDefault="00477DF1">
      <w:pPr>
        <w:spacing w:before="0" w:line="240" w:lineRule="auto"/>
        <w:ind w:left="425"/>
        <w:jc w:val="both"/>
        <w:rPr>
          <w:rFonts w:asciiTheme="minorHAnsi" w:hAnsiTheme="minorHAnsi"/>
          <w:szCs w:val="22"/>
        </w:rPr>
      </w:pPr>
      <w:r w:rsidRPr="000E0CEB">
        <w:rPr>
          <w:rFonts w:asciiTheme="minorHAnsi" w:hAnsiTheme="minorHAnsi"/>
          <w:szCs w:val="22"/>
        </w:rPr>
        <w:t>-w kancelarii Urzędu Marszałkowskiego Województwa Dolnośląskiego, ul. Wybrzeże J. Słowackiego 12-14 we Wrocławiu, od poniedziałku do piątku w godzinach pracy IOK, tj. od 7:30 do 15:30</w:t>
      </w:r>
    </w:p>
    <w:p w:rsidR="00471B61" w:rsidRPr="000E0CEB" w:rsidRDefault="00477DF1">
      <w:pPr>
        <w:spacing w:before="0" w:line="240" w:lineRule="auto"/>
        <w:ind w:left="425"/>
        <w:jc w:val="both"/>
        <w:rPr>
          <w:rFonts w:asciiTheme="minorHAnsi" w:hAnsiTheme="minorHAnsi"/>
          <w:szCs w:val="22"/>
        </w:rPr>
      </w:pPr>
      <w:r w:rsidRPr="000E0CEB">
        <w:rPr>
          <w:rFonts w:asciiTheme="minorHAnsi" w:hAnsiTheme="minorHAnsi"/>
          <w:b/>
          <w:szCs w:val="22"/>
        </w:rPr>
        <w:t>-</w:t>
      </w:r>
      <w:r w:rsidRPr="000E0CEB">
        <w:rPr>
          <w:rFonts w:asciiTheme="minorHAnsi" w:hAnsiTheme="minorHAnsi"/>
          <w:szCs w:val="22"/>
        </w:rPr>
        <w:t xml:space="preserve"> w Wydziale Zarządzania Zintegrowanymi Inwestycjami Terytorialnymi Aglomeracji Jeleniogórskiej Urzędu Miasta Jelenia Góra, ul. Okrzei 10, 58-500 Jelenia Góra, </w:t>
      </w:r>
      <w:bookmarkStart w:id="286" w:name="__DdeLink__5061_1062851177"/>
      <w:bookmarkEnd w:id="286"/>
      <w:r w:rsidRPr="000E0CEB">
        <w:rPr>
          <w:rFonts w:asciiTheme="minorHAnsi" w:hAnsiTheme="minorHAnsi"/>
          <w:szCs w:val="22"/>
        </w:rPr>
        <w:t>od poniedziałku do piątku w godzinach od 7:30 do 16:00</w:t>
      </w:r>
    </w:p>
    <w:p w:rsidR="00471B61" w:rsidRPr="000E0CEB" w:rsidRDefault="00477DF1">
      <w:pPr>
        <w:pStyle w:val="Akapitzlist"/>
        <w:spacing w:before="0" w:line="240" w:lineRule="auto"/>
        <w:ind w:left="425" w:hanging="425"/>
        <w:jc w:val="both"/>
        <w:rPr>
          <w:rFonts w:asciiTheme="minorHAnsi" w:hAnsiTheme="minorHAnsi"/>
          <w:szCs w:val="22"/>
        </w:rPr>
      </w:pPr>
      <w:r w:rsidRPr="000E0CEB">
        <w:rPr>
          <w:rFonts w:asciiTheme="minorHAnsi" w:hAnsiTheme="minorHAnsi"/>
          <w:szCs w:val="22"/>
        </w:rPr>
        <w:t>albo</w:t>
      </w:r>
    </w:p>
    <w:p w:rsidR="00471B61" w:rsidRPr="000E0CEB" w:rsidRDefault="00477DF1">
      <w:pPr>
        <w:numPr>
          <w:ilvl w:val="0"/>
          <w:numId w:val="27"/>
        </w:numPr>
        <w:spacing w:before="0" w:line="240" w:lineRule="auto"/>
        <w:ind w:left="425" w:hanging="425"/>
        <w:jc w:val="both"/>
        <w:rPr>
          <w:rFonts w:asciiTheme="minorHAnsi" w:hAnsiTheme="minorHAnsi"/>
          <w:szCs w:val="22"/>
        </w:rPr>
      </w:pPr>
      <w:r w:rsidRPr="000E0CEB">
        <w:rPr>
          <w:rFonts w:asciiTheme="minorHAnsi" w:hAnsiTheme="minorHAnsi"/>
          <w:szCs w:val="22"/>
        </w:rPr>
        <w:t xml:space="preserve">kurierem lub pocztą na </w:t>
      </w:r>
    </w:p>
    <w:p w:rsidR="00471B61" w:rsidRPr="000E0CEB" w:rsidRDefault="00477DF1">
      <w:pPr>
        <w:spacing w:before="0" w:line="240" w:lineRule="auto"/>
        <w:ind w:left="425"/>
        <w:jc w:val="both"/>
        <w:rPr>
          <w:rFonts w:asciiTheme="minorHAnsi" w:hAnsiTheme="minorHAnsi"/>
          <w:szCs w:val="22"/>
        </w:rPr>
      </w:pPr>
      <w:r w:rsidRPr="000E0CEB">
        <w:rPr>
          <w:rFonts w:asciiTheme="minorHAnsi" w:hAnsiTheme="minorHAnsi"/>
          <w:szCs w:val="22"/>
        </w:rPr>
        <w:t>- adres: Urząd Marszałkowski Województwa Dolnośląskiego, Departament Funduszy Europejskich, ul. Wybrzeże J. Słowackiego 12-14, 50-411 Wrocław, od poniedziałku do piątku w godzinach pracy IOK, tj. od 7:30 do 15:30</w:t>
      </w:r>
    </w:p>
    <w:p w:rsidR="00471B61" w:rsidRPr="000E0CEB" w:rsidRDefault="00477DF1">
      <w:pPr>
        <w:spacing w:before="0" w:line="240" w:lineRule="auto"/>
        <w:ind w:left="425"/>
        <w:jc w:val="both"/>
        <w:rPr>
          <w:rFonts w:asciiTheme="minorHAnsi" w:hAnsiTheme="minorHAnsi"/>
          <w:szCs w:val="22"/>
        </w:rPr>
      </w:pPr>
      <w:r w:rsidRPr="000E0CEB">
        <w:rPr>
          <w:rFonts w:asciiTheme="minorHAnsi" w:hAnsiTheme="minorHAnsi"/>
          <w:szCs w:val="22"/>
        </w:rPr>
        <w:t>- adres Wydziału Zarządzania Zintegrowanymi Inwestycjami Terytorialnymi Aglomeracji Jeleniogórskiej, ul. Okrzei 10, 58-500 Jelenia Góra od poniedziałku do piątku w godzinach od 7:30 do 16:00</w:t>
      </w:r>
    </w:p>
    <w:p w:rsidR="00471B61" w:rsidRPr="000E0CEB" w:rsidRDefault="00477DF1">
      <w:pPr>
        <w:pStyle w:val="Akapitzlist"/>
        <w:spacing w:before="120" w:after="120" w:line="240" w:lineRule="auto"/>
        <w:ind w:left="0"/>
        <w:jc w:val="both"/>
        <w:rPr>
          <w:rFonts w:asciiTheme="minorHAnsi" w:hAnsiTheme="minorHAnsi"/>
          <w:sz w:val="22"/>
          <w:szCs w:val="22"/>
        </w:rPr>
      </w:pPr>
      <w:r w:rsidRPr="000E0CEB">
        <w:rPr>
          <w:rFonts w:asciiTheme="minorHAnsi" w:hAnsiTheme="minorHAnsi"/>
          <w:sz w:val="22"/>
          <w:szCs w:val="22"/>
        </w:rPr>
        <w:t>Pisma dotyczące procedury odwoławczej nadawane są na adres korespondencyjny zawarty we wniosku o dofinansowanie projektu. W przypadku zmiany niniejszego adresu Wnioskodawca powinien poinformować o tym fakcie IOK (odpowiednio IZ RPO WD lub ZIT AJ).</w:t>
      </w:r>
    </w:p>
    <w:p w:rsidR="00B63284" w:rsidRPr="000E0CEB" w:rsidRDefault="004D576A">
      <w:pPr>
        <w:pStyle w:val="Nagwek2"/>
        <w:numPr>
          <w:ilvl w:val="3"/>
          <w:numId w:val="10"/>
        </w:numPr>
        <w:ind w:left="284" w:hanging="284"/>
      </w:pPr>
      <w:bookmarkStart w:id="287" w:name="_Toc430826854"/>
      <w:bookmarkStart w:id="288" w:name="_Toc426632969"/>
      <w:bookmarkStart w:id="289" w:name="_Toc438125975"/>
      <w:bookmarkStart w:id="290" w:name="_Toc441241714"/>
      <w:bookmarkEnd w:id="287"/>
      <w:bookmarkEnd w:id="288"/>
      <w:r w:rsidRPr="000E0CEB">
        <w:t>Zakres i weryfikacja protestu</w:t>
      </w:r>
      <w:bookmarkEnd w:id="289"/>
      <w:bookmarkEnd w:id="290"/>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Protest zgodnie z art. 54 ust. 2 Ustawy zawiera następujące informacje - wymogi formalne:</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oznaczenie instytucji właściwej do rozpatrzenia protestu;</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oznaczenie Wnioskodawcy;</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numer wniosku o dofinansowanie projektu;</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wskazanie kryteriów wyboru projektów, z których oceną wnioskodawca się nie zgadza, wraz z uzasadnieniem;</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wskazanie zarzutów o charakterze proceduralnym w zakresie przeprowadzonej oceny, jeżeli zdaniem wnioskodawcy naruszenia takie miały miejsce, wraz z uzasadnieniem;</w:t>
      </w:r>
    </w:p>
    <w:p w:rsidR="00471B61" w:rsidRPr="000E0CEB" w:rsidRDefault="00477DF1">
      <w:pPr>
        <w:numPr>
          <w:ilvl w:val="0"/>
          <w:numId w:val="11"/>
        </w:numPr>
        <w:spacing w:before="0" w:line="240" w:lineRule="auto"/>
        <w:ind w:left="426" w:hanging="425"/>
        <w:jc w:val="both"/>
        <w:rPr>
          <w:rFonts w:asciiTheme="minorHAnsi" w:hAnsiTheme="minorHAnsi"/>
          <w:szCs w:val="22"/>
        </w:rPr>
      </w:pPr>
      <w:r w:rsidRPr="000E0CEB">
        <w:rPr>
          <w:rFonts w:asciiTheme="minorHAnsi" w:hAnsiTheme="minorHAnsi"/>
          <w:szCs w:val="22"/>
        </w:rPr>
        <w:t>podpis wnioskodawcy lub osoby upoważnionej do jego reprezentowania, z załączeniem oryginału lub kopii dokumentu poświadczającego umocowanie</w:t>
      </w:r>
      <w:r w:rsidRPr="000E0CEB">
        <w:rPr>
          <w:rStyle w:val="Zakotwiczenieprzypisudolnego"/>
          <w:rFonts w:asciiTheme="minorHAnsi" w:hAnsiTheme="minorHAnsi"/>
          <w:szCs w:val="22"/>
        </w:rPr>
        <w:footnoteReference w:id="9"/>
      </w:r>
      <w:r w:rsidRPr="000E0CEB">
        <w:rPr>
          <w:rFonts w:asciiTheme="minorHAnsi" w:hAnsiTheme="minorHAnsi"/>
          <w:szCs w:val="22"/>
        </w:rPr>
        <w:t xml:space="preserve"> takiej osoby do reprezentowania Wnioskodawcy.</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lastRenderedPageBreak/>
        <w:t>Zgodnie z art. 54 ust 3 i 4 Ustawy w przypadku wniesienia protestu niespełniającego wymogów formalnych wymienionych w lit. a-c i f lub zawierającego oczywiste omyłki, IOK (odpowiednio IZ RPO WD/ZIT AJ) wzywa wnioskodawcę do jego uzupełnienia lub poprawienia w nim oczywistych omyłek, w terminie 7 dni, licząc od dnia otrzymania wezwania, pod rygorem pozostawienia protestu bez rozpatrzenia.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Wezwanie do uzupełnienia protestu lub poprawienia w nim oczywistych omyłek wstrzymuje bieg terminu.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IOK (odpowiednio IZ RPO WD/ZIT AJ) ponownie weryfikuje uzupełniony protest. W przypadku stwierdzenia, iż uzupełniony protest wpłynął po terminie lub nie został właściwie skorygowany należy uznać, iż jest to równoznaczne ze spełnieniem przesłanki pozostawienia go bez rozpatrzenia.</w:t>
      </w:r>
    </w:p>
    <w:p w:rsidR="00B63284" w:rsidRPr="000E0CEB" w:rsidRDefault="004D576A">
      <w:pPr>
        <w:pStyle w:val="Nagwek2"/>
        <w:numPr>
          <w:ilvl w:val="3"/>
          <w:numId w:val="10"/>
        </w:numPr>
        <w:ind w:left="284" w:hanging="284"/>
      </w:pPr>
      <w:bookmarkStart w:id="291" w:name="_Toc430826855"/>
      <w:bookmarkStart w:id="292" w:name="_Toc426632970"/>
      <w:bookmarkStart w:id="293" w:name="_Toc438125976"/>
      <w:bookmarkStart w:id="294" w:name="_Toc441241715"/>
      <w:bookmarkEnd w:id="291"/>
      <w:bookmarkEnd w:id="292"/>
      <w:r w:rsidRPr="000E0CEB">
        <w:t>Pozostawienie protestu bez rozpatrzenia</w:t>
      </w:r>
      <w:bookmarkEnd w:id="293"/>
      <w:bookmarkEnd w:id="294"/>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Nie podlega rozpatrzeniu protest, jeżeli mimo prawidłowego pouczenia, został wniesiony:</w:t>
      </w:r>
    </w:p>
    <w:p w:rsidR="00471B61" w:rsidRPr="000E0CEB" w:rsidRDefault="00477DF1">
      <w:pPr>
        <w:numPr>
          <w:ilvl w:val="0"/>
          <w:numId w:val="12"/>
        </w:numPr>
        <w:spacing w:before="0" w:line="240" w:lineRule="auto"/>
        <w:ind w:left="426" w:hanging="425"/>
        <w:jc w:val="both"/>
        <w:rPr>
          <w:rFonts w:asciiTheme="minorHAnsi" w:hAnsiTheme="minorHAnsi"/>
          <w:szCs w:val="22"/>
        </w:rPr>
      </w:pPr>
      <w:r w:rsidRPr="000E0CEB">
        <w:rPr>
          <w:rFonts w:asciiTheme="minorHAnsi" w:hAnsiTheme="minorHAnsi"/>
          <w:szCs w:val="22"/>
        </w:rPr>
        <w:t>po terminie,</w:t>
      </w:r>
    </w:p>
    <w:p w:rsidR="00471B61" w:rsidRPr="000E0CEB" w:rsidRDefault="00477DF1">
      <w:pPr>
        <w:numPr>
          <w:ilvl w:val="0"/>
          <w:numId w:val="12"/>
        </w:numPr>
        <w:spacing w:before="0" w:line="240" w:lineRule="auto"/>
        <w:ind w:left="426" w:hanging="425"/>
        <w:jc w:val="both"/>
        <w:rPr>
          <w:rFonts w:asciiTheme="minorHAnsi" w:hAnsiTheme="minorHAnsi"/>
          <w:szCs w:val="22"/>
        </w:rPr>
      </w:pPr>
      <w:r w:rsidRPr="000E0CEB">
        <w:rPr>
          <w:rFonts w:asciiTheme="minorHAnsi" w:hAnsiTheme="minorHAnsi"/>
          <w:szCs w:val="22"/>
        </w:rPr>
        <w:t>przez podmiot wykluczony z możliwości otrzymania dofinansowania,</w:t>
      </w:r>
    </w:p>
    <w:p w:rsidR="00471B61" w:rsidRPr="000E0CEB" w:rsidRDefault="00477DF1">
      <w:pPr>
        <w:numPr>
          <w:ilvl w:val="0"/>
          <w:numId w:val="12"/>
        </w:numPr>
        <w:spacing w:before="0" w:line="240" w:lineRule="auto"/>
        <w:ind w:left="426" w:hanging="425"/>
        <w:jc w:val="both"/>
        <w:rPr>
          <w:rFonts w:asciiTheme="minorHAnsi" w:hAnsiTheme="minorHAnsi"/>
          <w:szCs w:val="22"/>
        </w:rPr>
      </w:pPr>
      <w:r w:rsidRPr="000E0CEB">
        <w:rPr>
          <w:rFonts w:asciiTheme="minorHAnsi" w:hAnsiTheme="minorHAnsi"/>
          <w:szCs w:val="22"/>
        </w:rPr>
        <w:t>bez wskazania kryteriów wyboru projektów, z których oceną wnioskodawca się nie zgadza, wraz z uzasadnieniem,</w:t>
      </w:r>
    </w:p>
    <w:p w:rsidR="00471B61" w:rsidRPr="000E0CEB" w:rsidRDefault="00477DF1">
      <w:pPr>
        <w:numPr>
          <w:ilvl w:val="0"/>
          <w:numId w:val="12"/>
        </w:numPr>
        <w:spacing w:before="0" w:line="240" w:lineRule="auto"/>
        <w:ind w:left="426" w:hanging="425"/>
        <w:jc w:val="both"/>
        <w:rPr>
          <w:rFonts w:asciiTheme="minorHAnsi" w:hAnsiTheme="minorHAnsi"/>
          <w:szCs w:val="22"/>
        </w:rPr>
      </w:pPr>
      <w:r w:rsidRPr="000E0CEB">
        <w:rPr>
          <w:rFonts w:asciiTheme="minorHAnsi" w:hAnsiTheme="minorHAnsi"/>
          <w:szCs w:val="22"/>
        </w:rPr>
        <w:t>w przypadku wyczerpania kwoty na dofinansowanie projektów w ramach działania, o czym wnioskodawca jest informowany przez IOK (odpowiednio IZ RPO WD/ZIT AJ) na piśmie wraz z pouczeniem o możliwości wniesienia skargi do sądu administracyjnego na zasadach określonych w art. 61 Ustawy.</w:t>
      </w:r>
    </w:p>
    <w:p w:rsidR="00B63284" w:rsidRPr="000E0CEB" w:rsidRDefault="004D576A">
      <w:pPr>
        <w:pStyle w:val="Nagwek2"/>
        <w:numPr>
          <w:ilvl w:val="3"/>
          <w:numId w:val="10"/>
        </w:numPr>
        <w:ind w:left="284" w:hanging="284"/>
      </w:pPr>
      <w:bookmarkStart w:id="295" w:name="_Toc430826856"/>
      <w:bookmarkStart w:id="296" w:name="_Toc426632971"/>
      <w:bookmarkStart w:id="297" w:name="_Toc438125977"/>
      <w:bookmarkStart w:id="298" w:name="_Toc441241716"/>
      <w:bookmarkEnd w:id="295"/>
      <w:bookmarkEnd w:id="296"/>
      <w:r w:rsidRPr="000E0CEB">
        <w:t>Rozpatrzenie protestu</w:t>
      </w:r>
      <w:bookmarkEnd w:id="297"/>
      <w:bookmarkEnd w:id="298"/>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IZ RPO WD informuje wnioskodawcę na piśmie o wyniku rozpatrzenia jego protestu. Informacja ta zawiera w szczególności:</w:t>
      </w:r>
    </w:p>
    <w:p w:rsidR="00471B61" w:rsidRPr="000E0CEB" w:rsidRDefault="00477DF1">
      <w:pPr>
        <w:numPr>
          <w:ilvl w:val="0"/>
          <w:numId w:val="13"/>
        </w:numPr>
        <w:spacing w:before="120" w:after="120" w:line="240" w:lineRule="auto"/>
        <w:ind w:left="426" w:hanging="425"/>
        <w:jc w:val="both"/>
        <w:rPr>
          <w:rFonts w:asciiTheme="minorHAnsi" w:hAnsiTheme="minorHAnsi"/>
          <w:szCs w:val="22"/>
        </w:rPr>
      </w:pPr>
      <w:r w:rsidRPr="000E0CEB">
        <w:rPr>
          <w:rFonts w:asciiTheme="minorHAnsi" w:hAnsiTheme="minorHAnsi"/>
          <w:szCs w:val="22"/>
        </w:rPr>
        <w:t>treść rozstrzygnięcia polegającego na uwzględnieniu albo nieuwzględnieniu protestu wraz z uzasadnieniem,</w:t>
      </w:r>
    </w:p>
    <w:p w:rsidR="00471B61" w:rsidRPr="000E0CEB" w:rsidRDefault="00477DF1">
      <w:pPr>
        <w:numPr>
          <w:ilvl w:val="0"/>
          <w:numId w:val="13"/>
        </w:numPr>
        <w:spacing w:before="120" w:after="120" w:line="240" w:lineRule="auto"/>
        <w:ind w:left="426" w:hanging="425"/>
        <w:jc w:val="both"/>
        <w:rPr>
          <w:rFonts w:asciiTheme="minorHAnsi" w:hAnsiTheme="minorHAnsi"/>
          <w:szCs w:val="22"/>
        </w:rPr>
      </w:pPr>
      <w:r w:rsidRPr="000E0CEB">
        <w:rPr>
          <w:rFonts w:asciiTheme="minorHAnsi" w:hAnsiTheme="minorHAnsi"/>
          <w:szCs w:val="22"/>
        </w:rPr>
        <w:t>w przypadku nieuwzględnienia protestu – pouczenie o możliwości wniesienia skargi do sądu administracyjnego na zasadach określonych w art. 61 Ustawy.</w:t>
      </w:r>
    </w:p>
    <w:p w:rsidR="00471B61" w:rsidRPr="000E0CEB" w:rsidRDefault="00477DF1" w:rsidP="00005011">
      <w:pPr>
        <w:jc w:val="both"/>
        <w:rPr>
          <w:rFonts w:asciiTheme="minorHAnsi" w:hAnsiTheme="minorHAnsi"/>
          <w:szCs w:val="22"/>
        </w:rPr>
      </w:pPr>
      <w:r w:rsidRPr="000E0CEB">
        <w:rPr>
          <w:rFonts w:asciiTheme="minorHAnsi" w:hAnsiTheme="minorHAnsi"/>
          <w:szCs w:val="22"/>
        </w:rPr>
        <w:t>W przypadku uwzględnienia protestu IZ RPO WD może skierować wniosek do odpowiedniego etapu oceny albo umieścić go na liście projektów wybranych do dofinansowania w wyniku przeprowadzenia procedury odwoławczej, informując o tym Wnioskodawcę.</w:t>
      </w:r>
    </w:p>
    <w:p w:rsidR="00B63284" w:rsidRPr="000E0CEB" w:rsidRDefault="004D576A">
      <w:pPr>
        <w:pStyle w:val="Nagwek2"/>
        <w:numPr>
          <w:ilvl w:val="3"/>
          <w:numId w:val="10"/>
        </w:numPr>
        <w:ind w:left="284" w:hanging="284"/>
      </w:pPr>
      <w:bookmarkStart w:id="299" w:name="_Toc441241717"/>
      <w:bookmarkStart w:id="300" w:name="_Toc430826857"/>
      <w:bookmarkStart w:id="301" w:name="_Toc426632972"/>
      <w:bookmarkStart w:id="302" w:name="_Toc438125978"/>
      <w:bookmarkStart w:id="303" w:name="_Toc441241718"/>
      <w:bookmarkEnd w:id="299"/>
      <w:bookmarkEnd w:id="300"/>
      <w:bookmarkEnd w:id="301"/>
      <w:r w:rsidRPr="000E0CEB">
        <w:t>Wycofanie protestu</w:t>
      </w:r>
      <w:bookmarkEnd w:id="302"/>
      <w:bookmarkEnd w:id="303"/>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tej samej sprawie i w tym samym zakresie w ramach której wnioskodawca wycofał protest, jednak wyłącznie przy zachowaniu pierwotnego terminu na wniesienie protestu. </w:t>
      </w:r>
    </w:p>
    <w:p w:rsidR="00B63284" w:rsidRPr="000E0CEB" w:rsidRDefault="004D576A">
      <w:pPr>
        <w:pStyle w:val="Nagwek2"/>
        <w:numPr>
          <w:ilvl w:val="3"/>
          <w:numId w:val="10"/>
        </w:numPr>
        <w:ind w:left="284" w:hanging="284"/>
      </w:pPr>
      <w:bookmarkStart w:id="304" w:name="_Toc430826858"/>
      <w:bookmarkStart w:id="305" w:name="_Toc426632973"/>
      <w:bookmarkStart w:id="306" w:name="_Toc438125979"/>
      <w:bookmarkStart w:id="307" w:name="_Toc441241719"/>
      <w:bookmarkEnd w:id="304"/>
      <w:bookmarkEnd w:id="305"/>
      <w:r w:rsidRPr="000E0CEB">
        <w:t>Skarga do sądu administracyjnego</w:t>
      </w:r>
      <w:bookmarkEnd w:id="306"/>
      <w:bookmarkEnd w:id="307"/>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Prawo do wniesienia skargi do sądu administracyjnego przysługuje wnioskodawcy w przypadkach określonych w art. 61 Ustawy. Skarga wnoszona jest w terminie 14 dni od dnia otrzymania odpowiedniej </w:t>
      </w:r>
      <w:r w:rsidRPr="000E0CEB">
        <w:rPr>
          <w:rFonts w:asciiTheme="minorHAnsi" w:hAnsiTheme="minorHAnsi"/>
          <w:szCs w:val="22"/>
        </w:rPr>
        <w:lastRenderedPageBreak/>
        <w:t>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Kompletna dokumentacja jest wnoszona przez Wnioskodawcę w oryginale lub w postaci uwierzytelnionej kopii.</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Sąd rozpoznaje skargę w terminie 30 dni od dnia jej wniesienia.</w:t>
      </w:r>
    </w:p>
    <w:p w:rsidR="00471B61" w:rsidRPr="000E0CEB" w:rsidRDefault="00477DF1">
      <w:pPr>
        <w:spacing w:before="0" w:line="240" w:lineRule="auto"/>
        <w:jc w:val="both"/>
        <w:rPr>
          <w:rFonts w:asciiTheme="minorHAnsi" w:hAnsiTheme="minorHAnsi"/>
          <w:szCs w:val="22"/>
        </w:rPr>
      </w:pPr>
      <w:r w:rsidRPr="000E0CEB">
        <w:rPr>
          <w:rFonts w:asciiTheme="minorHAnsi" w:hAnsiTheme="minorHAnsi"/>
          <w:szCs w:val="22"/>
        </w:rPr>
        <w:t>Wniesienie skargi:</w:t>
      </w:r>
    </w:p>
    <w:p w:rsidR="00471B61" w:rsidRPr="000E0CEB" w:rsidRDefault="00477DF1">
      <w:pPr>
        <w:numPr>
          <w:ilvl w:val="0"/>
          <w:numId w:val="14"/>
        </w:numPr>
        <w:spacing w:before="0" w:line="240" w:lineRule="auto"/>
        <w:ind w:left="426" w:hanging="425"/>
        <w:jc w:val="both"/>
        <w:rPr>
          <w:rFonts w:asciiTheme="minorHAnsi" w:hAnsiTheme="minorHAnsi"/>
          <w:szCs w:val="22"/>
        </w:rPr>
      </w:pPr>
      <w:r w:rsidRPr="000E0CEB">
        <w:rPr>
          <w:rFonts w:asciiTheme="minorHAnsi" w:hAnsiTheme="minorHAnsi"/>
          <w:szCs w:val="22"/>
        </w:rPr>
        <w:t>po terminie,</w:t>
      </w:r>
    </w:p>
    <w:p w:rsidR="00471B61" w:rsidRPr="000E0CEB" w:rsidRDefault="00477DF1">
      <w:pPr>
        <w:numPr>
          <w:ilvl w:val="0"/>
          <w:numId w:val="14"/>
        </w:numPr>
        <w:spacing w:before="0" w:line="240" w:lineRule="auto"/>
        <w:ind w:left="426" w:hanging="425"/>
        <w:jc w:val="both"/>
        <w:rPr>
          <w:rFonts w:asciiTheme="minorHAnsi" w:hAnsiTheme="minorHAnsi"/>
          <w:szCs w:val="22"/>
        </w:rPr>
      </w:pPr>
      <w:r w:rsidRPr="000E0CEB">
        <w:rPr>
          <w:rFonts w:asciiTheme="minorHAnsi" w:hAnsiTheme="minorHAnsi"/>
          <w:szCs w:val="22"/>
        </w:rPr>
        <w:t>bez kompletnej dokumentacji,</w:t>
      </w:r>
    </w:p>
    <w:p w:rsidR="00471B61" w:rsidRPr="000E0CEB" w:rsidRDefault="00477DF1">
      <w:pPr>
        <w:numPr>
          <w:ilvl w:val="0"/>
          <w:numId w:val="14"/>
        </w:numPr>
        <w:spacing w:before="0" w:line="240" w:lineRule="auto"/>
        <w:ind w:left="426" w:hanging="425"/>
        <w:jc w:val="both"/>
        <w:rPr>
          <w:rFonts w:asciiTheme="minorHAnsi" w:hAnsiTheme="minorHAnsi"/>
          <w:szCs w:val="22"/>
        </w:rPr>
      </w:pPr>
      <w:r w:rsidRPr="000E0CEB">
        <w:rPr>
          <w:rFonts w:asciiTheme="minorHAnsi" w:hAnsiTheme="minorHAnsi"/>
          <w:szCs w:val="22"/>
        </w:rPr>
        <w:t>bez uiszczenia wpisu stałego w terminie,</w:t>
      </w:r>
    </w:p>
    <w:p w:rsidR="00471B61" w:rsidRPr="000E0CEB" w:rsidRDefault="00477DF1">
      <w:pPr>
        <w:spacing w:before="0" w:line="240" w:lineRule="auto"/>
        <w:ind w:left="567" w:hanging="567"/>
        <w:jc w:val="both"/>
        <w:rPr>
          <w:rFonts w:asciiTheme="minorHAnsi" w:hAnsiTheme="minorHAnsi"/>
          <w:szCs w:val="22"/>
        </w:rPr>
      </w:pPr>
      <w:r w:rsidRPr="000E0CEB">
        <w:rPr>
          <w:rFonts w:asciiTheme="minorHAnsi" w:hAnsiTheme="minorHAnsi"/>
          <w:szCs w:val="22"/>
        </w:rPr>
        <w:t>powoduje pozostawienie jej bez rozpatrzenia.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wyniku rozpoznania skargi sąd może:</w:t>
      </w:r>
    </w:p>
    <w:p w:rsidR="00471B61" w:rsidRPr="000E0CEB" w:rsidRDefault="00477DF1">
      <w:pPr>
        <w:numPr>
          <w:ilvl w:val="0"/>
          <w:numId w:val="15"/>
        </w:numPr>
        <w:spacing w:before="0" w:line="240" w:lineRule="auto"/>
        <w:ind w:left="426" w:hanging="425"/>
        <w:jc w:val="both"/>
        <w:rPr>
          <w:rFonts w:asciiTheme="minorHAnsi" w:hAnsiTheme="minorHAnsi"/>
          <w:szCs w:val="22"/>
        </w:rPr>
      </w:pPr>
      <w:r w:rsidRPr="000E0CEB">
        <w:rPr>
          <w:rFonts w:asciiTheme="minorHAnsi" w:hAnsiTheme="minorHAnsi"/>
          <w:szCs w:val="22"/>
        </w:rPr>
        <w:t>uwzględnić skargę, stwierdzając, że:</w:t>
      </w:r>
    </w:p>
    <w:p w:rsidR="00471B61" w:rsidRPr="000E0CEB" w:rsidRDefault="00477DF1">
      <w:pPr>
        <w:numPr>
          <w:ilvl w:val="0"/>
          <w:numId w:val="9"/>
        </w:numPr>
        <w:spacing w:before="0" w:line="240" w:lineRule="auto"/>
        <w:ind w:left="426" w:hanging="425"/>
        <w:jc w:val="both"/>
        <w:rPr>
          <w:rFonts w:asciiTheme="minorHAnsi" w:hAnsiTheme="minorHAnsi"/>
          <w:szCs w:val="22"/>
        </w:rPr>
      </w:pPr>
      <w:r w:rsidRPr="000E0CEB">
        <w:rPr>
          <w:rFonts w:asciiTheme="minorHAnsi" w:hAnsiTheme="minorHAnsi"/>
          <w:szCs w:val="22"/>
        </w:rPr>
        <w:t>ocena projektu została przeprowadzona w sposób naruszający prawo i naruszenie to miało istotny wpływ na wynik oceny, przekazując jednocześnie sprawę do ponownego rozpatrzenia przez IOK (odpowiednio IZ RPO WD/ZIT AJ),</w:t>
      </w:r>
    </w:p>
    <w:p w:rsidR="00471B61" w:rsidRPr="000E0CEB" w:rsidRDefault="00477DF1">
      <w:pPr>
        <w:numPr>
          <w:ilvl w:val="0"/>
          <w:numId w:val="9"/>
        </w:numPr>
        <w:spacing w:before="0" w:line="240" w:lineRule="auto"/>
        <w:ind w:left="426" w:hanging="425"/>
        <w:jc w:val="both"/>
        <w:rPr>
          <w:rFonts w:asciiTheme="minorHAnsi" w:hAnsiTheme="minorHAnsi"/>
          <w:szCs w:val="22"/>
        </w:rPr>
      </w:pPr>
      <w:r w:rsidRPr="000E0CEB">
        <w:rPr>
          <w:rFonts w:asciiTheme="minorHAnsi" w:hAnsiTheme="minorHAnsi"/>
          <w:szCs w:val="22"/>
        </w:rPr>
        <w:t>pozostawienie protestu bez rozpatrzenia było nieuzasadnione, przekazując sprawę do rozpatrzenia przez IZ RPO WD (odpowiednio IZ RPO WD/ZIT AJ),</w:t>
      </w:r>
    </w:p>
    <w:p w:rsidR="00471B61" w:rsidRPr="000E0CEB" w:rsidRDefault="00477DF1">
      <w:pPr>
        <w:numPr>
          <w:ilvl w:val="0"/>
          <w:numId w:val="15"/>
        </w:numPr>
        <w:spacing w:before="0" w:line="240" w:lineRule="auto"/>
        <w:ind w:left="426" w:hanging="425"/>
        <w:jc w:val="both"/>
        <w:rPr>
          <w:rFonts w:asciiTheme="minorHAnsi" w:hAnsiTheme="minorHAnsi"/>
          <w:szCs w:val="22"/>
        </w:rPr>
      </w:pPr>
      <w:r w:rsidRPr="000E0CEB">
        <w:rPr>
          <w:rFonts w:asciiTheme="minorHAnsi" w:hAnsiTheme="minorHAnsi"/>
          <w:szCs w:val="22"/>
        </w:rPr>
        <w:t>oddalić skargę w przypadku jej nieuwzględnienia,</w:t>
      </w:r>
    </w:p>
    <w:p w:rsidR="00471B61" w:rsidRPr="000E0CEB" w:rsidRDefault="00477DF1">
      <w:pPr>
        <w:numPr>
          <w:ilvl w:val="0"/>
          <w:numId w:val="15"/>
        </w:numPr>
        <w:spacing w:before="0" w:line="240" w:lineRule="auto"/>
        <w:ind w:left="426" w:hanging="425"/>
        <w:jc w:val="both"/>
        <w:rPr>
          <w:rFonts w:asciiTheme="minorHAnsi" w:hAnsiTheme="minorHAnsi"/>
          <w:szCs w:val="22"/>
        </w:rPr>
      </w:pPr>
      <w:r w:rsidRPr="000E0CEB">
        <w:rPr>
          <w:rFonts w:asciiTheme="minorHAnsi" w:hAnsiTheme="minorHAnsi"/>
          <w:szCs w:val="22"/>
        </w:rPr>
        <w:t>umorzyć postępowanie w sprawie, jeżeli jest ono bezprzedmiotowe.</w:t>
      </w:r>
    </w:p>
    <w:p w:rsidR="00471B61" w:rsidRPr="000E0CEB" w:rsidRDefault="00477DF1">
      <w:pPr>
        <w:spacing w:before="120" w:after="120"/>
        <w:jc w:val="both"/>
        <w:rPr>
          <w:rFonts w:asciiTheme="minorHAnsi" w:hAnsiTheme="minorHAnsi"/>
          <w:szCs w:val="22"/>
        </w:rPr>
      </w:pPr>
      <w:r w:rsidRPr="000E0CEB">
        <w:rPr>
          <w:rFonts w:asciiTheme="minorHAnsi" w:hAnsiTheme="minorHAnsi"/>
          <w:szCs w:val="22"/>
        </w:rPr>
        <w:t>Od wyroku sądu administracyjnego zgodnie z art. 62 Ustawy przysługuje możliwość wniesienia skargi kasacyjnej (wraz z kompletną dokumentacją) do Naczelnego Sądu Administracyjnego przez:</w:t>
      </w:r>
    </w:p>
    <w:p w:rsidR="00471B61" w:rsidRPr="000E0CEB" w:rsidRDefault="00477DF1">
      <w:pPr>
        <w:pStyle w:val="Akapitzlist"/>
        <w:numPr>
          <w:ilvl w:val="0"/>
          <w:numId w:val="52"/>
        </w:numPr>
        <w:spacing w:before="120" w:after="120" w:line="240" w:lineRule="auto"/>
        <w:jc w:val="both"/>
        <w:rPr>
          <w:rFonts w:asciiTheme="minorHAnsi" w:hAnsiTheme="minorHAnsi"/>
          <w:sz w:val="22"/>
          <w:szCs w:val="22"/>
        </w:rPr>
      </w:pPr>
      <w:r w:rsidRPr="000E0CEB">
        <w:rPr>
          <w:rFonts w:asciiTheme="minorHAnsi" w:hAnsiTheme="minorHAnsi"/>
          <w:sz w:val="22"/>
          <w:szCs w:val="22"/>
        </w:rPr>
        <w:t xml:space="preserve">Wnioskodawcę, </w:t>
      </w:r>
    </w:p>
    <w:p w:rsidR="00471B61" w:rsidRPr="000E0CEB" w:rsidRDefault="00477DF1">
      <w:pPr>
        <w:pStyle w:val="Akapitzlist"/>
        <w:numPr>
          <w:ilvl w:val="0"/>
          <w:numId w:val="52"/>
        </w:numPr>
        <w:spacing w:before="120" w:after="120" w:line="240" w:lineRule="auto"/>
        <w:jc w:val="both"/>
        <w:rPr>
          <w:rFonts w:asciiTheme="minorHAnsi" w:hAnsiTheme="minorHAnsi"/>
          <w:sz w:val="22"/>
          <w:szCs w:val="22"/>
        </w:rPr>
      </w:pPr>
      <w:r w:rsidRPr="000E0CEB">
        <w:rPr>
          <w:rFonts w:asciiTheme="minorHAnsi" w:hAnsiTheme="minorHAnsi"/>
          <w:sz w:val="22"/>
          <w:szCs w:val="22"/>
        </w:rPr>
        <w:t>IZ RPO WD,</w:t>
      </w:r>
    </w:p>
    <w:p w:rsidR="00471B61" w:rsidRPr="000E0CEB" w:rsidRDefault="00477DF1">
      <w:pPr>
        <w:pStyle w:val="Akapitzlist"/>
        <w:numPr>
          <w:ilvl w:val="0"/>
          <w:numId w:val="52"/>
        </w:numPr>
        <w:spacing w:before="120" w:after="120" w:line="240" w:lineRule="auto"/>
        <w:jc w:val="both"/>
        <w:rPr>
          <w:rFonts w:asciiTheme="minorHAnsi" w:hAnsiTheme="minorHAnsi"/>
          <w:sz w:val="22"/>
          <w:szCs w:val="22"/>
        </w:rPr>
      </w:pPr>
      <w:r w:rsidRPr="000E0CEB">
        <w:rPr>
          <w:rFonts w:asciiTheme="minorHAnsi" w:hAnsiTheme="minorHAnsi"/>
          <w:sz w:val="22"/>
          <w:szCs w:val="22"/>
        </w:rPr>
        <w:t>IOK  - przypadku pozostawienia protestu bez rozpatrzenia oraz dokonania negatywnej ponownej oceny projektu przez tą instytucję</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terminie 14 dni od dnia doręczenia rozstrzygnięcia wojewódzkiego sądu administracyjnego. Skarga jest rozpatrywana w terminie 30 dni od dnia jej wniesienia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Prawomocne rozstrzygnięcie sądu administracyjnego polegające na oddaleniu skargi, odrzuceniu skargi albo pozostawieniu skargi bez rozpatrzenia kończy procedurę odwoławczą oraz procedurę wyboru projektu.</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Procedura odwoławcza nie wstrzymuje zawierania umów z wnioskodawcami, których projekty zostały wybrane do dofinansowania.</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471B61" w:rsidRPr="000E0CEB" w:rsidRDefault="00477DF1">
      <w:pPr>
        <w:spacing w:before="0" w:after="200" w:line="276" w:lineRule="auto"/>
        <w:rPr>
          <w:rFonts w:asciiTheme="minorHAnsi" w:hAnsiTheme="minorHAnsi"/>
          <w:szCs w:val="22"/>
        </w:rPr>
      </w:pPr>
      <w:r w:rsidRPr="000E0CEB">
        <w:rPr>
          <w:rFonts w:asciiTheme="minorHAnsi" w:hAnsiTheme="minorHAnsi"/>
        </w:rPr>
        <w:br w:type="page"/>
      </w: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308" w:name="_Toc426632974"/>
      <w:bookmarkStart w:id="309" w:name="_Toc430826859"/>
      <w:bookmarkStart w:id="310" w:name="_Toc438125980"/>
      <w:bookmarkStart w:id="311" w:name="_Toc441241720"/>
      <w:bookmarkEnd w:id="308"/>
      <w:bookmarkEnd w:id="309"/>
      <w:r w:rsidRPr="000E0CEB">
        <w:rPr>
          <w:sz w:val="22"/>
          <w:szCs w:val="22"/>
        </w:rPr>
        <w:lastRenderedPageBreak/>
        <w:t>VII. Postanowienia końcowe</w:t>
      </w:r>
      <w:bookmarkEnd w:id="310"/>
      <w:bookmarkEnd w:id="311"/>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 xml:space="preserve">IOK szacuje, że orientacyjny termin rozstrzygnięcia konkursu przypadnie na: </w:t>
      </w:r>
    </w:p>
    <w:p w:rsidR="00471B61" w:rsidRPr="000E0CEB" w:rsidRDefault="00477DF1">
      <w:pPr>
        <w:pStyle w:val="Akapitzlist"/>
        <w:numPr>
          <w:ilvl w:val="0"/>
          <w:numId w:val="35"/>
        </w:numPr>
        <w:spacing w:before="120" w:after="120" w:line="240" w:lineRule="auto"/>
        <w:jc w:val="both"/>
        <w:rPr>
          <w:rFonts w:asciiTheme="minorHAnsi" w:hAnsiTheme="minorHAnsi"/>
          <w:sz w:val="22"/>
          <w:szCs w:val="22"/>
        </w:rPr>
      </w:pPr>
      <w:r w:rsidRPr="000E0CEB">
        <w:rPr>
          <w:rFonts w:asciiTheme="minorHAnsi" w:hAnsiTheme="minorHAnsi"/>
          <w:sz w:val="22"/>
          <w:szCs w:val="22"/>
        </w:rPr>
        <w:t>maj 2016 roku – w przypadku, gdy ocenie formalno-merytorycznej podlegać będzie do 80 wniosków,</w:t>
      </w:r>
    </w:p>
    <w:p w:rsidR="00471B61" w:rsidRPr="000E0CEB" w:rsidRDefault="00477DF1">
      <w:pPr>
        <w:pStyle w:val="Akapitzlist"/>
        <w:numPr>
          <w:ilvl w:val="0"/>
          <w:numId w:val="35"/>
        </w:numPr>
        <w:spacing w:before="120" w:after="120" w:line="240" w:lineRule="auto"/>
        <w:jc w:val="both"/>
        <w:rPr>
          <w:rFonts w:asciiTheme="minorHAnsi" w:hAnsiTheme="minorHAnsi"/>
          <w:sz w:val="22"/>
          <w:szCs w:val="22"/>
        </w:rPr>
      </w:pPr>
      <w:r w:rsidRPr="000E0CEB">
        <w:rPr>
          <w:rFonts w:asciiTheme="minorHAnsi" w:hAnsiTheme="minorHAnsi"/>
          <w:sz w:val="22"/>
          <w:szCs w:val="22"/>
        </w:rPr>
        <w:t>czerwiec 2016 roku w przypadku, gdy ocenie formalno-merytorycznej podlegać będzie od 81 do 150 wniosków,</w:t>
      </w:r>
    </w:p>
    <w:p w:rsidR="00471B61" w:rsidRPr="000E0CEB" w:rsidRDefault="00477DF1">
      <w:pPr>
        <w:pStyle w:val="Akapitzlist"/>
        <w:numPr>
          <w:ilvl w:val="0"/>
          <w:numId w:val="35"/>
        </w:numPr>
        <w:spacing w:before="120" w:after="120" w:line="240" w:lineRule="auto"/>
        <w:jc w:val="both"/>
        <w:rPr>
          <w:rFonts w:asciiTheme="minorHAnsi" w:hAnsiTheme="minorHAnsi"/>
          <w:sz w:val="22"/>
          <w:szCs w:val="22"/>
        </w:rPr>
      </w:pPr>
      <w:r w:rsidRPr="000E0CEB">
        <w:rPr>
          <w:rFonts w:asciiTheme="minorHAnsi" w:hAnsiTheme="minorHAnsi"/>
          <w:sz w:val="22"/>
          <w:szCs w:val="22"/>
        </w:rPr>
        <w:t>lipiec 2016 roku – w przypadku gdy ocenie formalno-merytorycznej podlegać będzie powyżej 150 wniosków.</w:t>
      </w:r>
    </w:p>
    <w:p w:rsidR="00471B61" w:rsidRPr="000E0CEB" w:rsidRDefault="00477DF1">
      <w:pPr>
        <w:spacing w:before="120" w:after="120" w:line="240" w:lineRule="auto"/>
        <w:jc w:val="both"/>
        <w:rPr>
          <w:rFonts w:asciiTheme="minorHAnsi" w:hAnsiTheme="minorHAnsi"/>
          <w:szCs w:val="22"/>
        </w:rPr>
      </w:pPr>
      <w:r w:rsidRPr="000E0CEB">
        <w:rPr>
          <w:rFonts w:asciiTheme="minorHAnsi" w:hAnsiTheme="minorHAnsi"/>
          <w:szCs w:val="22"/>
        </w:rPr>
        <w:t>Czas trwania poszczególnych etapów konkursu wyniesie odpowiednio:</w:t>
      </w:r>
    </w:p>
    <w:p w:rsidR="00471B61" w:rsidRPr="000E0CEB" w:rsidRDefault="00477DF1">
      <w:pPr>
        <w:pStyle w:val="Akapitzlist"/>
        <w:numPr>
          <w:ilvl w:val="0"/>
          <w:numId w:val="28"/>
        </w:numPr>
        <w:spacing w:before="120" w:after="120" w:line="240" w:lineRule="auto"/>
        <w:ind w:left="426"/>
        <w:jc w:val="both"/>
        <w:rPr>
          <w:rFonts w:asciiTheme="minorHAnsi" w:hAnsiTheme="minorHAnsi"/>
          <w:sz w:val="22"/>
          <w:szCs w:val="22"/>
        </w:rPr>
      </w:pPr>
      <w:r w:rsidRPr="000E0CEB">
        <w:rPr>
          <w:rFonts w:asciiTheme="minorHAnsi" w:hAnsiTheme="minorHAnsi"/>
          <w:sz w:val="22"/>
          <w:szCs w:val="22"/>
        </w:rPr>
        <w:t>nabór wniosków – od 03.02.2016 r. do 02.03.2016 roku,</w:t>
      </w:r>
    </w:p>
    <w:p w:rsidR="00471B61" w:rsidRPr="000E0CEB" w:rsidRDefault="00477DF1">
      <w:pPr>
        <w:pStyle w:val="Akapitzlist"/>
        <w:numPr>
          <w:ilvl w:val="0"/>
          <w:numId w:val="28"/>
        </w:numPr>
        <w:spacing w:before="120" w:after="120" w:line="240" w:lineRule="auto"/>
        <w:ind w:left="426"/>
        <w:jc w:val="both"/>
        <w:rPr>
          <w:rFonts w:asciiTheme="minorHAnsi" w:hAnsiTheme="minorHAnsi"/>
          <w:sz w:val="22"/>
          <w:szCs w:val="22"/>
        </w:rPr>
      </w:pPr>
      <w:r w:rsidRPr="000E0CEB">
        <w:rPr>
          <w:rFonts w:asciiTheme="minorHAnsi" w:hAnsiTheme="minorHAnsi"/>
          <w:sz w:val="22"/>
          <w:szCs w:val="22"/>
        </w:rPr>
        <w:t>weryfikacja techniczna – nie później niż 14 dni od daty zakończenia naboru, w przypadku uzupełnienia lub korekty wniosku na tym etapie termin zostanie wydłużony.</w:t>
      </w:r>
    </w:p>
    <w:p w:rsidR="00471B61" w:rsidRPr="000E0CEB" w:rsidRDefault="00883483">
      <w:pPr>
        <w:pStyle w:val="Akapitzlist"/>
        <w:numPr>
          <w:ilvl w:val="0"/>
          <w:numId w:val="28"/>
        </w:numPr>
        <w:spacing w:before="120" w:after="120" w:line="240" w:lineRule="auto"/>
        <w:ind w:left="426"/>
        <w:jc w:val="both"/>
        <w:rPr>
          <w:rFonts w:asciiTheme="minorHAnsi" w:hAnsiTheme="minorHAnsi"/>
          <w:sz w:val="22"/>
          <w:szCs w:val="22"/>
        </w:rPr>
      </w:pPr>
      <w:r w:rsidRPr="000E0CEB">
        <w:rPr>
          <w:rFonts w:asciiTheme="minorHAnsi" w:hAnsiTheme="minorHAnsi"/>
          <w:sz w:val="22"/>
          <w:szCs w:val="22"/>
        </w:rPr>
        <w:t>o</w:t>
      </w:r>
      <w:r w:rsidR="00477DF1" w:rsidRPr="000E0CEB">
        <w:rPr>
          <w:rFonts w:asciiTheme="minorHAnsi" w:hAnsiTheme="minorHAnsi"/>
          <w:sz w:val="22"/>
          <w:szCs w:val="22"/>
        </w:rPr>
        <w:t>cena zgodności ze strategią ZIT AJ:</w:t>
      </w:r>
    </w:p>
    <w:p w:rsidR="00471B61" w:rsidRPr="000E0CEB" w:rsidRDefault="00477DF1">
      <w:pPr>
        <w:pStyle w:val="Akapitzlist"/>
        <w:spacing w:before="120" w:after="120" w:line="240" w:lineRule="auto"/>
        <w:ind w:left="426"/>
        <w:jc w:val="both"/>
        <w:rPr>
          <w:rFonts w:asciiTheme="minorHAnsi" w:hAnsiTheme="minorHAnsi"/>
          <w:sz w:val="22"/>
          <w:szCs w:val="22"/>
        </w:rPr>
      </w:pPr>
      <w:r w:rsidRPr="000E0CEB">
        <w:rPr>
          <w:rFonts w:asciiTheme="minorHAnsi" w:hAnsiTheme="minorHAnsi"/>
          <w:sz w:val="22"/>
          <w:szCs w:val="22"/>
        </w:rPr>
        <w:t>- 21 dni, gdy ocenie podlegać będzie do  80 wniosków,</w:t>
      </w:r>
    </w:p>
    <w:p w:rsidR="00824E85" w:rsidRPr="000E0CEB" w:rsidRDefault="00477DF1" w:rsidP="00883483">
      <w:pPr>
        <w:pStyle w:val="Akapitzlist"/>
        <w:spacing w:before="120" w:after="120" w:line="240" w:lineRule="auto"/>
        <w:ind w:left="426"/>
        <w:jc w:val="both"/>
        <w:rPr>
          <w:rFonts w:asciiTheme="minorHAnsi" w:hAnsiTheme="minorHAnsi"/>
          <w:sz w:val="22"/>
        </w:rPr>
      </w:pPr>
      <w:r w:rsidRPr="000E0CEB">
        <w:rPr>
          <w:rFonts w:asciiTheme="minorHAnsi" w:hAnsiTheme="minorHAnsi"/>
          <w:sz w:val="22"/>
          <w:szCs w:val="22"/>
        </w:rPr>
        <w:t>- 28 dni, gdy ocenie podlegać będzie powyżej</w:t>
      </w:r>
      <w:r w:rsidRPr="000E0CEB">
        <w:rPr>
          <w:rFonts w:asciiTheme="minorHAnsi" w:hAnsiTheme="minorHAnsi"/>
          <w:strike/>
          <w:sz w:val="22"/>
          <w:szCs w:val="22"/>
        </w:rPr>
        <w:t xml:space="preserve">   </w:t>
      </w:r>
      <w:r w:rsidRPr="000E0CEB">
        <w:rPr>
          <w:rFonts w:asciiTheme="minorHAnsi" w:hAnsiTheme="minorHAnsi"/>
          <w:sz w:val="22"/>
          <w:szCs w:val="22"/>
        </w:rPr>
        <w:t>80 wniosków</w:t>
      </w:r>
      <w:r w:rsidR="00883483" w:rsidRPr="000E0CEB">
        <w:rPr>
          <w:rFonts w:asciiTheme="minorHAnsi" w:hAnsiTheme="minorHAnsi"/>
          <w:sz w:val="22"/>
          <w:szCs w:val="22"/>
        </w:rPr>
        <w:t>.</w:t>
      </w:r>
    </w:p>
    <w:p w:rsidR="00471B61" w:rsidRPr="000E0CEB" w:rsidRDefault="00477DF1">
      <w:pPr>
        <w:pStyle w:val="Akapitzlist"/>
        <w:numPr>
          <w:ilvl w:val="0"/>
          <w:numId w:val="28"/>
        </w:numPr>
        <w:spacing w:before="120" w:after="120" w:line="240" w:lineRule="auto"/>
        <w:ind w:left="426"/>
        <w:jc w:val="both"/>
        <w:rPr>
          <w:rFonts w:asciiTheme="minorHAnsi" w:hAnsiTheme="minorHAnsi"/>
          <w:sz w:val="22"/>
          <w:szCs w:val="22"/>
        </w:rPr>
      </w:pPr>
      <w:r w:rsidRPr="000E0CEB">
        <w:rPr>
          <w:rFonts w:asciiTheme="minorHAnsi" w:hAnsiTheme="minorHAnsi"/>
          <w:sz w:val="22"/>
          <w:szCs w:val="22"/>
        </w:rPr>
        <w:t>etap oceny formalno-merytorycznej wraz z ewentualnymi negocjacjami:</w:t>
      </w:r>
    </w:p>
    <w:p w:rsidR="00471B61" w:rsidRPr="000E0CEB" w:rsidRDefault="00477DF1">
      <w:pPr>
        <w:pStyle w:val="Akapitzlist"/>
        <w:numPr>
          <w:ilvl w:val="0"/>
          <w:numId w:val="36"/>
        </w:numPr>
        <w:spacing w:before="120" w:after="120" w:line="240" w:lineRule="auto"/>
        <w:ind w:left="709"/>
        <w:jc w:val="both"/>
        <w:rPr>
          <w:rFonts w:asciiTheme="minorHAnsi" w:hAnsiTheme="minorHAnsi"/>
          <w:sz w:val="22"/>
          <w:szCs w:val="22"/>
        </w:rPr>
      </w:pPr>
      <w:r w:rsidRPr="000E0CEB">
        <w:rPr>
          <w:rFonts w:asciiTheme="minorHAnsi" w:hAnsiTheme="minorHAnsi"/>
          <w:sz w:val="22"/>
          <w:szCs w:val="22"/>
        </w:rPr>
        <w:t>51 dni, gdy ocenie formalno-merytorycznej podlegać będzie do 80 wniosków,</w:t>
      </w:r>
    </w:p>
    <w:p w:rsidR="00471B61" w:rsidRPr="000E0CEB" w:rsidRDefault="00477DF1">
      <w:pPr>
        <w:pStyle w:val="Akapitzlist"/>
        <w:numPr>
          <w:ilvl w:val="0"/>
          <w:numId w:val="36"/>
        </w:numPr>
        <w:spacing w:before="120" w:after="120" w:line="240" w:lineRule="auto"/>
        <w:ind w:left="709"/>
        <w:jc w:val="both"/>
        <w:rPr>
          <w:rFonts w:asciiTheme="minorHAnsi" w:hAnsiTheme="minorHAnsi"/>
          <w:sz w:val="22"/>
          <w:szCs w:val="22"/>
        </w:rPr>
      </w:pPr>
      <w:r w:rsidRPr="000E0CEB">
        <w:rPr>
          <w:rFonts w:asciiTheme="minorHAnsi" w:hAnsiTheme="minorHAnsi"/>
          <w:sz w:val="22"/>
          <w:szCs w:val="22"/>
        </w:rPr>
        <w:t>81 dni, gdy ocenie formalno-merytorycznej podlegać będzie od 81 do 150 wniosków,</w:t>
      </w:r>
    </w:p>
    <w:p w:rsidR="00471B61" w:rsidRPr="000E0CEB" w:rsidRDefault="00477DF1">
      <w:pPr>
        <w:pStyle w:val="Akapitzlist"/>
        <w:numPr>
          <w:ilvl w:val="0"/>
          <w:numId w:val="36"/>
        </w:numPr>
        <w:spacing w:before="120" w:after="120" w:line="240" w:lineRule="auto"/>
        <w:ind w:left="709"/>
        <w:jc w:val="both"/>
        <w:rPr>
          <w:rFonts w:asciiTheme="minorHAnsi" w:hAnsiTheme="minorHAnsi"/>
          <w:sz w:val="22"/>
          <w:szCs w:val="22"/>
        </w:rPr>
      </w:pPr>
      <w:r w:rsidRPr="000E0CEB">
        <w:rPr>
          <w:rFonts w:asciiTheme="minorHAnsi" w:hAnsiTheme="minorHAnsi"/>
          <w:sz w:val="22"/>
          <w:szCs w:val="22"/>
        </w:rPr>
        <w:t>111 dni, gdy ocenie formalno-merytorycznej podlegać będzie powyżej 150 wniosków.</w:t>
      </w: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1B61">
      <w:pPr>
        <w:spacing w:before="120" w:after="120" w:line="240" w:lineRule="auto"/>
        <w:jc w:val="both"/>
        <w:rPr>
          <w:rFonts w:asciiTheme="minorHAnsi" w:hAnsiTheme="minorHAnsi"/>
          <w:szCs w:val="22"/>
        </w:rPr>
      </w:pPr>
    </w:p>
    <w:p w:rsidR="00471B61" w:rsidRPr="000E0CEB" w:rsidRDefault="00477DF1">
      <w:pPr>
        <w:pStyle w:val="Nagwek1"/>
        <w:pBdr>
          <w:top w:val="single" w:sz="12" w:space="1" w:color="00000A"/>
          <w:left w:val="single" w:sz="12" w:space="4" w:color="00000A"/>
          <w:bottom w:val="single" w:sz="12" w:space="1" w:color="00000A"/>
          <w:right w:val="single" w:sz="12" w:space="4" w:color="00000A"/>
        </w:pBdr>
        <w:spacing w:before="120" w:after="120" w:line="240" w:lineRule="auto"/>
        <w:jc w:val="both"/>
        <w:rPr>
          <w:sz w:val="22"/>
          <w:szCs w:val="22"/>
        </w:rPr>
      </w:pPr>
      <w:bookmarkStart w:id="312" w:name="_Toc430826860"/>
      <w:bookmarkStart w:id="313" w:name="_Toc426632975"/>
      <w:bookmarkStart w:id="314" w:name="_Toc85424341"/>
      <w:bookmarkStart w:id="315" w:name="_Toc72034477"/>
      <w:bookmarkStart w:id="316" w:name="_Toc438125981"/>
      <w:bookmarkStart w:id="317" w:name="_Toc441241721"/>
      <w:bookmarkEnd w:id="312"/>
      <w:bookmarkEnd w:id="313"/>
      <w:bookmarkEnd w:id="314"/>
      <w:bookmarkEnd w:id="315"/>
      <w:r w:rsidRPr="000E0CEB">
        <w:rPr>
          <w:sz w:val="22"/>
          <w:szCs w:val="22"/>
        </w:rPr>
        <w:lastRenderedPageBreak/>
        <w:t>VIII. Spis załączników</w:t>
      </w:r>
      <w:bookmarkEnd w:id="316"/>
      <w:bookmarkEnd w:id="317"/>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karty weryfikacji technicznej wniosku,</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karty weryfikacji technicznej uzupełnionego/poprawionego wniosku o dofinansowanie,</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karty oceny formalnej w ramach etapu oceny formalno–merytorycznej wniosku o dofinansowanie projektu konkursowego w ramach EFS,</w:t>
      </w:r>
    </w:p>
    <w:p w:rsidR="00471B61" w:rsidRPr="000E0CEB" w:rsidRDefault="00477DF1" w:rsidP="00883483">
      <w:pPr>
        <w:pStyle w:val="Zwykytekst"/>
        <w:numPr>
          <w:ilvl w:val="0"/>
          <w:numId w:val="16"/>
        </w:numPr>
        <w:spacing w:before="120" w:after="120"/>
        <w:rPr>
          <w:rFonts w:asciiTheme="minorHAnsi" w:hAnsiTheme="minorHAnsi"/>
          <w:sz w:val="22"/>
          <w:szCs w:val="22"/>
        </w:rPr>
      </w:pPr>
      <w:r w:rsidRPr="000E0CEB">
        <w:rPr>
          <w:rFonts w:asciiTheme="minorHAnsi" w:hAnsiTheme="minorHAnsi"/>
          <w:sz w:val="22"/>
          <w:szCs w:val="22"/>
        </w:rPr>
        <w:t>Wzór karty oceny merytorycznej w ramach etapu oceny formalno–merytorycznej wniosku o dofinansowanie projektu konkursowego w ramach EFS</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karty oceny zgodności projektu ze strategią ZIT AJ wniosku</w:t>
      </w:r>
      <w:r w:rsidR="00E323BD" w:rsidRPr="000E0CEB">
        <w:rPr>
          <w:rFonts w:asciiTheme="minorHAnsi" w:hAnsiTheme="minorHAnsi"/>
          <w:szCs w:val="22"/>
        </w:rPr>
        <w:t xml:space="preserve"> o</w:t>
      </w:r>
      <w:r w:rsidRPr="000E0CEB">
        <w:rPr>
          <w:rFonts w:asciiTheme="minorHAnsi" w:hAnsiTheme="minorHAnsi"/>
          <w:szCs w:val="22"/>
        </w:rPr>
        <w:t xml:space="preserve"> dofinansowanie projektu konkursowego w ramach RPO WD  2014 – 2020,</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deklaracji bezstronności i poufności do weryfikacji technicznej,</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deklaracji bezstronności i poufności pracownika IOK,</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deklaracji bezstronności i poufności eksperta,</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deklaracji poufności obserwatora uczestniczącego w pracach KOP</w:t>
      </w:r>
      <w:r w:rsidRPr="000E0CEB">
        <w:rPr>
          <w:rFonts w:asciiTheme="minorHAnsi" w:hAnsiTheme="minorHAnsi"/>
          <w:b/>
          <w:szCs w:val="22"/>
        </w:rPr>
        <w:t>,</w:t>
      </w:r>
    </w:p>
    <w:p w:rsidR="00471B61" w:rsidRPr="000E0CEB" w:rsidRDefault="00477DF1" w:rsidP="00883483">
      <w:pPr>
        <w:numPr>
          <w:ilvl w:val="0"/>
          <w:numId w:val="16"/>
        </w:numPr>
        <w:spacing w:before="120" w:after="120" w:line="240" w:lineRule="auto"/>
        <w:ind w:left="357" w:hanging="357"/>
        <w:jc w:val="both"/>
        <w:rPr>
          <w:rFonts w:asciiTheme="minorHAnsi" w:hAnsiTheme="minorHAnsi"/>
          <w:szCs w:val="22"/>
        </w:rPr>
      </w:pPr>
      <w:r w:rsidRPr="000E0CEB">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471B61" w:rsidRPr="000E0CEB" w:rsidRDefault="00477DF1" w:rsidP="00883483">
      <w:pPr>
        <w:numPr>
          <w:ilvl w:val="0"/>
          <w:numId w:val="16"/>
        </w:numPr>
        <w:spacing w:before="120" w:after="120" w:line="240" w:lineRule="auto"/>
        <w:ind w:left="357" w:hanging="357"/>
        <w:jc w:val="both"/>
        <w:rPr>
          <w:rFonts w:asciiTheme="minorHAnsi" w:hAnsiTheme="minorHAnsi"/>
          <w:szCs w:val="22"/>
        </w:rPr>
      </w:pPr>
      <w:r w:rsidRPr="000E0CEB">
        <w:rPr>
          <w:rFonts w:asciiTheme="minorHAnsi" w:hAnsiTheme="minorHAnsi"/>
          <w:szCs w:val="22"/>
        </w:rPr>
        <w:t>Wzór umowy o dofinansowanie projektu w ramach Regionalnego Programu Operacyjnego województwa dolnośląskiego 2014-2020 współfinansowanej ze środków Europejskiego Funduszu Społecznego-uproszczone metody rozliczania</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4B02A2" w:rsidRPr="000E0CEB" w:rsidRDefault="00477DF1" w:rsidP="00883483">
      <w:pPr>
        <w:pStyle w:val="Zwykytekst"/>
        <w:numPr>
          <w:ilvl w:val="0"/>
          <w:numId w:val="16"/>
        </w:numPr>
        <w:spacing w:before="120" w:after="120"/>
        <w:ind w:left="357" w:hanging="357"/>
        <w:rPr>
          <w:rFonts w:asciiTheme="minorHAnsi" w:hAnsiTheme="minorHAnsi"/>
          <w:sz w:val="22"/>
          <w:szCs w:val="22"/>
        </w:rPr>
      </w:pPr>
      <w:r w:rsidRPr="000E0CEB">
        <w:rPr>
          <w:rFonts w:asciiTheme="minorHAnsi" w:hAnsiTheme="minorHAnsi"/>
          <w:sz w:val="22"/>
          <w:szCs w:val="22"/>
        </w:rPr>
        <w:t>Katalog stawek maksymalnych w ramach Działania 10 2</w:t>
      </w:r>
    </w:p>
    <w:p w:rsidR="00471B61" w:rsidRPr="000E0CEB" w:rsidRDefault="00477DF1" w:rsidP="00883483">
      <w:pPr>
        <w:pStyle w:val="Zwykytekst"/>
        <w:numPr>
          <w:ilvl w:val="0"/>
          <w:numId w:val="16"/>
        </w:numPr>
        <w:spacing w:before="120" w:after="120"/>
        <w:ind w:left="357" w:hanging="357"/>
        <w:rPr>
          <w:rFonts w:asciiTheme="minorHAnsi" w:hAnsiTheme="minorHAnsi"/>
          <w:sz w:val="22"/>
          <w:szCs w:val="22"/>
        </w:rPr>
      </w:pPr>
      <w:r w:rsidRPr="000E0CEB">
        <w:rPr>
          <w:rFonts w:asciiTheme="minorHAnsi" w:hAnsiTheme="minorHAnsi"/>
          <w:sz w:val="22"/>
          <w:szCs w:val="22"/>
        </w:rPr>
        <w:t>Wzór oświadczenia dotyczącego stosowania przepisów PZP,</w:t>
      </w:r>
    </w:p>
    <w:p w:rsidR="00471B61" w:rsidRPr="000E0CEB" w:rsidRDefault="00477DF1" w:rsidP="00883483">
      <w:pPr>
        <w:pStyle w:val="Zwykytekst"/>
        <w:numPr>
          <w:ilvl w:val="0"/>
          <w:numId w:val="16"/>
        </w:numPr>
        <w:spacing w:before="120" w:after="120"/>
        <w:rPr>
          <w:rFonts w:asciiTheme="minorHAnsi" w:hAnsiTheme="minorHAnsi"/>
          <w:sz w:val="22"/>
          <w:szCs w:val="22"/>
        </w:rPr>
      </w:pPr>
      <w:r w:rsidRPr="000E0CEB">
        <w:rPr>
          <w:rFonts w:asciiTheme="minorHAnsi" w:hAnsiTheme="minorHAnsi"/>
          <w:sz w:val="22"/>
          <w:szCs w:val="22"/>
        </w:rPr>
        <w:t>Wzór oświadczenia dotyczącego wydatków inwestycyjnych.</w:t>
      </w:r>
    </w:p>
    <w:p w:rsidR="00471B61" w:rsidRPr="000E0CEB" w:rsidRDefault="00477DF1" w:rsidP="00883483">
      <w:pPr>
        <w:pStyle w:val="Zwykytekst"/>
        <w:numPr>
          <w:ilvl w:val="0"/>
          <w:numId w:val="16"/>
        </w:numPr>
        <w:spacing w:before="120" w:after="120"/>
        <w:rPr>
          <w:rFonts w:asciiTheme="minorHAnsi" w:hAnsiTheme="minorHAnsi"/>
          <w:sz w:val="22"/>
          <w:szCs w:val="22"/>
        </w:rPr>
      </w:pPr>
      <w:r w:rsidRPr="000E0CEB">
        <w:rPr>
          <w:rFonts w:asciiTheme="minorHAnsi" w:hAnsiTheme="minorHAnsi"/>
          <w:sz w:val="22"/>
          <w:szCs w:val="22"/>
        </w:rPr>
        <w:t>Strategia Zintegrowanych Inwestycji Terytorialnych  Aglomeracji Jeleniogórskiej na lata 2014-2023</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Standard wyposażenia pracowni matematycznych</w:t>
      </w:r>
    </w:p>
    <w:p w:rsidR="00471B61" w:rsidRPr="000E0CEB" w:rsidRDefault="00477DF1" w:rsidP="00883483">
      <w:pPr>
        <w:numPr>
          <w:ilvl w:val="0"/>
          <w:numId w:val="16"/>
        </w:numPr>
        <w:spacing w:before="120" w:after="120" w:line="240" w:lineRule="auto"/>
        <w:jc w:val="both"/>
        <w:rPr>
          <w:rFonts w:asciiTheme="minorHAnsi" w:hAnsiTheme="minorHAnsi"/>
          <w:szCs w:val="22"/>
        </w:rPr>
      </w:pPr>
      <w:r w:rsidRPr="000E0CEB">
        <w:rPr>
          <w:rFonts w:asciiTheme="minorHAnsi" w:hAnsiTheme="minorHAnsi"/>
          <w:szCs w:val="22"/>
        </w:rPr>
        <w:t xml:space="preserve">Zakres wniosku o dofinansowanie projektu, </w:t>
      </w:r>
    </w:p>
    <w:p w:rsidR="00005011" w:rsidRPr="000E0CEB" w:rsidRDefault="00477DF1" w:rsidP="00883483">
      <w:pPr>
        <w:pStyle w:val="Zwykytekst"/>
        <w:numPr>
          <w:ilvl w:val="0"/>
          <w:numId w:val="16"/>
        </w:numPr>
        <w:spacing w:before="120" w:after="120"/>
        <w:jc w:val="both"/>
        <w:rPr>
          <w:rFonts w:asciiTheme="minorHAnsi" w:hAnsiTheme="minorHAnsi"/>
          <w:sz w:val="22"/>
          <w:szCs w:val="22"/>
        </w:rPr>
      </w:pPr>
      <w:r w:rsidRPr="000E0CEB">
        <w:rPr>
          <w:rFonts w:asciiTheme="minorHAnsi" w:hAnsiTheme="minorHAnsi"/>
          <w:sz w:val="22"/>
          <w:szCs w:val="22"/>
        </w:rPr>
        <w:t>Instrukcja wypełniania wniosku o dofinansowanie projektu</w:t>
      </w:r>
    </w:p>
    <w:p w:rsidR="00B63284" w:rsidRPr="000E0CEB" w:rsidRDefault="00477DF1" w:rsidP="00883483">
      <w:pPr>
        <w:pStyle w:val="Zwykytekst"/>
        <w:numPr>
          <w:ilvl w:val="0"/>
          <w:numId w:val="16"/>
        </w:numPr>
        <w:spacing w:before="120" w:after="120"/>
        <w:rPr>
          <w:rFonts w:asciiTheme="minorHAnsi" w:hAnsiTheme="minorHAnsi"/>
          <w:sz w:val="22"/>
          <w:szCs w:val="22"/>
        </w:rPr>
      </w:pPr>
      <w:r w:rsidRPr="000E0CEB">
        <w:rPr>
          <w:rFonts w:asciiTheme="minorHAnsi" w:hAnsiTheme="minorHAnsi"/>
          <w:sz w:val="22"/>
          <w:szCs w:val="22"/>
        </w:rPr>
        <w:t>Średnie wyniki egzaminów zewnętrznych w skali regionu ZIT AJ</w:t>
      </w:r>
    </w:p>
    <w:p w:rsidR="00471B61" w:rsidRPr="000E0CEB" w:rsidRDefault="00471B61">
      <w:pPr>
        <w:pStyle w:val="Zwykytekst"/>
        <w:ind w:left="360"/>
        <w:rPr>
          <w:rFonts w:asciiTheme="minorHAnsi" w:hAnsiTheme="minorHAnsi"/>
        </w:rPr>
      </w:pPr>
    </w:p>
    <w:sectPr w:rsidR="00471B61" w:rsidRPr="000E0CEB" w:rsidSect="007C3496">
      <w:pgSz w:w="11906" w:h="16838"/>
      <w:pgMar w:top="1418" w:right="1106" w:bottom="765" w:left="1080" w:header="708" w:footer="70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AE" w:rsidRDefault="00F979AE">
      <w:pPr>
        <w:spacing w:before="0" w:line="240" w:lineRule="auto"/>
      </w:pPr>
      <w:r>
        <w:separator/>
      </w:r>
    </w:p>
  </w:endnote>
  <w:endnote w:type="continuationSeparator" w:id="0">
    <w:p w:rsidR="00F979AE" w:rsidRDefault="00F979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Bold">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TimesNewRomanPSMT">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TE1AAA328t00">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2D" w:rsidRDefault="00C84E25">
    <w:pPr>
      <w:pStyle w:val="Stopka"/>
      <w:jc w:val="center"/>
    </w:pPr>
    <w:r w:rsidRPr="00C84E25">
      <w:rPr>
        <w:rFonts w:ascii="Arial" w:hAnsi="Arial" w:cs="Arial"/>
      </w:rPr>
      <w:fldChar w:fldCharType="begin"/>
    </w:r>
    <w:r w:rsidR="00FB512D">
      <w:instrText>PAGE</w:instrText>
    </w:r>
    <w:r>
      <w:fldChar w:fldCharType="separate"/>
    </w:r>
    <w:r w:rsidR="000B2D12">
      <w:rPr>
        <w:noProof/>
      </w:rPr>
      <w:t>75</w:t>
    </w:r>
    <w:r>
      <w:fldChar w:fldCharType="end"/>
    </w:r>
  </w:p>
  <w:p w:rsidR="00FB512D" w:rsidRDefault="00FB51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AE" w:rsidRDefault="00F979AE">
      <w:r>
        <w:separator/>
      </w:r>
    </w:p>
  </w:footnote>
  <w:footnote w:type="continuationSeparator" w:id="0">
    <w:p w:rsidR="00F979AE" w:rsidRDefault="00F979AE">
      <w:r>
        <w:continuationSeparator/>
      </w:r>
    </w:p>
  </w:footnote>
  <w:footnote w:id="1">
    <w:p w:rsidR="00FB512D" w:rsidRPr="004C331C" w:rsidRDefault="00FB512D">
      <w:pPr>
        <w:pStyle w:val="Tekstprzypisudolnego"/>
        <w:rPr>
          <w:rFonts w:ascii="Calibri" w:hAnsi="Calibri"/>
        </w:rPr>
      </w:pPr>
      <w:r w:rsidRPr="00477DF1">
        <w:rPr>
          <w:rStyle w:val="Odwoanieprzypisudolnego"/>
          <w:rFonts w:ascii="Calibri" w:hAnsi="Calibri"/>
        </w:rPr>
        <w:footnoteRef/>
      </w:r>
      <w:r w:rsidRPr="00477DF1">
        <w:rPr>
          <w:rStyle w:val="Odwoanieprzypisudolnego"/>
          <w:rFonts w:ascii="Calibri" w:hAnsi="Calibri"/>
        </w:rPr>
        <w:tab/>
      </w:r>
      <w:r w:rsidRPr="00477DF1">
        <w:rPr>
          <w:rFonts w:ascii="Calibri" w:hAnsi="Calibri"/>
        </w:rPr>
        <w:t xml:space="preserve"> Wartość wsparcia finansowego na zakup pomocy dydaktycznych i narzędzi TIK w zespołach szkół lub placówek systemu oświaty, o których mowa w art. 62 ust. 1 ustawy o systemie oświaty</w:t>
      </w:r>
      <w:r w:rsidRPr="00477DF1">
        <w:rPr>
          <w:rFonts w:ascii="Calibri" w:hAnsi="Calibri"/>
          <w:sz w:val="18"/>
          <w:szCs w:val="18"/>
        </w:rPr>
        <w:t xml:space="preserve">, powinna być uzależniona od liczby szkól lub placówek systemu oświaty tworzących zespół. </w:t>
      </w:r>
      <w:r w:rsidRPr="00477DF1">
        <w:rPr>
          <w:rFonts w:ascii="Calibri" w:hAnsi="Calibri"/>
        </w:rPr>
        <w:t xml:space="preserve"> </w:t>
      </w:r>
    </w:p>
  </w:footnote>
  <w:footnote w:id="2">
    <w:p w:rsidR="00FB512D" w:rsidRPr="00FB512D" w:rsidRDefault="00FB512D" w:rsidP="0028019E">
      <w:pPr>
        <w:pStyle w:val="Tekstprzypisudolnego"/>
        <w:rPr>
          <w:rFonts w:asciiTheme="minorHAnsi" w:hAnsiTheme="minorHAnsi"/>
        </w:rPr>
      </w:pPr>
      <w:r w:rsidRPr="00FB512D">
        <w:rPr>
          <w:rStyle w:val="Odwoanieprzypisudolnego"/>
          <w:rFonts w:asciiTheme="minorHAnsi" w:hAnsiTheme="minorHAnsi"/>
        </w:rPr>
        <w:footnoteRef/>
      </w:r>
      <w:r w:rsidRPr="00FB512D">
        <w:rPr>
          <w:rFonts w:asciiTheme="minorHAnsi" w:hAnsiTheme="minorHAnsi"/>
        </w:rPr>
        <w:t xml:space="preserve"> </w:t>
      </w:r>
      <w:r w:rsidRPr="00FB512D">
        <w:rPr>
          <w:rFonts w:asciiTheme="minorHAnsi" w:hAnsiTheme="minorHAnsi" w:cs="MS Sans Serif"/>
        </w:rPr>
        <w:t>Alokacja przeliczona po kursie Europejskiego Banku Centralnego (EBC) obowiązującym w listopadzie 2015 r. 1 euro = 4,2699 PLN</w:t>
      </w:r>
    </w:p>
    <w:p w:rsidR="00FB512D" w:rsidRDefault="00FB512D" w:rsidP="0028019E">
      <w:pPr>
        <w:pStyle w:val="Tekstprzypisudolnego"/>
      </w:pPr>
    </w:p>
  </w:footnote>
  <w:footnote w:id="3">
    <w:p w:rsidR="00FB512D" w:rsidRDefault="00FB512D">
      <w:pPr>
        <w:pStyle w:val="Tekstprzypisudolnego"/>
        <w:jc w:val="both"/>
      </w:pPr>
      <w:r w:rsidRPr="0010724C">
        <w:rPr>
          <w:rStyle w:val="Odwoanieprzypisudolnego"/>
          <w:rFonts w:ascii="Calibri" w:hAnsi="Calibri" w:cs="Calibri"/>
        </w:rPr>
        <w:footnoteRef/>
      </w:r>
      <w:r w:rsidRPr="0010724C">
        <w:rPr>
          <w:rStyle w:val="Odwoanieprzypisudolnego"/>
          <w:rFonts w:ascii="Calibri" w:hAnsi="Calibri" w:cs="Calibri"/>
        </w:rPr>
        <w:tab/>
      </w:r>
      <w:r w:rsidRPr="0010724C">
        <w:rPr>
          <w:rFonts w:ascii="Calibri" w:hAnsi="Calibri" w:cs="Calibri"/>
        </w:rPr>
        <w:t xml:space="preserve"> Definicje wskaźników rezultatu bezpośredniego są zgodne z definicjami odpowiednich wskaźników zawartymi we </w:t>
      </w:r>
      <w:r w:rsidRPr="0010724C">
        <w:rPr>
          <w:rFonts w:ascii="Calibri" w:hAnsi="Calibri" w:cs="Calibri"/>
          <w:i/>
        </w:rPr>
        <w:t>Wspólnej Liście Wskaźników Kluczowych 2014-2020 dla EFS</w:t>
      </w:r>
      <w:r w:rsidRPr="0010724C">
        <w:rPr>
          <w:rFonts w:ascii="Calibri" w:hAnsi="Calibri" w:cs="Calibri"/>
        </w:rPr>
        <w:t xml:space="preserve"> (WLWK), która stanowi załącznik nr 2 do Wytycznych w zakresie monitorowania postępu rzeczowego realizacji programów operacyjnych na lata 2014-2020.</w:t>
      </w:r>
    </w:p>
  </w:footnote>
  <w:footnote w:id="4">
    <w:p w:rsidR="00FB512D" w:rsidRDefault="00FB512D">
      <w:pPr>
        <w:pStyle w:val="Tekstprzypisudolnego"/>
        <w:jc w:val="both"/>
      </w:pPr>
      <w:r w:rsidRPr="0010724C">
        <w:rPr>
          <w:rStyle w:val="Odwoanieprzypisudolnego"/>
          <w:rFonts w:ascii="Calibri" w:hAnsi="Calibri" w:cs="Calibri"/>
        </w:rPr>
        <w:footnoteRef/>
      </w:r>
      <w:r w:rsidRPr="0010724C">
        <w:rPr>
          <w:rStyle w:val="Odwoanieprzypisudolnego"/>
          <w:rFonts w:ascii="Calibri" w:hAnsi="Calibri" w:cs="Calibri"/>
        </w:rPr>
        <w:tab/>
      </w:r>
      <w:r w:rsidRPr="0010724C">
        <w:rPr>
          <w:rFonts w:ascii="Calibri" w:hAnsi="Calibri" w:cs="Calibri"/>
        </w:rPr>
        <w:t xml:space="preserve"> Definicje wspólnych wskaźników produktu są zgodne z definicjami odpowiednich wskaźników zawartymi we </w:t>
      </w:r>
      <w:r w:rsidRPr="0010724C">
        <w:rPr>
          <w:rFonts w:ascii="Calibri" w:hAnsi="Calibri" w:cs="Calibri"/>
          <w:i/>
        </w:rPr>
        <w:t>Wspólnej Liście Wskaźników Kluczowych 2014-2020 dla EFS</w:t>
      </w:r>
      <w:r w:rsidRPr="0010724C">
        <w:rPr>
          <w:rFonts w:ascii="Calibri" w:hAnsi="Calibri" w:cs="Calibri"/>
        </w:rPr>
        <w:t xml:space="preserve"> (WLWK), która stanowi załącznik nr 2 do Wytycznych w zakresie monitorowania postępu rzeczowego realizacji programów operacyjnych na lata 2014-2020.</w:t>
      </w:r>
    </w:p>
  </w:footnote>
  <w:footnote w:id="5">
    <w:p w:rsidR="00FB512D" w:rsidRDefault="00FB512D">
      <w:pPr>
        <w:pStyle w:val="footnotedescription"/>
        <w:spacing w:line="240" w:lineRule="auto"/>
        <w:ind w:left="0" w:right="1066"/>
        <w:jc w:val="both"/>
      </w:pPr>
      <w:r>
        <w:rPr>
          <w:rStyle w:val="footnotemark"/>
          <w:rFonts w:ascii="Calibri" w:hAnsi="Calibri"/>
          <w:sz w:val="20"/>
          <w:szCs w:val="20"/>
        </w:rPr>
        <w:footnoteRef/>
      </w:r>
      <w:r>
        <w:rPr>
          <w:rStyle w:val="footnotemark"/>
          <w:rFonts w:ascii="Calibri" w:hAnsi="Calibri"/>
          <w:sz w:val="20"/>
          <w:szCs w:val="20"/>
        </w:rPr>
        <w:tab/>
      </w:r>
      <w:r>
        <w:rPr>
          <w:rFonts w:ascii="Calibri" w:hAnsi="Calibri"/>
          <w:sz w:val="20"/>
          <w:szCs w:val="20"/>
        </w:rPr>
        <w:t xml:space="preserve"> 7 lub 10 lat liczone jest w miesiącach kalendarzowych od daty nabycia (np.7 lat od dnia 9 listopada 2014 r. to okres od tej daty do 9 listopada 2007 r.). </w:t>
      </w:r>
    </w:p>
  </w:footnote>
  <w:footnote w:id="6">
    <w:p w:rsidR="00FB512D" w:rsidRDefault="00FB512D">
      <w:pPr>
        <w:pStyle w:val="Tekstprzypisudolnego"/>
      </w:pPr>
      <w:r>
        <w:rPr>
          <w:rStyle w:val="Odwoanieprzypisudolnego"/>
        </w:rPr>
        <w:footnoteRef/>
      </w:r>
      <w:r>
        <w:rPr>
          <w:rStyle w:val="Odwoanieprzypisudolnego"/>
        </w:rPr>
        <w:tab/>
      </w:r>
      <w:r w:rsidRPr="000C3423">
        <w:rPr>
          <w:rFonts w:asciiTheme="minorHAnsi" w:hAnsiTheme="minorHAnsi"/>
        </w:rPr>
        <w:t xml:space="preserve"> W obecnym konkursie nie przewiduje się stosowania stawek jednostkowych</w:t>
      </w:r>
    </w:p>
  </w:footnote>
  <w:footnote w:id="7">
    <w:p w:rsidR="00FB512D" w:rsidRPr="00FB512D" w:rsidRDefault="00FB512D">
      <w:pPr>
        <w:pStyle w:val="Tekstprzypisudolnego"/>
        <w:rPr>
          <w:rFonts w:asciiTheme="minorHAnsi" w:hAnsiTheme="minorHAnsi"/>
        </w:rPr>
      </w:pPr>
      <w:r>
        <w:rPr>
          <w:rStyle w:val="Odwoanieprzypisudolnego"/>
          <w:rFonts w:cs="Arial"/>
          <w:sz w:val="18"/>
          <w:szCs w:val="18"/>
        </w:rPr>
        <w:footnoteRef/>
      </w:r>
      <w:r>
        <w:rPr>
          <w:rStyle w:val="Odwoanieprzypisudolnego"/>
          <w:rFonts w:cs="Arial"/>
          <w:sz w:val="18"/>
          <w:szCs w:val="18"/>
        </w:rPr>
        <w:tab/>
      </w:r>
      <w:r>
        <w:rPr>
          <w:rFonts w:ascii="Arial" w:hAnsi="Arial" w:cs="Arial"/>
          <w:sz w:val="18"/>
          <w:szCs w:val="18"/>
        </w:rPr>
        <w:t xml:space="preserve"> </w:t>
      </w:r>
      <w:r w:rsidRPr="00FB512D">
        <w:rPr>
          <w:rFonts w:asciiTheme="minorHAnsi" w:hAnsiTheme="minorHAnsi" w:cs="Arial"/>
          <w:szCs w:val="20"/>
        </w:rPr>
        <w:t>Porozumienie w sprawie powierzenia zadań w ramach instrumentu Zintegrowane Inwestycje Terytorialne Regionalnego Programu Operacyjnego Województwa Dolnośląskiego 2014-2020 przez Zarząd Województwa Dolnośląskiego.</w:t>
      </w:r>
    </w:p>
  </w:footnote>
  <w:footnote w:id="8">
    <w:p w:rsidR="00FB512D" w:rsidRPr="000C3423" w:rsidRDefault="00FB512D">
      <w:pPr>
        <w:pStyle w:val="Tekstprzypisudolnego"/>
        <w:jc w:val="both"/>
        <w:rPr>
          <w:rFonts w:asciiTheme="minorHAnsi" w:hAnsiTheme="minorHAnsi"/>
          <w:szCs w:val="20"/>
        </w:rPr>
      </w:pPr>
      <w:r>
        <w:rPr>
          <w:rStyle w:val="Odwoanieprzypisudolnego"/>
          <w:rFonts w:cs="Arial"/>
          <w:sz w:val="18"/>
          <w:szCs w:val="18"/>
        </w:rPr>
        <w:footnoteRef/>
      </w:r>
      <w:r>
        <w:rPr>
          <w:rStyle w:val="Odwoanieprzypisudolnego"/>
          <w:rFonts w:cs="Arial"/>
          <w:sz w:val="18"/>
          <w:szCs w:val="18"/>
        </w:rPr>
        <w:tab/>
      </w:r>
      <w:r>
        <w:rPr>
          <w:rFonts w:ascii="Arial" w:hAnsi="Arial" w:cs="Arial"/>
          <w:sz w:val="18"/>
          <w:szCs w:val="18"/>
        </w:rPr>
        <w:t xml:space="preserve"> </w:t>
      </w:r>
      <w:r w:rsidRPr="000C3423">
        <w:rPr>
          <w:rFonts w:asciiTheme="minorHAnsi" w:hAnsiTheme="minorHAnsi" w:cs="Arial"/>
          <w:szCs w:val="20"/>
        </w:rPr>
        <w:t>Zgodnie z art. 67 ustawy w zakresie doręczeń i sposobu obliczania terminów w ramach procedury odwoławczej stosuje się przepisy ustawy z dnia 14 czerwca 1960 r. – Kodeks postępowania administracyjnego (Dz. U. z 2013 r. poz. 267).</w:t>
      </w:r>
    </w:p>
  </w:footnote>
  <w:footnote w:id="9">
    <w:p w:rsidR="00FB512D" w:rsidRDefault="00FB512D">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52E"/>
    <w:multiLevelType w:val="multilevel"/>
    <w:tmpl w:val="A61E42E0"/>
    <w:lvl w:ilvl="0">
      <w:start w:val="1"/>
      <w:numFmt w:val="bullet"/>
      <w:lvlText w:val="­"/>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4F72DDE"/>
    <w:multiLevelType w:val="multilevel"/>
    <w:tmpl w:val="D86A1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966A62"/>
    <w:multiLevelType w:val="multilevel"/>
    <w:tmpl w:val="1FA68E2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5B7FD2"/>
    <w:multiLevelType w:val="multilevel"/>
    <w:tmpl w:val="FF40F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B279B1"/>
    <w:multiLevelType w:val="multilevel"/>
    <w:tmpl w:val="B3F6779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decimal"/>
      <w:lvlText w:val="%5."/>
      <w:lvlJc w:val="left"/>
      <w:pPr>
        <w:ind w:left="4309" w:hanging="360"/>
      </w:pPr>
      <w:rPr>
        <w:b w:val="0"/>
      </w:r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8B77D49"/>
    <w:multiLevelType w:val="multilevel"/>
    <w:tmpl w:val="611E39A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nsid w:val="09C33035"/>
    <w:multiLevelType w:val="multilevel"/>
    <w:tmpl w:val="3664E424"/>
    <w:lvl w:ilvl="0">
      <w:start w:val="1"/>
      <w:numFmt w:val="bullet"/>
      <w:lvlText w:val=""/>
      <w:lvlJc w:val="left"/>
      <w:pPr>
        <w:ind w:left="2705" w:hanging="360"/>
      </w:pPr>
      <w:rPr>
        <w:rFonts w:ascii="Symbol" w:hAnsi="Symbol" w:cs="Symbol" w:hint="default"/>
        <w:b/>
        <w:color w:val="00000A"/>
        <w:sz w:val="22"/>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7">
    <w:nsid w:val="09CC7BD9"/>
    <w:multiLevelType w:val="multilevel"/>
    <w:tmpl w:val="1A64E4F0"/>
    <w:lvl w:ilvl="0">
      <w:start w:val="1"/>
      <w:numFmt w:val="decimal"/>
      <w:lvlText w:val="%1."/>
      <w:lvlJc w:val="left"/>
      <w:pPr>
        <w:ind w:left="360" w:hanging="360"/>
      </w:pPr>
      <w:rPr>
        <w:rFonts w:cs="Times New Roman"/>
        <w:b/>
        <w:i w:val="0"/>
        <w:sz w:val="22"/>
      </w:rPr>
    </w:lvl>
    <w:lvl w:ilvl="1">
      <w:start w:val="1"/>
      <w:numFmt w:val="decimal"/>
      <w:lvlText w:val="%1.%2"/>
      <w:lvlJc w:val="left"/>
      <w:pPr>
        <w:ind w:left="660" w:hanging="660"/>
      </w:pPr>
      <w:rPr>
        <w:rFonts w:eastAsia="Calibri" w:cs="Calibri"/>
        <w:color w:val="000000"/>
      </w:rPr>
    </w:lvl>
    <w:lvl w:ilvl="2">
      <w:start w:val="4"/>
      <w:numFmt w:val="decimal"/>
      <w:lvlText w:val="%1.%2.%3"/>
      <w:lvlJc w:val="left"/>
      <w:pPr>
        <w:ind w:left="720" w:hanging="720"/>
      </w:pPr>
      <w:rPr>
        <w:rFonts w:eastAsia="Calibri" w:cs="Calibri"/>
        <w:color w:val="000000"/>
      </w:rPr>
    </w:lvl>
    <w:lvl w:ilvl="3">
      <w:start w:val="1"/>
      <w:numFmt w:val="decimal"/>
      <w:lvlText w:val="%1.%2.%3.%4"/>
      <w:lvlJc w:val="left"/>
      <w:pPr>
        <w:ind w:left="720" w:hanging="720"/>
      </w:pPr>
      <w:rPr>
        <w:rFonts w:eastAsia="Calibri" w:cs="Calibri"/>
        <w:color w:val="000000"/>
      </w:rPr>
    </w:lvl>
    <w:lvl w:ilvl="4">
      <w:start w:val="1"/>
      <w:numFmt w:val="decimal"/>
      <w:lvlText w:val="%1.%2.%3.%4.%5"/>
      <w:lvlJc w:val="left"/>
      <w:pPr>
        <w:ind w:left="1080" w:hanging="1080"/>
      </w:pPr>
      <w:rPr>
        <w:rFonts w:eastAsia="Calibri" w:cs="Calibri"/>
        <w:color w:val="000000"/>
      </w:rPr>
    </w:lvl>
    <w:lvl w:ilvl="5">
      <w:start w:val="1"/>
      <w:numFmt w:val="decimal"/>
      <w:lvlText w:val="%1.%2.%3.%4.%5.%6"/>
      <w:lvlJc w:val="left"/>
      <w:pPr>
        <w:ind w:left="1080" w:hanging="1080"/>
      </w:pPr>
      <w:rPr>
        <w:rFonts w:eastAsia="Calibri" w:cs="Calibri"/>
        <w:color w:val="000000"/>
      </w:rPr>
    </w:lvl>
    <w:lvl w:ilvl="6">
      <w:start w:val="1"/>
      <w:numFmt w:val="decimal"/>
      <w:lvlText w:val="%1.%2.%3.%4.%5.%6.%7"/>
      <w:lvlJc w:val="left"/>
      <w:pPr>
        <w:ind w:left="1440" w:hanging="1440"/>
      </w:pPr>
      <w:rPr>
        <w:rFonts w:eastAsia="Calibri" w:cs="Calibri"/>
        <w:color w:val="000000"/>
      </w:rPr>
    </w:lvl>
    <w:lvl w:ilvl="7">
      <w:start w:val="1"/>
      <w:numFmt w:val="decimal"/>
      <w:lvlText w:val="%1.%2.%3.%4.%5.%6.%7.%8"/>
      <w:lvlJc w:val="left"/>
      <w:pPr>
        <w:ind w:left="1440" w:hanging="1440"/>
      </w:pPr>
      <w:rPr>
        <w:rFonts w:eastAsia="Calibri" w:cs="Calibri"/>
        <w:color w:val="000000"/>
      </w:rPr>
    </w:lvl>
    <w:lvl w:ilvl="8">
      <w:start w:val="1"/>
      <w:numFmt w:val="decimal"/>
      <w:lvlText w:val="%1.%2.%3.%4.%5.%6.%7.%8.%9"/>
      <w:lvlJc w:val="left"/>
      <w:pPr>
        <w:ind w:left="1800" w:hanging="1800"/>
      </w:pPr>
      <w:rPr>
        <w:rFonts w:eastAsia="Calibri" w:cs="Calibri"/>
        <w:color w:val="000000"/>
      </w:rPr>
    </w:lvl>
  </w:abstractNum>
  <w:abstractNum w:abstractNumId="8">
    <w:nsid w:val="0B2E17F1"/>
    <w:multiLevelType w:val="multilevel"/>
    <w:tmpl w:val="6B0E8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700529"/>
    <w:multiLevelType w:val="multilevel"/>
    <w:tmpl w:val="6306475C"/>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446782"/>
    <w:multiLevelType w:val="multilevel"/>
    <w:tmpl w:val="8734713A"/>
    <w:lvl w:ilvl="0">
      <w:start w:val="1"/>
      <w:numFmt w:val="decimal"/>
      <w:lvlText w:val="%1)"/>
      <w:lvlJc w:val="left"/>
      <w:pPr>
        <w:ind w:left="502" w:hanging="360"/>
      </w:pPr>
      <w:rPr>
        <w:b w:val="0"/>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0CC1D84"/>
    <w:multiLevelType w:val="multilevel"/>
    <w:tmpl w:val="F8383F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121E39A6"/>
    <w:multiLevelType w:val="multilevel"/>
    <w:tmpl w:val="9CA287C2"/>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3">
    <w:nsid w:val="1C837392"/>
    <w:multiLevelType w:val="multilevel"/>
    <w:tmpl w:val="A134CDC2"/>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FDB3E6D"/>
    <w:multiLevelType w:val="multilevel"/>
    <w:tmpl w:val="5EEA9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6E55F2"/>
    <w:multiLevelType w:val="multilevel"/>
    <w:tmpl w:val="F9609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09A6333"/>
    <w:multiLevelType w:val="multilevel"/>
    <w:tmpl w:val="C8F26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1E92A2C"/>
    <w:multiLevelType w:val="hybridMultilevel"/>
    <w:tmpl w:val="A3A6AF82"/>
    <w:lvl w:ilvl="0" w:tplc="38B01128">
      <w:start w:val="1"/>
      <w:numFmt w:val="lowerLetter"/>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21EA4625"/>
    <w:multiLevelType w:val="multilevel"/>
    <w:tmpl w:val="5E763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3390753"/>
    <w:multiLevelType w:val="multilevel"/>
    <w:tmpl w:val="3636FCB0"/>
    <w:lvl w:ilvl="0">
      <w:start w:val="1"/>
      <w:numFmt w:val="decimal"/>
      <w:lvlText w:val="%1."/>
      <w:lvlJc w:val="left"/>
      <w:pPr>
        <w:ind w:left="360" w:hanging="360"/>
      </w:pPr>
      <w:rPr>
        <w:rFonts w:cs="Times New Roman"/>
        <w:b/>
        <w:i w:val="0"/>
        <w:sz w:val="22"/>
      </w:rPr>
    </w:lvl>
    <w:lvl w:ilvl="1">
      <w:start w:val="1"/>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0">
    <w:nsid w:val="238908EA"/>
    <w:multiLevelType w:val="multilevel"/>
    <w:tmpl w:val="5562F9B6"/>
    <w:lvl w:ilvl="0">
      <w:start w:val="1"/>
      <w:numFmt w:val="bullet"/>
      <w:lvlText w:val="­"/>
      <w:lvlJc w:val="left"/>
      <w:pPr>
        <w:ind w:left="1440" w:hanging="360"/>
      </w:pPr>
      <w:rPr>
        <w:rFonts w:ascii="Courier New" w:hAnsi="Courier New" w:cs="Courier New"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23CA3854"/>
    <w:multiLevelType w:val="multilevel"/>
    <w:tmpl w:val="7B6660D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460203A"/>
    <w:multiLevelType w:val="multilevel"/>
    <w:tmpl w:val="19B21FC8"/>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nsid w:val="271633DB"/>
    <w:multiLevelType w:val="multilevel"/>
    <w:tmpl w:val="446AE3B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28CA791A"/>
    <w:multiLevelType w:val="multilevel"/>
    <w:tmpl w:val="4DE26896"/>
    <w:lvl w:ilvl="0">
      <w:start w:val="1"/>
      <w:numFmt w:val="decimal"/>
      <w:lvlText w:val="%1."/>
      <w:lvlJc w:val="left"/>
      <w:pPr>
        <w:ind w:left="360" w:hanging="360"/>
      </w:pPr>
      <w:rPr>
        <w:rFonts w:cs="Times New Roman"/>
        <w:b/>
        <w:i w:val="0"/>
        <w:sz w:val="22"/>
      </w:rPr>
    </w:lvl>
    <w:lvl w:ilvl="1">
      <w:start w:val="1"/>
      <w:numFmt w:val="decimal"/>
      <w:lvlText w:val="7.%2"/>
      <w:lvlJc w:val="left"/>
      <w:pPr>
        <w:ind w:left="1440" w:hanging="360"/>
      </w:pPr>
      <w:rPr>
        <w:b/>
        <w:i w:val="0"/>
        <w:sz w:val="24"/>
        <w:szCs w:val="24"/>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6A3743"/>
    <w:multiLevelType w:val="multilevel"/>
    <w:tmpl w:val="11FE8BD4"/>
    <w:lvl w:ilvl="0">
      <w:start w:val="1"/>
      <w:numFmt w:val="bullet"/>
      <w:lvlText w:val="–"/>
      <w:lvlJc w:val="left"/>
      <w:pPr>
        <w:ind w:left="502" w:hanging="360"/>
      </w:pPr>
      <w:rPr>
        <w:rFonts w:asciiTheme="minorHAnsi" w:hAnsiTheme="minorHAnsi" w:cs="Arial" w:hint="default"/>
        <w:b w:val="0"/>
        <w:i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F0E6CC8"/>
    <w:multiLevelType w:val="multilevel"/>
    <w:tmpl w:val="938CF9B0"/>
    <w:lvl w:ilvl="0">
      <w:start w:val="1"/>
      <w:numFmt w:val="lowerLetter"/>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FCE33DE"/>
    <w:multiLevelType w:val="multilevel"/>
    <w:tmpl w:val="1826CD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52458D4"/>
    <w:multiLevelType w:val="multilevel"/>
    <w:tmpl w:val="13F6045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nsid w:val="392C7AF9"/>
    <w:multiLevelType w:val="multilevel"/>
    <w:tmpl w:val="D3947D92"/>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7650B2"/>
    <w:multiLevelType w:val="multilevel"/>
    <w:tmpl w:val="07B636A8"/>
    <w:lvl w:ilvl="0">
      <w:start w:val="1"/>
      <w:numFmt w:val="decimal"/>
      <w:lvlText w:val="%1."/>
      <w:lvlJc w:val="left"/>
      <w:pPr>
        <w:ind w:left="360" w:hanging="360"/>
      </w:pPr>
      <w:rPr>
        <w:rFonts w:cs="Times New Roman"/>
        <w:b/>
        <w:i w:val="0"/>
        <w:sz w:val="22"/>
      </w:r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408271F4"/>
    <w:multiLevelType w:val="multilevel"/>
    <w:tmpl w:val="C7968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1D96254"/>
    <w:multiLevelType w:val="multilevel"/>
    <w:tmpl w:val="D4DA41FE"/>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4">
    <w:nsid w:val="44E4187A"/>
    <w:multiLevelType w:val="multilevel"/>
    <w:tmpl w:val="6640FA6E"/>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2F6261"/>
    <w:multiLevelType w:val="multilevel"/>
    <w:tmpl w:val="15581076"/>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B617A12"/>
    <w:multiLevelType w:val="multilevel"/>
    <w:tmpl w:val="8CEEF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D115D27"/>
    <w:multiLevelType w:val="multilevel"/>
    <w:tmpl w:val="FB14F9F4"/>
    <w:lvl w:ilvl="0">
      <w:start w:val="1"/>
      <w:numFmt w:val="lowerLetter"/>
      <w:lvlText w:val="%1)"/>
      <w:lvlJc w:val="left"/>
      <w:pPr>
        <w:ind w:left="644" w:hanging="360"/>
      </w:pPr>
      <w:rPr>
        <w:rFonts w:eastAsia="Times New Roman" w:cs="Arial"/>
        <w:color w:val="00000A"/>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8">
    <w:nsid w:val="4EFF3FE4"/>
    <w:multiLevelType w:val="multilevel"/>
    <w:tmpl w:val="AD2CE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37337D5"/>
    <w:multiLevelType w:val="multilevel"/>
    <w:tmpl w:val="5762C64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0">
    <w:nsid w:val="53D43C82"/>
    <w:multiLevelType w:val="multilevel"/>
    <w:tmpl w:val="01B00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5892A3A"/>
    <w:multiLevelType w:val="multilevel"/>
    <w:tmpl w:val="7CBCAE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5902D79"/>
    <w:multiLevelType w:val="multilevel"/>
    <w:tmpl w:val="4DCE46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8D6585A"/>
    <w:multiLevelType w:val="multilevel"/>
    <w:tmpl w:val="CC44E7F0"/>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A0B1C5C"/>
    <w:multiLevelType w:val="multilevel"/>
    <w:tmpl w:val="324E6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F435FAF"/>
    <w:multiLevelType w:val="multilevel"/>
    <w:tmpl w:val="0512D2FC"/>
    <w:lvl w:ilvl="0">
      <w:start w:val="1"/>
      <w:numFmt w:val="lowerLetter"/>
      <w:lvlText w:val="%1)"/>
      <w:lvlJc w:val="left"/>
      <w:pPr>
        <w:ind w:left="1070" w:hanging="360"/>
      </w:pPr>
      <w:rPr>
        <w:b w:val="0"/>
        <w:i w:val="0"/>
        <w:color w:val="000000"/>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nsid w:val="62AE77BE"/>
    <w:multiLevelType w:val="multilevel"/>
    <w:tmpl w:val="2FB23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43811F4"/>
    <w:multiLevelType w:val="multilevel"/>
    <w:tmpl w:val="E796018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4FE2D67"/>
    <w:multiLevelType w:val="multilevel"/>
    <w:tmpl w:val="7C6EF8BA"/>
    <w:lvl w:ilvl="0">
      <w:start w:val="1"/>
      <w:numFmt w:val="lowerLetter"/>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98019D1"/>
    <w:multiLevelType w:val="multilevel"/>
    <w:tmpl w:val="5E904C80"/>
    <w:lvl w:ilvl="0">
      <w:start w:val="1"/>
      <w:numFmt w:val="lowerLetter"/>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0">
    <w:nsid w:val="6A14503B"/>
    <w:multiLevelType w:val="multilevel"/>
    <w:tmpl w:val="7D16291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1">
    <w:nsid w:val="6A3070F6"/>
    <w:multiLevelType w:val="multilevel"/>
    <w:tmpl w:val="98A225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C0E345C"/>
    <w:multiLevelType w:val="multilevel"/>
    <w:tmpl w:val="D870EA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0814B37"/>
    <w:multiLevelType w:val="multilevel"/>
    <w:tmpl w:val="A912A29C"/>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0FB1BFB"/>
    <w:multiLevelType w:val="multilevel"/>
    <w:tmpl w:val="45E266E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5470650"/>
    <w:multiLevelType w:val="multilevel"/>
    <w:tmpl w:val="A0E4B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A7656A7"/>
    <w:multiLevelType w:val="multilevel"/>
    <w:tmpl w:val="1A5C8E70"/>
    <w:lvl w:ilvl="0">
      <w:start w:val="1"/>
      <w:numFmt w:val="decimal"/>
      <w:lvlText w:val="%1)"/>
      <w:lvlJc w:val="left"/>
      <w:pPr>
        <w:ind w:left="360" w:hanging="360"/>
      </w:pPr>
      <w:rPr>
        <w:rFonts w:cs="Times New Roman"/>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7E973F06"/>
    <w:multiLevelType w:val="multilevel"/>
    <w:tmpl w:val="0CF6BE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1"/>
  </w:num>
  <w:num w:numId="4">
    <w:abstractNumId w:val="24"/>
  </w:num>
  <w:num w:numId="5">
    <w:abstractNumId w:val="42"/>
  </w:num>
  <w:num w:numId="6">
    <w:abstractNumId w:val="1"/>
  </w:num>
  <w:num w:numId="7">
    <w:abstractNumId w:val="29"/>
  </w:num>
  <w:num w:numId="8">
    <w:abstractNumId w:val="36"/>
  </w:num>
  <w:num w:numId="9">
    <w:abstractNumId w:val="21"/>
  </w:num>
  <w:num w:numId="10">
    <w:abstractNumId w:val="45"/>
  </w:num>
  <w:num w:numId="11">
    <w:abstractNumId w:val="43"/>
  </w:num>
  <w:num w:numId="12">
    <w:abstractNumId w:val="9"/>
  </w:num>
  <w:num w:numId="13">
    <w:abstractNumId w:val="48"/>
  </w:num>
  <w:num w:numId="14">
    <w:abstractNumId w:val="35"/>
  </w:num>
  <w:num w:numId="15">
    <w:abstractNumId w:val="34"/>
  </w:num>
  <w:num w:numId="16">
    <w:abstractNumId w:val="56"/>
  </w:num>
  <w:num w:numId="17">
    <w:abstractNumId w:val="51"/>
  </w:num>
  <w:num w:numId="18">
    <w:abstractNumId w:val="3"/>
  </w:num>
  <w:num w:numId="19">
    <w:abstractNumId w:val="55"/>
  </w:num>
  <w:num w:numId="20">
    <w:abstractNumId w:val="27"/>
  </w:num>
  <w:num w:numId="21">
    <w:abstractNumId w:val="53"/>
  </w:num>
  <w:num w:numId="22">
    <w:abstractNumId w:val="41"/>
  </w:num>
  <w:num w:numId="23">
    <w:abstractNumId w:val="57"/>
  </w:num>
  <w:num w:numId="24">
    <w:abstractNumId w:val="50"/>
  </w:num>
  <w:num w:numId="25">
    <w:abstractNumId w:val="18"/>
  </w:num>
  <w:num w:numId="26">
    <w:abstractNumId w:val="33"/>
  </w:num>
  <w:num w:numId="27">
    <w:abstractNumId w:val="8"/>
  </w:num>
  <w:num w:numId="28">
    <w:abstractNumId w:val="11"/>
  </w:num>
  <w:num w:numId="29">
    <w:abstractNumId w:val="4"/>
  </w:num>
  <w:num w:numId="30">
    <w:abstractNumId w:val="15"/>
  </w:num>
  <w:num w:numId="31">
    <w:abstractNumId w:val="12"/>
  </w:num>
  <w:num w:numId="32">
    <w:abstractNumId w:val="40"/>
  </w:num>
  <w:num w:numId="33">
    <w:abstractNumId w:val="52"/>
  </w:num>
  <w:num w:numId="34">
    <w:abstractNumId w:val="38"/>
  </w:num>
  <w:num w:numId="35">
    <w:abstractNumId w:val="44"/>
  </w:num>
  <w:num w:numId="36">
    <w:abstractNumId w:val="6"/>
  </w:num>
  <w:num w:numId="37">
    <w:abstractNumId w:val="46"/>
  </w:num>
  <w:num w:numId="38">
    <w:abstractNumId w:val="22"/>
  </w:num>
  <w:num w:numId="39">
    <w:abstractNumId w:val="32"/>
  </w:num>
  <w:num w:numId="40">
    <w:abstractNumId w:val="16"/>
  </w:num>
  <w:num w:numId="41">
    <w:abstractNumId w:val="49"/>
  </w:num>
  <w:num w:numId="42">
    <w:abstractNumId w:val="14"/>
  </w:num>
  <w:num w:numId="43">
    <w:abstractNumId w:val="47"/>
  </w:num>
  <w:num w:numId="44">
    <w:abstractNumId w:val="20"/>
  </w:num>
  <w:num w:numId="45">
    <w:abstractNumId w:val="19"/>
  </w:num>
  <w:num w:numId="46">
    <w:abstractNumId w:val="39"/>
  </w:num>
  <w:num w:numId="47">
    <w:abstractNumId w:val="10"/>
  </w:num>
  <w:num w:numId="48">
    <w:abstractNumId w:val="25"/>
  </w:num>
  <w:num w:numId="49">
    <w:abstractNumId w:val="0"/>
  </w:num>
  <w:num w:numId="50">
    <w:abstractNumId w:val="2"/>
  </w:num>
  <w:num w:numId="51">
    <w:abstractNumId w:val="5"/>
  </w:num>
  <w:num w:numId="52">
    <w:abstractNumId w:val="13"/>
  </w:num>
  <w:num w:numId="53">
    <w:abstractNumId w:val="23"/>
  </w:num>
  <w:num w:numId="54">
    <w:abstractNumId w:val="30"/>
  </w:num>
  <w:num w:numId="55">
    <w:abstractNumId w:val="54"/>
  </w:num>
  <w:num w:numId="56">
    <w:abstractNumId w:val="37"/>
  </w:num>
  <w:num w:numId="57">
    <w:abstractNumId w:val="28"/>
  </w:num>
  <w:num w:numId="58">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471B61"/>
    <w:rsid w:val="00005011"/>
    <w:rsid w:val="00064C1E"/>
    <w:rsid w:val="000B2D12"/>
    <w:rsid w:val="000B48B4"/>
    <w:rsid w:val="000C3423"/>
    <w:rsid w:val="000C6A3F"/>
    <w:rsid w:val="000D6E19"/>
    <w:rsid w:val="000E0CEB"/>
    <w:rsid w:val="000E4F93"/>
    <w:rsid w:val="000F3089"/>
    <w:rsid w:val="0010724C"/>
    <w:rsid w:val="0010744D"/>
    <w:rsid w:val="00107800"/>
    <w:rsid w:val="001F469E"/>
    <w:rsid w:val="00204B7C"/>
    <w:rsid w:val="00234C70"/>
    <w:rsid w:val="002414ED"/>
    <w:rsid w:val="00243135"/>
    <w:rsid w:val="0028019E"/>
    <w:rsid w:val="002A3B23"/>
    <w:rsid w:val="002A6CDC"/>
    <w:rsid w:val="002B20EF"/>
    <w:rsid w:val="002C1FA1"/>
    <w:rsid w:val="002D6847"/>
    <w:rsid w:val="00380A8C"/>
    <w:rsid w:val="00407B5D"/>
    <w:rsid w:val="00471B61"/>
    <w:rsid w:val="00477DF1"/>
    <w:rsid w:val="0048530A"/>
    <w:rsid w:val="004A1347"/>
    <w:rsid w:val="004B00EB"/>
    <w:rsid w:val="004B02A2"/>
    <w:rsid w:val="004C331C"/>
    <w:rsid w:val="004C3C7B"/>
    <w:rsid w:val="004D576A"/>
    <w:rsid w:val="00504223"/>
    <w:rsid w:val="005056D9"/>
    <w:rsid w:val="00533171"/>
    <w:rsid w:val="0056478F"/>
    <w:rsid w:val="005821E4"/>
    <w:rsid w:val="00594838"/>
    <w:rsid w:val="00596954"/>
    <w:rsid w:val="005C5369"/>
    <w:rsid w:val="00602042"/>
    <w:rsid w:val="00661966"/>
    <w:rsid w:val="007278BA"/>
    <w:rsid w:val="00785577"/>
    <w:rsid w:val="007A495B"/>
    <w:rsid w:val="007C3496"/>
    <w:rsid w:val="007F263F"/>
    <w:rsid w:val="0081577B"/>
    <w:rsid w:val="00824E85"/>
    <w:rsid w:val="00833D3F"/>
    <w:rsid w:val="00842254"/>
    <w:rsid w:val="00844D4B"/>
    <w:rsid w:val="008801D0"/>
    <w:rsid w:val="00883483"/>
    <w:rsid w:val="008B07E1"/>
    <w:rsid w:val="008C595E"/>
    <w:rsid w:val="00935A9F"/>
    <w:rsid w:val="00944DC3"/>
    <w:rsid w:val="00965918"/>
    <w:rsid w:val="00972B8A"/>
    <w:rsid w:val="00982563"/>
    <w:rsid w:val="00A066C7"/>
    <w:rsid w:val="00A43237"/>
    <w:rsid w:val="00AA4FE7"/>
    <w:rsid w:val="00AC024E"/>
    <w:rsid w:val="00AF6893"/>
    <w:rsid w:val="00B06A11"/>
    <w:rsid w:val="00B63284"/>
    <w:rsid w:val="00C45D94"/>
    <w:rsid w:val="00C55769"/>
    <w:rsid w:val="00C84E25"/>
    <w:rsid w:val="00CE6E82"/>
    <w:rsid w:val="00D21A0C"/>
    <w:rsid w:val="00D22793"/>
    <w:rsid w:val="00D85B72"/>
    <w:rsid w:val="00E323BD"/>
    <w:rsid w:val="00E7670A"/>
    <w:rsid w:val="00EB4673"/>
    <w:rsid w:val="00EC3134"/>
    <w:rsid w:val="00F6483D"/>
    <w:rsid w:val="00F979AE"/>
    <w:rsid w:val="00FB51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annotation text" w:qFormat="1"/>
    <w:lsdException w:name="header" w:uiPriority="0"/>
    <w:lsdException w:name="index heading" w:uiPriority="0"/>
    <w:lsdException w:name="caption" w:qFormat="1"/>
    <w:lsdException w:name="footnote reference"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cs="Times New Roman"/>
      <w:sz w:val="22"/>
    </w:rPr>
  </w:style>
  <w:style w:type="paragraph" w:styleId="Nagwek1">
    <w:name w:val="heading 1"/>
    <w:basedOn w:val="Normalny"/>
    <w:link w:val="Nagwek1Znak"/>
    <w:uiPriority w:val="99"/>
    <w:qFormat/>
    <w:rsid w:val="00B06A11"/>
    <w:pPr>
      <w:keepNext/>
      <w:pBdr>
        <w:top w:val="single" w:sz="4" w:space="1" w:color="auto"/>
        <w:left w:val="single" w:sz="4" w:space="4" w:color="auto"/>
        <w:bottom w:val="single" w:sz="4" w:space="1" w:color="auto"/>
        <w:right w:val="single" w:sz="4" w:space="4" w:color="auto"/>
      </w:pBdr>
      <w:spacing w:before="240" w:after="60"/>
      <w:outlineLvl w:val="0"/>
    </w:pPr>
    <w:rPr>
      <w:rFonts w:asciiTheme="minorHAnsi" w:hAnsiTheme="minorHAnsi"/>
      <w:b/>
      <w:bCs/>
      <w:sz w:val="24"/>
      <w:szCs w:val="32"/>
    </w:rPr>
  </w:style>
  <w:style w:type="paragraph" w:styleId="Nagwek2">
    <w:name w:val="heading 2"/>
    <w:basedOn w:val="Normalny"/>
    <w:link w:val="Nagwek2Znak"/>
    <w:uiPriority w:val="99"/>
    <w:qFormat/>
    <w:rsid w:val="00883483"/>
    <w:pPr>
      <w:keepNext/>
      <w:spacing w:before="240" w:after="60"/>
      <w:outlineLvl w:val="1"/>
    </w:pPr>
    <w:rPr>
      <w:rFonts w:asciiTheme="minorHAnsi" w:hAnsiTheme="minorHAnsi"/>
      <w:b/>
      <w:bCs/>
      <w:i/>
      <w:iCs/>
      <w:sz w:val="24"/>
      <w:szCs w:val="28"/>
    </w:rPr>
  </w:style>
  <w:style w:type="paragraph" w:styleId="Nagwek3">
    <w:name w:val="heading 3"/>
    <w:basedOn w:val="Normalny"/>
    <w:link w:val="Nagwek3Znak"/>
    <w:uiPriority w:val="99"/>
    <w:qFormat/>
    <w:rsid w:val="004B06D1"/>
    <w:pPr>
      <w:keepNext/>
      <w:spacing w:before="240" w:after="60" w:line="240" w:lineRule="auto"/>
      <w:outlineLvl w:val="2"/>
    </w:pPr>
    <w:rPr>
      <w:b/>
      <w:bCs/>
      <w:sz w:val="26"/>
      <w:szCs w:val="26"/>
    </w:rPr>
  </w:style>
  <w:style w:type="paragraph" w:styleId="Nagwek4">
    <w:name w:val="heading 4"/>
    <w:basedOn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link w:val="Nagwek5Znak"/>
    <w:uiPriority w:val="99"/>
    <w:qFormat/>
    <w:rsid w:val="004B06D1"/>
    <w:pPr>
      <w:spacing w:before="240" w:after="60"/>
      <w:outlineLvl w:val="4"/>
    </w:pPr>
    <w:rPr>
      <w:b/>
      <w:bCs/>
      <w:i/>
      <w:iCs/>
      <w:sz w:val="26"/>
      <w:szCs w:val="26"/>
    </w:rPr>
  </w:style>
  <w:style w:type="paragraph" w:styleId="Nagwek6">
    <w:name w:val="heading 6"/>
    <w:basedOn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link w:val="Nagwek7Znak"/>
    <w:uiPriority w:val="99"/>
    <w:qFormat/>
    <w:rsid w:val="004B06D1"/>
    <w:pPr>
      <w:keepNext/>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rsid w:val="00B06A11"/>
    <w:rPr>
      <w:rFonts w:asciiTheme="minorHAnsi" w:eastAsia="Times New Roman" w:hAnsiTheme="minorHAnsi" w:cs="Times New Roman"/>
      <w:b/>
      <w:bCs/>
      <w:sz w:val="24"/>
      <w:szCs w:val="32"/>
    </w:rPr>
  </w:style>
  <w:style w:type="character" w:customStyle="1" w:styleId="Nagwek2Znak">
    <w:name w:val="Nagłówek 2 Znak"/>
    <w:link w:val="Nagwek2"/>
    <w:uiPriority w:val="99"/>
    <w:qFormat/>
    <w:rsid w:val="00883483"/>
    <w:rPr>
      <w:rFonts w:asciiTheme="minorHAnsi" w:eastAsia="Times New Roman" w:hAnsiTheme="minorHAnsi" w:cs="Times New Roman"/>
      <w:b/>
      <w:bCs/>
      <w:i/>
      <w:iCs/>
      <w:sz w:val="24"/>
      <w:szCs w:val="28"/>
    </w:rPr>
  </w:style>
  <w:style w:type="character" w:customStyle="1" w:styleId="Nagwek3Znak">
    <w:name w:val="Nagłówek 3 Znak"/>
    <w:link w:val="Nagwek3"/>
    <w:uiPriority w:val="99"/>
    <w:qFormat/>
    <w:rsid w:val="004B06D1"/>
    <w:rPr>
      <w:rFonts w:ascii="Arial" w:eastAsia="Times New Roman" w:hAnsi="Arial" w:cs="Arial"/>
      <w:b/>
      <w:bCs/>
      <w:sz w:val="26"/>
      <w:szCs w:val="26"/>
      <w:lang w:eastAsia="pl-PL"/>
    </w:rPr>
  </w:style>
  <w:style w:type="character" w:customStyle="1" w:styleId="Nagwek4Znak">
    <w:name w:val="Nagłówek 4 Znak"/>
    <w:link w:val="Nagwek4"/>
    <w:uiPriority w:val="99"/>
    <w:qFormat/>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qFormat/>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qFormat/>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qFormat/>
    <w:rsid w:val="004B06D1"/>
    <w:rPr>
      <w:rFonts w:ascii="Times New Roman" w:eastAsia="Times New Roman" w:hAnsi="Times New Roman" w:cs="Times New Roman"/>
      <w:b/>
      <w:bCs/>
      <w:sz w:val="20"/>
      <w:szCs w:val="24"/>
      <w:u w:val="single"/>
      <w:lang w:eastAsia="pl-PL"/>
    </w:rPr>
  </w:style>
  <w:style w:type="character" w:customStyle="1" w:styleId="NagwekZnak">
    <w:name w:val="Nagłówek Znak"/>
    <w:aliases w:val="Znak Znak Znak,Znak Znak1"/>
    <w:link w:val="Nagwek"/>
    <w:uiPriority w:val="99"/>
    <w:qFormat/>
    <w:rsid w:val="004B06D1"/>
    <w:rPr>
      <w:rFonts w:ascii="Arial" w:eastAsia="Times New Roman" w:hAnsi="Arial" w:cs="Times New Roman"/>
      <w:szCs w:val="20"/>
    </w:rPr>
  </w:style>
  <w:style w:type="character" w:customStyle="1" w:styleId="TekstpodstawowyZnak">
    <w:name w:val="Tekst podstawowy Znak"/>
    <w:link w:val="Tretekstu"/>
    <w:uiPriority w:val="99"/>
    <w:qFormat/>
    <w:rsid w:val="004B06D1"/>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character" w:customStyle="1" w:styleId="Tekstpodstawowy2Znak">
    <w:name w:val="Tekst podstawowy 2 Znak"/>
    <w:link w:val="Tekstpodstawowy2"/>
    <w:uiPriority w:val="99"/>
    <w:semiHidden/>
    <w:qFormat/>
    <w:rsid w:val="004B06D1"/>
    <w:rPr>
      <w:rFonts w:ascii="Arial" w:eastAsia="Times New Roman" w:hAnsi="Arial" w:cs="Times New Roman"/>
      <w:szCs w:val="20"/>
      <w:lang w:eastAsia="pl-PL"/>
    </w:rPr>
  </w:style>
  <w:style w:type="character" w:customStyle="1" w:styleId="TytuZnak">
    <w:name w:val="Tytuł Znak"/>
    <w:link w:val="Tytu"/>
    <w:uiPriority w:val="99"/>
    <w:qFormat/>
    <w:rsid w:val="004B06D1"/>
    <w:rPr>
      <w:rFonts w:ascii="Times New Roman" w:eastAsia="Times New Roman" w:hAnsi="Times New Roman" w:cs="Times New Roman"/>
      <w:b/>
      <w:bCs/>
      <w:sz w:val="28"/>
      <w:szCs w:val="28"/>
      <w:lang w:eastAsia="pl-PL"/>
    </w:rPr>
  </w:style>
  <w:style w:type="character" w:customStyle="1" w:styleId="StopkaZnak">
    <w:name w:val="Stopka Znak"/>
    <w:link w:val="Stopka"/>
    <w:uiPriority w:val="99"/>
    <w:qFormat/>
    <w:rsid w:val="004B06D1"/>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uiPriority w:val="99"/>
    <w:semiHidden/>
    <w:qFormat/>
    <w:rsid w:val="004B06D1"/>
    <w:rPr>
      <w:rFonts w:ascii="Arial" w:eastAsia="Times New Roman" w:hAnsi="Arial" w:cs="Times New Roman"/>
      <w:sz w:val="16"/>
      <w:szCs w:val="16"/>
      <w:lang w:eastAsia="pl-PL"/>
    </w:rPr>
  </w:style>
  <w:style w:type="character" w:customStyle="1" w:styleId="TekstpodstawowywcityZnak">
    <w:name w:val="Tekst podstawowy wcięty Znak"/>
    <w:link w:val="Wcicietrecitekstu"/>
    <w:uiPriority w:val="99"/>
    <w:semiHidden/>
    <w:qFormat/>
    <w:rsid w:val="004B06D1"/>
    <w:rPr>
      <w:rFonts w:ascii="Arial" w:eastAsia="Times New Roman" w:hAnsi="Arial" w:cs="Times New Roman"/>
      <w:szCs w:val="20"/>
      <w:lang w:eastAsia="pl-PL"/>
    </w:rPr>
  </w:style>
  <w:style w:type="character" w:customStyle="1" w:styleId="Tekstpodstawowywcity3Znak">
    <w:name w:val="Tekst podstawowy wcięty 3 Znak"/>
    <w:link w:val="Tekstpodstawowywcity3"/>
    <w:uiPriority w:val="99"/>
    <w:semiHidden/>
    <w:qFormat/>
    <w:rsid w:val="004B06D1"/>
    <w:rPr>
      <w:rFonts w:ascii="Arial" w:eastAsia="Times New Roman" w:hAnsi="Arial" w:cs="Times New Roman"/>
      <w:sz w:val="16"/>
      <w:szCs w:val="16"/>
      <w:lang w:eastAsia="pl-PL"/>
    </w:rPr>
  </w:style>
  <w:style w:type="character" w:customStyle="1" w:styleId="czeinternetowe">
    <w:name w:val="Łącze internetowe"/>
    <w:uiPriority w:val="99"/>
    <w:rsid w:val="004B06D1"/>
    <w:rPr>
      <w:color w:val="0000FF"/>
      <w:u w:val="single"/>
    </w:rPr>
  </w:style>
  <w:style w:type="character" w:customStyle="1" w:styleId="PodtytuZnak">
    <w:name w:val="Podtytuł Znak"/>
    <w:link w:val="Podtytu"/>
    <w:uiPriority w:val="99"/>
    <w:qFormat/>
    <w:rsid w:val="004B06D1"/>
    <w:rPr>
      <w:rFonts w:ascii="Tahoma" w:eastAsia="Times New Roman" w:hAnsi="Tahoma" w:cs="Tahoma"/>
      <w:b/>
      <w:bCs/>
      <w:lang w:eastAsia="pl-PL"/>
    </w:rPr>
  </w:style>
  <w:style w:type="character" w:styleId="Numerstrony">
    <w:name w:val="page number"/>
    <w:basedOn w:val="Domylnaczcionkaakapitu"/>
    <w:uiPriority w:val="99"/>
    <w:qFormat/>
    <w:rsid w:val="004B06D1"/>
  </w:style>
  <w:style w:type="character" w:styleId="Odwoaniedokomentarza">
    <w:name w:val="annotation reference"/>
    <w:uiPriority w:val="99"/>
    <w:qFormat/>
    <w:rsid w:val="004B06D1"/>
    <w:rPr>
      <w:sz w:val="16"/>
      <w:szCs w:val="16"/>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character" w:styleId="UyteHipercze">
    <w:name w:val="FollowedHyperlink"/>
    <w:uiPriority w:val="99"/>
    <w:semiHidden/>
    <w:qFormat/>
    <w:rsid w:val="004B06D1"/>
    <w:rPr>
      <w:color w:val="800080"/>
      <w:u w:val="single"/>
    </w:rPr>
  </w:style>
  <w:style w:type="character" w:customStyle="1" w:styleId="TekstdymkaZnak">
    <w:name w:val="Tekst dymka Znak"/>
    <w:link w:val="Tekstdymka"/>
    <w:uiPriority w:val="99"/>
    <w:semiHidden/>
    <w:qFormat/>
    <w:rsid w:val="004B06D1"/>
    <w:rPr>
      <w:rFonts w:ascii="Tahoma" w:eastAsia="Times New Roman" w:hAnsi="Tahoma" w:cs="Tahoma"/>
      <w:sz w:val="16"/>
      <w:szCs w:val="16"/>
      <w:lang w:eastAsia="pl-PL"/>
    </w:rPr>
  </w:style>
  <w:style w:type="character" w:customStyle="1" w:styleId="TekstprzypisukocowegoZnak">
    <w:name w:val="Tekst przypisu końcowego Znak"/>
    <w:link w:val="Tekstprzypisukocowego"/>
    <w:uiPriority w:val="99"/>
    <w:semiHidden/>
    <w:qFormat/>
    <w:rsid w:val="004B06D1"/>
    <w:rPr>
      <w:rFonts w:ascii="Arial" w:eastAsia="Times New Roman" w:hAnsi="Arial" w:cs="Times New Roman"/>
      <w:sz w:val="20"/>
      <w:szCs w:val="20"/>
      <w:lang w:eastAsia="pl-PL"/>
    </w:rPr>
  </w:style>
  <w:style w:type="character" w:styleId="Odwoanieprzypisukocowego">
    <w:name w:val="endnote reference"/>
    <w:uiPriority w:val="99"/>
    <w:semiHidden/>
    <w:qFormat/>
    <w:rsid w:val="004B06D1"/>
    <w:rPr>
      <w:vertAlign w:val="superscript"/>
    </w:rPr>
  </w:style>
  <w:style w:type="character" w:customStyle="1" w:styleId="TematkomentarzaZnak">
    <w:name w:val="Temat komentarza Znak"/>
    <w:link w:val="Tematkomentarza"/>
    <w:uiPriority w:val="99"/>
    <w:semiHidden/>
    <w:qFormat/>
    <w:rsid w:val="004B06D1"/>
    <w:rPr>
      <w:rFonts w:ascii="Arial" w:eastAsia="Times New Roman" w:hAnsi="Arial" w:cs="Times New Roman"/>
      <w:b/>
      <w:bCs/>
      <w:sz w:val="20"/>
      <w:szCs w:val="20"/>
      <w:lang w:eastAsia="pl-PL"/>
    </w:rPr>
  </w:style>
  <w:style w:type="character" w:customStyle="1" w:styleId="PlandokumentuZnak">
    <w:name w:val="Plan dokumentu Znak"/>
    <w:link w:val="Plandokumentu"/>
    <w:uiPriority w:val="99"/>
    <w:semiHidden/>
    <w:qFormat/>
    <w:rsid w:val="004B06D1"/>
    <w:rPr>
      <w:rFonts w:ascii="Tahoma" w:eastAsia="Times New Roman" w:hAnsi="Tahoma" w:cs="Tahoma"/>
      <w:sz w:val="20"/>
      <w:szCs w:val="20"/>
      <w:shd w:val="clear" w:color="auto" w:fill="000080"/>
      <w:lang w:eastAsia="pl-PL"/>
    </w:rPr>
  </w:style>
  <w:style w:type="character" w:customStyle="1" w:styleId="ZnakZnak8">
    <w:name w:val="Znak Znak8"/>
    <w:uiPriority w:val="99"/>
    <w:qFormat/>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character" w:customStyle="1" w:styleId="AkapitzlistZnak">
    <w:name w:val="Akapit z listą Znak"/>
    <w:link w:val="Akapitzlist"/>
    <w:uiPriority w:val="34"/>
    <w:qFormat/>
    <w:rsid w:val="004B06D1"/>
    <w:rPr>
      <w:rFonts w:ascii="Arial" w:eastAsia="Times New Roman" w:hAnsi="Arial" w:cs="Times New Roman"/>
      <w:szCs w:val="20"/>
      <w:lang w:eastAsia="pl-PL"/>
    </w:rPr>
  </w:style>
  <w:style w:type="character" w:customStyle="1" w:styleId="Kkursywa">
    <w:name w:val="_K_ – kursywa"/>
    <w:uiPriority w:val="99"/>
    <w:qFormat/>
    <w:rsid w:val="004B06D1"/>
    <w:rPr>
      <w:i/>
    </w:rPr>
  </w:style>
  <w:style w:type="character" w:customStyle="1" w:styleId="h2">
    <w:name w:val="h2"/>
    <w:basedOn w:val="Domylnaczcionkaakapitu"/>
    <w:uiPriority w:val="99"/>
    <w:qFormat/>
    <w:rsid w:val="00576055"/>
  </w:style>
  <w:style w:type="character" w:customStyle="1" w:styleId="h1">
    <w:name w:val="h1"/>
    <w:basedOn w:val="Domylnaczcionkaakapitu"/>
    <w:uiPriority w:val="99"/>
    <w:qFormat/>
    <w:rsid w:val="00576055"/>
  </w:style>
  <w:style w:type="character" w:customStyle="1" w:styleId="highlight">
    <w:name w:val="highlight"/>
    <w:basedOn w:val="Domylnaczcionkaakapitu"/>
    <w:uiPriority w:val="99"/>
    <w:qFormat/>
    <w:rsid w:val="00990D30"/>
  </w:style>
  <w:style w:type="character" w:customStyle="1" w:styleId="Wyrnienie">
    <w:name w:val="Wyróżnienie"/>
    <w:uiPriority w:val="20"/>
    <w:qFormat/>
    <w:rsid w:val="004C70CD"/>
    <w:rPr>
      <w:i/>
      <w:iCs/>
    </w:rPr>
  </w:style>
  <w:style w:type="character" w:customStyle="1" w:styleId="FootnoteTextChar">
    <w:name w:val="Footnote Text Char"/>
    <w:uiPriority w:val="99"/>
    <w:semiHidden/>
    <w:qFormat/>
    <w:rsid w:val="004C70CD"/>
    <w:rPr>
      <w:rFonts w:ascii="Arial" w:eastAsia="Times New Roman" w:hAnsi="Arial"/>
      <w:sz w:val="20"/>
      <w:szCs w:val="20"/>
    </w:rPr>
  </w:style>
  <w:style w:type="character" w:customStyle="1" w:styleId="ZwykytekstZnak">
    <w:name w:val="Zwykły tekst Znak"/>
    <w:link w:val="Zwykytekst"/>
    <w:uiPriority w:val="99"/>
    <w:qFormat/>
    <w:rsid w:val="00740A3D"/>
    <w:rPr>
      <w:rFonts w:ascii="Consolas" w:hAnsi="Consolas"/>
      <w:sz w:val="21"/>
      <w:szCs w:val="21"/>
    </w:rPr>
  </w:style>
  <w:style w:type="character" w:customStyle="1" w:styleId="footnotedescriptionChar">
    <w:name w:val="footnote description Char"/>
    <w:qFormat/>
    <w:rsid w:val="0008393D"/>
    <w:rPr>
      <w:rFonts w:ascii="Arial" w:eastAsia="Arial" w:hAnsi="Arial" w:cs="Arial"/>
      <w:color w:val="000000"/>
      <w:sz w:val="16"/>
      <w:lang w:eastAsia="pl-PL"/>
    </w:rPr>
  </w:style>
  <w:style w:type="character" w:customStyle="1" w:styleId="footnotemark">
    <w:name w:val="footnote mark"/>
    <w:qFormat/>
    <w:rsid w:val="0008393D"/>
    <w:rPr>
      <w:rFonts w:ascii="Arial" w:eastAsia="Arial" w:hAnsi="Arial" w:cs="Arial"/>
      <w:color w:val="000000"/>
      <w:sz w:val="16"/>
      <w:vertAlign w:val="superscript"/>
    </w:rPr>
  </w:style>
  <w:style w:type="character" w:customStyle="1" w:styleId="ListLabel1">
    <w:name w:val="ListLabel 1"/>
    <w:qFormat/>
    <w:rsid w:val="00CE6E82"/>
    <w:rPr>
      <w:rFonts w:cs="Times New Roman"/>
      <w:b/>
      <w:i w:val="0"/>
      <w:sz w:val="22"/>
    </w:rPr>
  </w:style>
  <w:style w:type="character" w:customStyle="1" w:styleId="ListLabel2">
    <w:name w:val="ListLabel 2"/>
    <w:qFormat/>
    <w:rsid w:val="00CE6E82"/>
    <w:rPr>
      <w:rFonts w:eastAsia="Calibri" w:cs="Calibri"/>
      <w:color w:val="000000"/>
    </w:rPr>
  </w:style>
  <w:style w:type="character" w:customStyle="1" w:styleId="ListLabel3">
    <w:name w:val="ListLabel 3"/>
    <w:qFormat/>
    <w:rsid w:val="00CE6E82"/>
    <w:rPr>
      <w:b w:val="0"/>
      <w:i w:val="0"/>
      <w:sz w:val="24"/>
      <w:szCs w:val="20"/>
    </w:rPr>
  </w:style>
  <w:style w:type="character" w:customStyle="1" w:styleId="ListLabel4">
    <w:name w:val="ListLabel 4"/>
    <w:qFormat/>
    <w:rsid w:val="00CE6E82"/>
    <w:rPr>
      <w:rFonts w:cs="Times New Roman"/>
      <w:b/>
      <w:i w:val="0"/>
      <w:sz w:val="22"/>
    </w:rPr>
  </w:style>
  <w:style w:type="character" w:customStyle="1" w:styleId="ListLabel5">
    <w:name w:val="ListLabel 5"/>
    <w:qFormat/>
    <w:rsid w:val="00CE6E82"/>
    <w:rPr>
      <w:b/>
      <w:i w:val="0"/>
      <w:sz w:val="24"/>
      <w:szCs w:val="24"/>
    </w:rPr>
  </w:style>
  <w:style w:type="character" w:customStyle="1" w:styleId="ListLabel6">
    <w:name w:val="ListLabel 6"/>
    <w:qFormat/>
    <w:rsid w:val="00CE6E82"/>
    <w:rPr>
      <w:rFonts w:cs="Courier New"/>
    </w:rPr>
  </w:style>
  <w:style w:type="character" w:customStyle="1" w:styleId="ListLabel7">
    <w:name w:val="ListLabel 7"/>
    <w:qFormat/>
    <w:rsid w:val="00CE6E82"/>
    <w:rPr>
      <w:b w:val="0"/>
      <w:i w:val="0"/>
      <w:color w:val="000000"/>
      <w:sz w:val="24"/>
    </w:rPr>
  </w:style>
  <w:style w:type="character" w:customStyle="1" w:styleId="ListLabel8">
    <w:name w:val="ListLabel 8"/>
    <w:qFormat/>
    <w:rsid w:val="00CE6E82"/>
    <w:rPr>
      <w:b w:val="0"/>
      <w:i w:val="0"/>
      <w:sz w:val="24"/>
    </w:rPr>
  </w:style>
  <w:style w:type="character" w:customStyle="1" w:styleId="ListLabel9">
    <w:name w:val="ListLabel 9"/>
    <w:qFormat/>
    <w:rsid w:val="00CE6E82"/>
    <w:rPr>
      <w:b w:val="0"/>
      <w:i w:val="0"/>
      <w:sz w:val="24"/>
    </w:rPr>
  </w:style>
  <w:style w:type="character" w:customStyle="1" w:styleId="ListLabel10">
    <w:name w:val="ListLabel 10"/>
    <w:qFormat/>
    <w:rsid w:val="00CE6E82"/>
    <w:rPr>
      <w:rFonts w:cs="Times New Roman"/>
      <w:b w:val="0"/>
      <w:i w:val="0"/>
      <w:color w:val="000000"/>
      <w:sz w:val="22"/>
    </w:rPr>
  </w:style>
  <w:style w:type="character" w:customStyle="1" w:styleId="ListLabel11">
    <w:name w:val="ListLabel 11"/>
    <w:qFormat/>
    <w:rsid w:val="00CE6E82"/>
    <w:rPr>
      <w:b/>
      <w:color w:val="00000A"/>
      <w:sz w:val="22"/>
    </w:rPr>
  </w:style>
  <w:style w:type="character" w:customStyle="1" w:styleId="ListLabel12">
    <w:name w:val="ListLabel 12"/>
    <w:qFormat/>
    <w:rsid w:val="00CE6E82"/>
    <w:rPr>
      <w:b w:val="0"/>
    </w:rPr>
  </w:style>
  <w:style w:type="character" w:customStyle="1" w:styleId="ListLabel13">
    <w:name w:val="ListLabel 13"/>
    <w:qFormat/>
    <w:rsid w:val="00CE6E82"/>
    <w:rPr>
      <w:sz w:val="20"/>
    </w:rPr>
  </w:style>
  <w:style w:type="character" w:customStyle="1" w:styleId="ListLabel14">
    <w:name w:val="ListLabel 14"/>
    <w:qFormat/>
    <w:rsid w:val="00CE6E82"/>
    <w:rPr>
      <w:b w:val="0"/>
      <w:i w:val="0"/>
      <w:color w:val="000000"/>
      <w:sz w:val="24"/>
      <w:szCs w:val="24"/>
    </w:rPr>
  </w:style>
  <w:style w:type="character" w:customStyle="1" w:styleId="ListLabel15">
    <w:name w:val="ListLabel 15"/>
    <w:qFormat/>
    <w:rsid w:val="00CE6E82"/>
    <w:rPr>
      <w:rFonts w:cs="Arial"/>
      <w:b/>
      <w:i w:val="0"/>
      <w:color w:val="000000"/>
      <w:sz w:val="24"/>
    </w:rPr>
  </w:style>
  <w:style w:type="character" w:customStyle="1" w:styleId="ListLabel16">
    <w:name w:val="ListLabel 16"/>
    <w:qFormat/>
    <w:rsid w:val="00CE6E82"/>
    <w:rPr>
      <w:i w:val="0"/>
    </w:rPr>
  </w:style>
  <w:style w:type="character" w:customStyle="1" w:styleId="ListLabel17">
    <w:name w:val="ListLabel 17"/>
    <w:qFormat/>
    <w:rsid w:val="00CE6E82"/>
    <w:rPr>
      <w:rFonts w:eastAsia="Times New Roman" w:cs="Arial"/>
      <w:color w:val="00000A"/>
      <w:sz w:val="22"/>
    </w:rPr>
  </w:style>
  <w:style w:type="character" w:customStyle="1" w:styleId="Odwiedzoneczeinternetowe">
    <w:name w:val="Odwiedzone łącze internetowe"/>
    <w:rsid w:val="00CE6E82"/>
    <w:rPr>
      <w:color w:val="800000"/>
      <w:u w:val="single"/>
    </w:rPr>
  </w:style>
  <w:style w:type="character" w:customStyle="1" w:styleId="czeindeksu">
    <w:name w:val="Łącze indeksu"/>
    <w:qFormat/>
    <w:rsid w:val="00CE6E82"/>
  </w:style>
  <w:style w:type="character" w:customStyle="1" w:styleId="Znakiprzypiswdolnych">
    <w:name w:val="Znaki przypisów dolnych"/>
    <w:qFormat/>
    <w:rsid w:val="00CE6E82"/>
  </w:style>
  <w:style w:type="character" w:customStyle="1" w:styleId="Zakotwiczenieprzypisudolnego">
    <w:name w:val="Zakotwiczenie przypisu dolnego"/>
    <w:rsid w:val="00CE6E82"/>
    <w:rPr>
      <w:vertAlign w:val="superscript"/>
    </w:rPr>
  </w:style>
  <w:style w:type="character" w:customStyle="1" w:styleId="Zakotwiczenieprzypisukocowego">
    <w:name w:val="Zakotwiczenie przypisu końcowego"/>
    <w:rsid w:val="00CE6E82"/>
    <w:rPr>
      <w:vertAlign w:val="superscript"/>
    </w:rPr>
  </w:style>
  <w:style w:type="character" w:customStyle="1" w:styleId="Znakiprzypiswkocowych">
    <w:name w:val="Znaki przypisów końcowych"/>
    <w:qFormat/>
    <w:rsid w:val="00CE6E82"/>
  </w:style>
  <w:style w:type="paragraph" w:styleId="Nagwek">
    <w:name w:val="header"/>
    <w:aliases w:val="Znak Znak,Znak"/>
    <w:basedOn w:val="Normalny"/>
    <w:next w:val="Tretekstu"/>
    <w:link w:val="NagwekZnak"/>
    <w:qFormat/>
    <w:rsid w:val="00CE6E82"/>
    <w:pPr>
      <w:keepNext/>
      <w:spacing w:before="240" w:after="120"/>
    </w:pPr>
    <w:rPr>
      <w:sz w:val="20"/>
    </w:rPr>
  </w:style>
  <w:style w:type="paragraph" w:customStyle="1" w:styleId="Tretekstu">
    <w:name w:val="Treść tekstu"/>
    <w:basedOn w:val="Normalny"/>
    <w:link w:val="TekstpodstawowyZnak"/>
    <w:uiPriority w:val="99"/>
    <w:rsid w:val="004B06D1"/>
    <w:pPr>
      <w:spacing w:after="120"/>
    </w:pPr>
    <w:rPr>
      <w:sz w:val="20"/>
    </w:rPr>
  </w:style>
  <w:style w:type="paragraph" w:styleId="Lista">
    <w:name w:val="List"/>
    <w:basedOn w:val="Tretekstu"/>
    <w:rsid w:val="00CE6E82"/>
    <w:rPr>
      <w:rFonts w:cs="Lucida Sans"/>
    </w:rPr>
  </w:style>
  <w:style w:type="paragraph" w:styleId="Podpis">
    <w:name w:val="Signature"/>
    <w:basedOn w:val="Normalny"/>
    <w:rsid w:val="00CE6E82"/>
    <w:pPr>
      <w:suppressLineNumbers/>
      <w:spacing w:before="120" w:after="120"/>
    </w:pPr>
    <w:rPr>
      <w:rFonts w:cs="Lucida Sans"/>
      <w:i/>
      <w:iCs/>
      <w:sz w:val="24"/>
      <w:szCs w:val="24"/>
    </w:rPr>
  </w:style>
  <w:style w:type="paragraph" w:customStyle="1" w:styleId="Indeks">
    <w:name w:val="Indeks"/>
    <w:basedOn w:val="Normalny"/>
    <w:qFormat/>
    <w:rsid w:val="00CE6E82"/>
    <w:pPr>
      <w:suppressLineNumbers/>
    </w:pPr>
    <w:rPr>
      <w:rFonts w:cs="Lucida Sans"/>
    </w:rPr>
  </w:style>
  <w:style w:type="paragraph" w:styleId="Spistreci5">
    <w:name w:val="toc 5"/>
    <w:basedOn w:val="Normalny"/>
    <w:autoRedefine/>
    <w:uiPriority w:val="99"/>
    <w:rsid w:val="004B06D1"/>
    <w:pPr>
      <w:ind w:left="880"/>
    </w:pPr>
  </w:style>
  <w:style w:type="paragraph" w:customStyle="1" w:styleId="Gwka">
    <w:name w:val="Główka"/>
    <w:basedOn w:val="Normalny"/>
    <w:rsid w:val="004B06D1"/>
    <w:pPr>
      <w:tabs>
        <w:tab w:val="center" w:pos="4536"/>
        <w:tab w:val="right" w:pos="9072"/>
      </w:tabs>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paragraph" w:styleId="Tekstpodstawowy2">
    <w:name w:val="Body Text 2"/>
    <w:basedOn w:val="Normalny"/>
    <w:link w:val="Tekstpodstawowy2Znak"/>
    <w:uiPriority w:val="99"/>
    <w:semiHidden/>
    <w:qFormat/>
    <w:rsid w:val="004B06D1"/>
    <w:pPr>
      <w:spacing w:after="120" w:line="480" w:lineRule="auto"/>
    </w:pPr>
    <w:rPr>
      <w:sz w:val="20"/>
    </w:rPr>
  </w:style>
  <w:style w:type="paragraph" w:styleId="Tytu">
    <w:name w:val="Title"/>
    <w:basedOn w:val="Normalny"/>
    <w:link w:val="TytuZnak"/>
    <w:uiPriority w:val="99"/>
    <w:qFormat/>
    <w:rsid w:val="004B06D1"/>
    <w:pPr>
      <w:spacing w:before="0" w:after="120" w:line="240" w:lineRule="auto"/>
      <w:jc w:val="center"/>
    </w:pPr>
    <w:rPr>
      <w:rFonts w:ascii="Times New Roman" w:hAnsi="Times New Roman"/>
      <w:b/>
      <w:bCs/>
      <w:sz w:val="28"/>
      <w:szCs w:val="28"/>
    </w:rPr>
  </w:style>
  <w:style w:type="paragraph" w:styleId="Indeks1">
    <w:name w:val="index 1"/>
    <w:basedOn w:val="Normalny"/>
    <w:autoRedefine/>
    <w:uiPriority w:val="99"/>
    <w:semiHidden/>
    <w:qFormat/>
    <w:rsid w:val="004B06D1"/>
    <w:pPr>
      <w:ind w:left="220" w:hanging="220"/>
    </w:pPr>
  </w:style>
  <w:style w:type="paragraph" w:styleId="Nagwekindeksu">
    <w:name w:val="index heading"/>
    <w:basedOn w:val="Normalny"/>
    <w:semiHidden/>
    <w:qFormat/>
    <w:rsid w:val="004B06D1"/>
    <w:pPr>
      <w:spacing w:before="0" w:line="240" w:lineRule="auto"/>
    </w:pPr>
    <w:rPr>
      <w:rFonts w:ascii="Times New Roman" w:hAnsi="Times New Roman"/>
      <w:sz w:val="20"/>
      <w:szCs w:val="24"/>
    </w:rPr>
  </w:style>
  <w:style w:type="paragraph" w:customStyle="1" w:styleId="xl38">
    <w:name w:val="xl38"/>
    <w:basedOn w:val="Normalny"/>
    <w:uiPriority w:val="99"/>
    <w:qFormat/>
    <w:rsid w:val="004B06D1"/>
    <w:pPr>
      <w:spacing w:before="100" w:after="100" w:line="240" w:lineRule="auto"/>
    </w:pPr>
    <w:rPr>
      <w:rFonts w:ascii="Times New Roman" w:hAnsi="Times New Roman"/>
      <w:b/>
      <w:bCs/>
      <w:sz w:val="20"/>
      <w:szCs w:val="24"/>
    </w:rPr>
  </w:style>
  <w:style w:type="paragraph" w:customStyle="1" w:styleId="xl33">
    <w:name w:val="xl33"/>
    <w:basedOn w:val="Normalny"/>
    <w:uiPriority w:val="99"/>
    <w:qFormat/>
    <w:rsid w:val="004B06D1"/>
    <w:pPr>
      <w:spacing w:before="100" w:after="100" w:line="240" w:lineRule="auto"/>
      <w:jc w:val="center"/>
    </w:pPr>
    <w:rPr>
      <w:rFonts w:ascii="Times New Roman" w:hAnsi="Times New Roman"/>
      <w:sz w:val="20"/>
      <w:szCs w:val="24"/>
    </w:rPr>
  </w:style>
  <w:style w:type="paragraph" w:customStyle="1" w:styleId="1">
    <w:name w:val="1"/>
    <w:basedOn w:val="Normalny"/>
    <w:uiPriority w:val="99"/>
    <w:qFormat/>
    <w:rsid w:val="004B06D1"/>
    <w:pPr>
      <w:tabs>
        <w:tab w:val="center" w:pos="4536"/>
        <w:tab w:val="right" w:pos="9072"/>
      </w:tabs>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spacing w:before="0" w:line="240" w:lineRule="auto"/>
    </w:pPr>
    <w:rPr>
      <w:rFonts w:ascii="Times New Roman" w:hAnsi="Times New Roman"/>
      <w:sz w:val="20"/>
    </w:rPr>
  </w:style>
  <w:style w:type="paragraph" w:styleId="Tekstpodstawowy3">
    <w:name w:val="Body Text 3"/>
    <w:basedOn w:val="Normalny"/>
    <w:link w:val="Tekstpodstawowy3Znak"/>
    <w:uiPriority w:val="99"/>
    <w:semiHidden/>
    <w:qFormat/>
    <w:rsid w:val="004B06D1"/>
    <w:pPr>
      <w:spacing w:after="120"/>
    </w:pPr>
    <w:rPr>
      <w:sz w:val="16"/>
      <w:szCs w:val="16"/>
    </w:rPr>
  </w:style>
  <w:style w:type="paragraph" w:customStyle="1" w:styleId="Wcicietrecitekstu">
    <w:name w:val="Wcięcie treści tekstu"/>
    <w:basedOn w:val="Normalny"/>
    <w:link w:val="TekstpodstawowywcityZnak"/>
    <w:uiPriority w:val="99"/>
    <w:semiHidden/>
    <w:rsid w:val="004B06D1"/>
    <w:pPr>
      <w:spacing w:after="120"/>
      <w:ind w:left="283"/>
    </w:pPr>
    <w:rPr>
      <w:sz w:val="20"/>
    </w:rPr>
  </w:style>
  <w:style w:type="paragraph" w:styleId="Tekstpodstawowywcity3">
    <w:name w:val="Body Text Indent 3"/>
    <w:basedOn w:val="Normalny"/>
    <w:link w:val="Tekstpodstawowywcity3Znak"/>
    <w:uiPriority w:val="99"/>
    <w:semiHidden/>
    <w:qFormat/>
    <w:rsid w:val="004B06D1"/>
    <w:pPr>
      <w:spacing w:after="120"/>
      <w:ind w:left="283"/>
    </w:pPr>
    <w:rPr>
      <w:sz w:val="16"/>
      <w:szCs w:val="16"/>
    </w:rPr>
  </w:style>
  <w:style w:type="paragraph" w:customStyle="1" w:styleId="Tekstpodstawowywcity1">
    <w:name w:val="Tekst podstawowy wcięty1"/>
    <w:basedOn w:val="Normalny"/>
    <w:uiPriority w:val="99"/>
    <w:qFormat/>
    <w:rsid w:val="004B06D1"/>
    <w:pPr>
      <w:widowControl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spacing w:before="0" w:line="360" w:lineRule="auto"/>
      <w:jc w:val="center"/>
    </w:pPr>
    <w:rPr>
      <w:rFonts w:ascii="Tahoma" w:hAnsi="Tahoma"/>
      <w:b/>
      <w:bCs/>
      <w:sz w:val="20"/>
    </w:rPr>
  </w:style>
  <w:style w:type="paragraph" w:customStyle="1" w:styleId="Pisma">
    <w:name w:val="Pisma"/>
    <w:basedOn w:val="Normalny"/>
    <w:uiPriority w:val="99"/>
    <w:qFormat/>
    <w:rsid w:val="004B06D1"/>
    <w:pPr>
      <w:spacing w:before="0" w:line="240" w:lineRule="auto"/>
      <w:jc w:val="both"/>
    </w:pPr>
    <w:rPr>
      <w:rFonts w:ascii="Times New Roman" w:hAnsi="Times New Roman"/>
      <w:sz w:val="20"/>
      <w:szCs w:val="24"/>
    </w:rPr>
  </w:style>
  <w:style w:type="paragraph" w:customStyle="1" w:styleId="xl28">
    <w:name w:val="xl28"/>
    <w:basedOn w:val="Normalny"/>
    <w:uiPriority w:val="99"/>
    <w:qFormat/>
    <w:rsid w:val="004B06D1"/>
    <w:pPr>
      <w:pBdr>
        <w:top w:val="single" w:sz="4" w:space="0" w:color="00000A"/>
      </w:pBdr>
      <w:spacing w:before="100" w:after="100" w:line="240" w:lineRule="auto"/>
    </w:pPr>
    <w:rPr>
      <w:rFonts w:ascii="Times New Roman" w:hAnsi="Times New Roman"/>
      <w:sz w:val="20"/>
      <w:szCs w:val="24"/>
    </w:rPr>
  </w:style>
  <w:style w:type="paragraph" w:customStyle="1" w:styleId="Standardowy1">
    <w:name w:val="Standardowy1"/>
    <w:uiPriority w:val="99"/>
    <w:qFormat/>
    <w:rsid w:val="004B06D1"/>
    <w:pPr>
      <w:textAlignment w:val="baseline"/>
    </w:pPr>
    <w:rPr>
      <w:rFonts w:ascii="Times New Roman" w:eastAsia="Times New Roman" w:hAnsi="Times New Roman" w:cs="Times New Roman"/>
      <w:sz w:val="24"/>
      <w:lang w:val="en-US"/>
    </w:rPr>
  </w:style>
  <w:style w:type="paragraph" w:customStyle="1" w:styleId="SOP">
    <w:name w:val="SOP"/>
    <w:basedOn w:val="Tekstpodstawowy3"/>
    <w:uiPriority w:val="99"/>
    <w:qFormat/>
    <w:rsid w:val="004B06D1"/>
    <w:pPr>
      <w:widowControl w:val="0"/>
      <w:spacing w:before="240" w:after="0" w:line="240" w:lineRule="auto"/>
      <w:jc w:val="both"/>
    </w:pPr>
    <w:rPr>
      <w:sz w:val="24"/>
      <w:szCs w:val="20"/>
    </w:rPr>
  </w:style>
  <w:style w:type="paragraph" w:styleId="NormalnyWeb">
    <w:name w:val="Normal (Web)"/>
    <w:basedOn w:val="Normalny"/>
    <w:uiPriority w:val="99"/>
    <w:qFormat/>
    <w:rsid w:val="004B06D1"/>
    <w:pPr>
      <w:spacing w:before="100" w:after="100" w:line="240" w:lineRule="auto"/>
    </w:pPr>
    <w:rPr>
      <w:rFonts w:ascii="Times New Roman" w:hAnsi="Times New Roman"/>
      <w:sz w:val="24"/>
      <w:szCs w:val="24"/>
    </w:rPr>
  </w:style>
  <w:style w:type="paragraph" w:styleId="Legenda">
    <w:name w:val="caption"/>
    <w:basedOn w:val="Normalny"/>
    <w:uiPriority w:val="99"/>
    <w:qFormat/>
    <w:rsid w:val="004B06D1"/>
    <w:pPr>
      <w:pBdr>
        <w:top w:val="single" w:sz="4" w:space="1" w:color="00000A"/>
        <w:left w:val="single" w:sz="4" w:space="4" w:color="00000A"/>
        <w:bottom w:val="single" w:sz="4" w:space="1" w:color="00000A"/>
        <w:right w:val="single" w:sz="4" w:space="4" w:color="00000A"/>
      </w:pBdr>
      <w:spacing w:before="0" w:line="240" w:lineRule="auto"/>
    </w:pPr>
    <w:rPr>
      <w:rFonts w:ascii="Times New Roman" w:hAnsi="Times New Roman"/>
      <w:b/>
      <w:sz w:val="20"/>
    </w:rPr>
  </w:style>
  <w:style w:type="paragraph" w:customStyle="1" w:styleId="Tekstpodstawowy21">
    <w:name w:val="Tekst podstawowy 21"/>
    <w:basedOn w:val="Normalny"/>
    <w:uiPriority w:val="99"/>
    <w:qFormat/>
    <w:rsid w:val="004B06D1"/>
    <w:pPr>
      <w:spacing w:before="0" w:line="240" w:lineRule="auto"/>
      <w:jc w:val="both"/>
    </w:pPr>
    <w:rPr>
      <w:rFonts w:ascii="Times New Roman" w:hAnsi="Times New Roman"/>
      <w:sz w:val="24"/>
    </w:rPr>
  </w:style>
  <w:style w:type="paragraph" w:customStyle="1" w:styleId="xl35">
    <w:name w:val="xl35"/>
    <w:basedOn w:val="Normalny"/>
    <w:uiPriority w:val="99"/>
    <w:qFormat/>
    <w:rsid w:val="004B06D1"/>
    <w:pPr>
      <w:spacing w:beforeAutospacing="1"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spacing w:before="0" w:line="240" w:lineRule="auto"/>
      <w:textAlignment w:val="baseline"/>
    </w:pPr>
    <w:rPr>
      <w:rFonts w:ascii="Times New Roman" w:hAnsi="Times New Roman"/>
      <w:sz w:val="20"/>
    </w:rPr>
  </w:style>
  <w:style w:type="paragraph" w:styleId="Spistreci1">
    <w:name w:val="toc 1"/>
    <w:basedOn w:val="Normalny"/>
    <w:autoRedefine/>
    <w:uiPriority w:val="39"/>
    <w:qFormat/>
    <w:rsid w:val="00F6483D"/>
    <w:pPr>
      <w:tabs>
        <w:tab w:val="left" w:pos="284"/>
      </w:tabs>
      <w:spacing w:before="0" w:line="240" w:lineRule="auto"/>
    </w:pPr>
    <w:rPr>
      <w:rFonts w:ascii="Times New Roman" w:hAnsi="Times New Roman"/>
      <w:sz w:val="24"/>
    </w:rPr>
  </w:style>
  <w:style w:type="paragraph" w:styleId="Spistreci2">
    <w:name w:val="toc 2"/>
    <w:basedOn w:val="Normalny"/>
    <w:autoRedefine/>
    <w:uiPriority w:val="39"/>
    <w:qFormat/>
    <w:rsid w:val="004B06D1"/>
    <w:pPr>
      <w:ind w:left="220"/>
    </w:pPr>
  </w:style>
  <w:style w:type="paragraph" w:styleId="Spistreci3">
    <w:name w:val="toc 3"/>
    <w:basedOn w:val="Normalny"/>
    <w:autoRedefine/>
    <w:uiPriority w:val="39"/>
    <w:qFormat/>
    <w:rsid w:val="00EF48A8"/>
    <w:pPr>
      <w:tabs>
        <w:tab w:val="right" w:leader="dot" w:pos="9710"/>
      </w:tabs>
      <w:spacing w:before="120" w:after="120"/>
    </w:pPr>
  </w:style>
  <w:style w:type="paragraph" w:styleId="Spistreci4">
    <w:name w:val="toc 4"/>
    <w:basedOn w:val="Normalny"/>
    <w:autoRedefine/>
    <w:uiPriority w:val="99"/>
    <w:rsid w:val="004B06D1"/>
    <w:pPr>
      <w:ind w:left="660"/>
    </w:pPr>
  </w:style>
  <w:style w:type="paragraph" w:customStyle="1" w:styleId="Default">
    <w:name w:val="Default"/>
    <w:qFormat/>
    <w:rsid w:val="004B06D1"/>
    <w:rPr>
      <w:rFonts w:ascii="TimesNewRoman,Bold" w:eastAsia="Times New Roman" w:hAnsi="TimesNewRoman,Bold" w:cs="TimesNewRoman,Bold"/>
    </w:rPr>
  </w:style>
  <w:style w:type="paragraph" w:customStyle="1" w:styleId="tekstZPORR">
    <w:name w:val="tekst ZPORR"/>
    <w:basedOn w:val="Default"/>
    <w:next w:val="Default"/>
    <w:uiPriority w:val="99"/>
    <w:qFormat/>
    <w:rsid w:val="004B06D1"/>
    <w:pPr>
      <w:spacing w:after="120"/>
    </w:pPr>
    <w:rPr>
      <w:rFonts w:cs="Times New Roman"/>
      <w:sz w:val="24"/>
      <w:szCs w:val="24"/>
    </w:rPr>
  </w:style>
  <w:style w:type="paragraph" w:customStyle="1" w:styleId="Nag3wek1">
    <w:name w:val="Nag3ówek 1"/>
    <w:basedOn w:val="Default"/>
    <w:next w:val="Default"/>
    <w:uiPriority w:val="99"/>
    <w:qFormat/>
    <w:rsid w:val="004B06D1"/>
    <w:pPr>
      <w:spacing w:after="240"/>
    </w:pPr>
    <w:rPr>
      <w:rFonts w:cs="Times New Roman"/>
      <w:sz w:val="24"/>
      <w:szCs w:val="24"/>
    </w:rPr>
  </w:style>
  <w:style w:type="paragraph" w:customStyle="1" w:styleId="BodyText23">
    <w:name w:val="Body Text 23"/>
    <w:basedOn w:val="Default"/>
    <w:next w:val="Default"/>
    <w:uiPriority w:val="99"/>
    <w:qFormat/>
    <w:rsid w:val="004B06D1"/>
    <w:rPr>
      <w:rFonts w:cs="Times New Roman"/>
      <w:sz w:val="24"/>
      <w:szCs w:val="24"/>
    </w:rPr>
  </w:style>
  <w:style w:type="paragraph" w:styleId="Spistreci6">
    <w:name w:val="toc 6"/>
    <w:basedOn w:val="Normalny"/>
    <w:autoRedefine/>
    <w:uiPriority w:val="99"/>
    <w:rsid w:val="004B06D1"/>
    <w:pPr>
      <w:ind w:left="1100"/>
    </w:pPr>
  </w:style>
  <w:style w:type="paragraph" w:styleId="Spistreci7">
    <w:name w:val="toc 7"/>
    <w:basedOn w:val="Normalny"/>
    <w:autoRedefine/>
    <w:uiPriority w:val="99"/>
    <w:rsid w:val="004B06D1"/>
    <w:pPr>
      <w:ind w:left="1320"/>
    </w:pPr>
  </w:style>
  <w:style w:type="paragraph" w:styleId="Spistreci8">
    <w:name w:val="toc 8"/>
    <w:basedOn w:val="Normalny"/>
    <w:autoRedefine/>
    <w:uiPriority w:val="99"/>
    <w:rsid w:val="004B06D1"/>
    <w:pPr>
      <w:ind w:left="1540"/>
    </w:pPr>
  </w:style>
  <w:style w:type="paragraph" w:styleId="Spistreci9">
    <w:name w:val="toc 9"/>
    <w:basedOn w:val="Normalny"/>
    <w:autoRedefine/>
    <w:uiPriority w:val="99"/>
    <w:rsid w:val="004B06D1"/>
    <w:pPr>
      <w:ind w:left="1760"/>
    </w:pPr>
  </w:style>
  <w:style w:type="paragraph" w:styleId="Tekstdymka">
    <w:name w:val="Balloon Text"/>
    <w:basedOn w:val="Normalny"/>
    <w:link w:val="TekstdymkaZnak"/>
    <w:uiPriority w:val="99"/>
    <w:semiHidden/>
    <w:qFormat/>
    <w:rsid w:val="004B06D1"/>
    <w:rPr>
      <w:rFonts w:ascii="Tahoma" w:hAnsi="Tahoma"/>
      <w:sz w:val="16"/>
      <w:szCs w:val="16"/>
    </w:rPr>
  </w:style>
  <w:style w:type="paragraph" w:styleId="Tekstprzypisukocowego">
    <w:name w:val="endnote text"/>
    <w:basedOn w:val="Normalny"/>
    <w:link w:val="TekstprzypisukocowegoZnak"/>
    <w:uiPriority w:val="99"/>
    <w:semiHidden/>
    <w:qFormat/>
    <w:rsid w:val="004B06D1"/>
    <w:rPr>
      <w:sz w:val="20"/>
    </w:rPr>
  </w:style>
  <w:style w:type="paragraph" w:customStyle="1" w:styleId="BodyText24">
    <w:name w:val="Body Text 24"/>
    <w:basedOn w:val="Normalny"/>
    <w:uiPriority w:val="99"/>
    <w:qFormat/>
    <w:rsid w:val="004B06D1"/>
    <w:pPr>
      <w:spacing w:before="0" w:line="240" w:lineRule="auto"/>
      <w:jc w:val="both"/>
      <w:textAlignment w:val="baseline"/>
    </w:pPr>
    <w:rPr>
      <w:rFonts w:ascii="Times New Roman" w:hAnsi="Times New Roman"/>
      <w:sz w:val="24"/>
    </w:rPr>
  </w:style>
  <w:style w:type="paragraph" w:styleId="Tematkomentarza">
    <w:name w:val="annotation subject"/>
    <w:basedOn w:val="Tekstkomentarza"/>
    <w:link w:val="TematkomentarzaZnak"/>
    <w:uiPriority w:val="99"/>
    <w:semiHidden/>
    <w:qFormat/>
    <w:rsid w:val="004B06D1"/>
    <w:pPr>
      <w:overflowPunct w:val="0"/>
      <w:spacing w:before="200" w:line="320" w:lineRule="atLeast"/>
      <w:textAlignment w:val="auto"/>
    </w:pPr>
    <w:rPr>
      <w:rFonts w:ascii="Arial" w:hAnsi="Arial"/>
      <w:b/>
      <w:bCs/>
    </w:rPr>
  </w:style>
  <w:style w:type="paragraph" w:styleId="Plandokumentu">
    <w:name w:val="Document Map"/>
    <w:basedOn w:val="Normalny"/>
    <w:link w:val="PlandokumentuZnak"/>
    <w:uiPriority w:val="99"/>
    <w:semiHidden/>
    <w:qFormat/>
    <w:rsid w:val="004B06D1"/>
    <w:pPr>
      <w:shd w:val="clear" w:color="auto" w:fill="000080"/>
    </w:pPr>
    <w:rPr>
      <w:rFonts w:ascii="Tahoma" w:hAnsi="Tahoma"/>
      <w:sz w:val="20"/>
    </w:rPr>
  </w:style>
  <w:style w:type="paragraph" w:styleId="Poprawka">
    <w:name w:val="Revision"/>
    <w:uiPriority w:val="99"/>
    <w:semiHidden/>
    <w:qFormat/>
    <w:rsid w:val="004B06D1"/>
    <w:rPr>
      <w:rFonts w:ascii="Arial" w:eastAsia="Times New Roman" w:hAnsi="Arial" w:cs="Times New Roman"/>
      <w:sz w:val="22"/>
    </w:rPr>
  </w:style>
  <w:style w:type="paragraph" w:customStyle="1" w:styleId="xl23">
    <w:name w:val="xl23"/>
    <w:basedOn w:val="Normalny"/>
    <w:uiPriority w:val="99"/>
    <w:qFormat/>
    <w:rsid w:val="004B06D1"/>
    <w:pPr>
      <w:pBdr>
        <w:top w:val="single" w:sz="4" w:space="0" w:color="00000A"/>
        <w:left w:val="single" w:sz="4" w:space="0" w:color="00000A"/>
        <w:bottom w:val="single" w:sz="4" w:space="0" w:color="00000A"/>
      </w:pBdr>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rPr>
      <w:sz w:val="20"/>
    </w:rPr>
  </w:style>
  <w:style w:type="paragraph" w:customStyle="1" w:styleId="bodytext">
    <w:name w:val="bodytext"/>
    <w:basedOn w:val="Normalny"/>
    <w:uiPriority w:val="99"/>
    <w:qFormat/>
    <w:rsid w:val="00BB2CE2"/>
    <w:pPr>
      <w:spacing w:beforeAutospacing="1" w:afterAutospacing="1" w:line="240" w:lineRule="auto"/>
    </w:pPr>
    <w:rPr>
      <w:rFonts w:ascii="Times New Roman" w:hAnsi="Times New Roman"/>
      <w:sz w:val="24"/>
      <w:szCs w:val="24"/>
    </w:rPr>
  </w:style>
  <w:style w:type="paragraph" w:customStyle="1" w:styleId="xl112">
    <w:name w:val="xl112"/>
    <w:basedOn w:val="Normalny"/>
    <w:qFormat/>
    <w:rsid w:val="0047721A"/>
    <w:pPr>
      <w:pBdr>
        <w:left w:val="single" w:sz="4" w:space="0" w:color="00000A"/>
        <w:right w:val="single" w:sz="4" w:space="0" w:color="00000A"/>
      </w:pBdr>
      <w:spacing w:beforeAutospacing="1" w:afterAutospacing="1" w:line="240" w:lineRule="auto"/>
      <w:jc w:val="center"/>
      <w:textAlignment w:val="center"/>
    </w:pPr>
    <w:rPr>
      <w:rFonts w:cs="Arial"/>
      <w:sz w:val="12"/>
      <w:szCs w:val="12"/>
    </w:rPr>
  </w:style>
  <w:style w:type="paragraph" w:styleId="Nagwekspisutreci">
    <w:name w:val="TOC Heading"/>
    <w:basedOn w:val="Nagwek1"/>
    <w:uiPriority w:val="39"/>
    <w:unhideWhenUsed/>
    <w:qFormat/>
    <w:rsid w:val="004C70CD"/>
    <w:pPr>
      <w:keepLines/>
      <w:spacing w:before="480" w:after="0" w:line="276" w:lineRule="auto"/>
    </w:pPr>
    <w:rPr>
      <w:rFonts w:ascii="Cambria" w:eastAsia="Cambria" w:hAnsi="Cambria" w:cs="Cambria"/>
      <w:color w:val="365F91"/>
      <w:sz w:val="28"/>
      <w:szCs w:val="28"/>
      <w:lang w:eastAsia="en-US"/>
    </w:rPr>
  </w:style>
  <w:style w:type="paragraph" w:customStyle="1" w:styleId="CM1">
    <w:name w:val="CM1"/>
    <w:basedOn w:val="Default"/>
    <w:next w:val="Default"/>
    <w:uiPriority w:val="99"/>
    <w:qFormat/>
    <w:rsid w:val="004C70CD"/>
    <w:rPr>
      <w:rFonts w:ascii="EUAlbertina" w:eastAsia="Calibri" w:hAnsi="EUAlbertina" w:cs="Calibri"/>
      <w:sz w:val="24"/>
      <w:szCs w:val="24"/>
      <w:lang w:eastAsia="en-US"/>
    </w:rPr>
  </w:style>
  <w:style w:type="paragraph" w:customStyle="1" w:styleId="CM3">
    <w:name w:val="CM3"/>
    <w:basedOn w:val="Default"/>
    <w:next w:val="Default"/>
    <w:uiPriority w:val="99"/>
    <w:qFormat/>
    <w:rsid w:val="004C70CD"/>
    <w:rPr>
      <w:rFonts w:ascii="EUAlbertina" w:eastAsia="Calibri" w:hAnsi="EUAlbertina" w:cs="Calibri"/>
      <w:sz w:val="24"/>
      <w:szCs w:val="24"/>
      <w:lang w:eastAsia="en-US"/>
    </w:rPr>
  </w:style>
  <w:style w:type="paragraph" w:customStyle="1" w:styleId="CM4">
    <w:name w:val="CM4"/>
    <w:basedOn w:val="Default"/>
    <w:next w:val="Default"/>
    <w:uiPriority w:val="99"/>
    <w:qFormat/>
    <w:rsid w:val="004C70CD"/>
    <w:rPr>
      <w:rFonts w:ascii="EUAlbertina" w:eastAsia="Calibri" w:hAnsi="EUAlbertina" w:cs="Calibri"/>
      <w:sz w:val="24"/>
      <w:szCs w:val="24"/>
      <w:lang w:eastAsia="en-US"/>
    </w:rPr>
  </w:style>
  <w:style w:type="paragraph" w:styleId="Zwykytekst">
    <w:name w:val="Plain Text"/>
    <w:basedOn w:val="Normalny"/>
    <w:link w:val="ZwykytekstZnak"/>
    <w:uiPriority w:val="99"/>
    <w:unhideWhenUsed/>
    <w:qFormat/>
    <w:rsid w:val="00740A3D"/>
    <w:pPr>
      <w:spacing w:before="0" w:line="240" w:lineRule="auto"/>
    </w:pPr>
    <w:rPr>
      <w:rFonts w:ascii="Consolas" w:eastAsia="Calibri" w:hAnsi="Consolas"/>
      <w:sz w:val="21"/>
      <w:szCs w:val="21"/>
    </w:rPr>
  </w:style>
  <w:style w:type="paragraph" w:customStyle="1" w:styleId="tbl-txt">
    <w:name w:val="tbl-txt"/>
    <w:basedOn w:val="Normalny"/>
    <w:qFormat/>
    <w:rsid w:val="004309C8"/>
    <w:pPr>
      <w:spacing w:beforeAutospacing="1" w:afterAutospacing="1" w:line="240" w:lineRule="auto"/>
    </w:pPr>
    <w:rPr>
      <w:rFonts w:ascii="Times New Roman" w:hAnsi="Times New Roman"/>
      <w:sz w:val="24"/>
      <w:szCs w:val="24"/>
    </w:rPr>
  </w:style>
  <w:style w:type="paragraph" w:customStyle="1" w:styleId="footnotedescription">
    <w:name w:val="footnote description"/>
    <w:qFormat/>
    <w:rsid w:val="0008393D"/>
    <w:pPr>
      <w:spacing w:line="259" w:lineRule="auto"/>
      <w:ind w:left="43"/>
    </w:pPr>
    <w:rPr>
      <w:rFonts w:ascii="Arial" w:eastAsia="Arial" w:hAnsi="Arial" w:cs="Arial"/>
      <w:color w:val="000000"/>
      <w:sz w:val="16"/>
      <w:szCs w:val="22"/>
    </w:rPr>
  </w:style>
  <w:style w:type="paragraph" w:customStyle="1" w:styleId="Przypisdolny">
    <w:name w:val="Przypis dolny"/>
    <w:basedOn w:val="Normalny"/>
    <w:rsid w:val="00CE6E82"/>
  </w:style>
  <w:style w:type="paragraph" w:customStyle="1" w:styleId="Cytaty">
    <w:name w:val="Cytaty"/>
    <w:basedOn w:val="Normalny"/>
    <w:qFormat/>
    <w:rsid w:val="00CE6E82"/>
  </w:style>
  <w:style w:type="paragraph" w:customStyle="1" w:styleId="Zawartotabeli">
    <w:name w:val="Zawartość tabeli"/>
    <w:basedOn w:val="Normalny"/>
    <w:qFormat/>
    <w:rsid w:val="00CE6E82"/>
  </w:style>
  <w:style w:type="numbering" w:customStyle="1" w:styleId="Styl1">
    <w:name w:val="Styl1"/>
    <w:rsid w:val="004B06D1"/>
  </w:style>
  <w:style w:type="table" w:styleId="Tabela-Siatka">
    <w:name w:val="Table Grid"/>
    <w:basedOn w:val="Standardowy"/>
    <w:uiPriority w:val="59"/>
    <w:rsid w:val="004B0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4C7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4C7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15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annotation text" w:qFormat="1"/>
    <w:lsdException w:name="header" w:uiPriority="0"/>
    <w:lsdException w:name="index heading" w:uiPriority="0"/>
    <w:lsdException w:name="caption" w:qFormat="1"/>
    <w:lsdException w:name="footnote reference"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cs="Times New Roman"/>
      <w:sz w:val="22"/>
    </w:rPr>
  </w:style>
  <w:style w:type="paragraph" w:styleId="Nagwek1">
    <w:name w:val="heading 1"/>
    <w:basedOn w:val="Normalny"/>
    <w:link w:val="Nagwek1Znak"/>
    <w:uiPriority w:val="99"/>
    <w:qFormat/>
    <w:rsid w:val="004B06D1"/>
    <w:pPr>
      <w:keepNext/>
      <w:spacing w:before="240" w:after="60"/>
      <w:outlineLvl w:val="0"/>
    </w:pPr>
    <w:rPr>
      <w:b/>
      <w:bCs/>
      <w:sz w:val="32"/>
      <w:szCs w:val="32"/>
      <w:lang w:val="x-none"/>
    </w:rPr>
  </w:style>
  <w:style w:type="paragraph" w:styleId="Nagwek2">
    <w:name w:val="heading 2"/>
    <w:basedOn w:val="Normalny"/>
    <w:link w:val="Nagwek2Znak"/>
    <w:uiPriority w:val="99"/>
    <w:qFormat/>
    <w:rsid w:val="004B06D1"/>
    <w:pPr>
      <w:keepNext/>
      <w:spacing w:before="240" w:after="60"/>
      <w:outlineLvl w:val="1"/>
    </w:pPr>
    <w:rPr>
      <w:b/>
      <w:bCs/>
      <w:i/>
      <w:iCs/>
      <w:sz w:val="28"/>
      <w:szCs w:val="28"/>
      <w:lang w:val="x-none"/>
    </w:rPr>
  </w:style>
  <w:style w:type="paragraph" w:styleId="Nagwek3">
    <w:name w:val="heading 3"/>
    <w:basedOn w:val="Normalny"/>
    <w:link w:val="Nagwek3Znak"/>
    <w:uiPriority w:val="99"/>
    <w:qFormat/>
    <w:rsid w:val="004B06D1"/>
    <w:pPr>
      <w:keepNext/>
      <w:spacing w:before="240" w:after="60" w:line="240" w:lineRule="auto"/>
      <w:outlineLvl w:val="2"/>
    </w:pPr>
    <w:rPr>
      <w:b/>
      <w:bCs/>
      <w:sz w:val="26"/>
      <w:szCs w:val="26"/>
      <w:lang w:val="x-none"/>
    </w:rPr>
  </w:style>
  <w:style w:type="paragraph" w:styleId="Nagwek4">
    <w:name w:val="heading 4"/>
    <w:basedOn w:val="Normalny"/>
    <w:link w:val="Nagwek4Znak"/>
    <w:uiPriority w:val="99"/>
    <w:qFormat/>
    <w:rsid w:val="004B06D1"/>
    <w:pPr>
      <w:keepNext/>
      <w:spacing w:before="240" w:after="60"/>
      <w:outlineLvl w:val="3"/>
    </w:pPr>
    <w:rPr>
      <w:rFonts w:ascii="Times New Roman" w:hAnsi="Times New Roman"/>
      <w:b/>
      <w:bCs/>
      <w:sz w:val="28"/>
      <w:szCs w:val="28"/>
      <w:lang w:val="x-none"/>
    </w:rPr>
  </w:style>
  <w:style w:type="paragraph" w:styleId="Nagwek5">
    <w:name w:val="heading 5"/>
    <w:basedOn w:val="Normalny"/>
    <w:link w:val="Nagwek5Znak"/>
    <w:uiPriority w:val="99"/>
    <w:qFormat/>
    <w:rsid w:val="004B06D1"/>
    <w:pPr>
      <w:spacing w:before="240" w:after="60"/>
      <w:outlineLvl w:val="4"/>
    </w:pPr>
    <w:rPr>
      <w:b/>
      <w:bCs/>
      <w:i/>
      <w:iCs/>
      <w:sz w:val="26"/>
      <w:szCs w:val="26"/>
      <w:lang w:val="x-none"/>
    </w:rPr>
  </w:style>
  <w:style w:type="paragraph" w:styleId="Nagwek6">
    <w:name w:val="heading 6"/>
    <w:basedOn w:val="Normalny"/>
    <w:link w:val="Nagwek6Znak"/>
    <w:uiPriority w:val="99"/>
    <w:qFormat/>
    <w:rsid w:val="004B06D1"/>
    <w:pPr>
      <w:spacing w:before="240" w:after="60"/>
      <w:outlineLvl w:val="5"/>
    </w:pPr>
    <w:rPr>
      <w:rFonts w:ascii="Times New Roman" w:hAnsi="Times New Roman"/>
      <w:b/>
      <w:bCs/>
      <w:sz w:val="20"/>
      <w:lang w:val="x-none"/>
    </w:rPr>
  </w:style>
  <w:style w:type="paragraph" w:styleId="Nagwek7">
    <w:name w:val="heading 7"/>
    <w:basedOn w:val="Normalny"/>
    <w:link w:val="Nagwek7Znak"/>
    <w:uiPriority w:val="99"/>
    <w:qFormat/>
    <w:rsid w:val="004B06D1"/>
    <w:pPr>
      <w:keepNext/>
      <w:spacing w:before="0" w:line="240" w:lineRule="auto"/>
      <w:outlineLvl w:val="6"/>
    </w:pPr>
    <w:rPr>
      <w:rFonts w:ascii="Times New Roman" w:hAnsi="Times New Roman"/>
      <w:b/>
      <w:bCs/>
      <w:sz w:val="20"/>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rsid w:val="004B06D1"/>
    <w:rPr>
      <w:rFonts w:ascii="Arial" w:eastAsia="Times New Roman" w:hAnsi="Arial" w:cs="Arial"/>
      <w:b/>
      <w:bCs/>
      <w:sz w:val="32"/>
      <w:szCs w:val="32"/>
      <w:lang w:eastAsia="pl-PL"/>
    </w:rPr>
  </w:style>
  <w:style w:type="character" w:customStyle="1" w:styleId="Nagwek2Znak">
    <w:name w:val="Nagłówek 2 Znak"/>
    <w:link w:val="Nagwek2"/>
    <w:uiPriority w:val="99"/>
    <w:qFormat/>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qFormat/>
    <w:rsid w:val="004B06D1"/>
    <w:rPr>
      <w:rFonts w:ascii="Arial" w:eastAsia="Times New Roman" w:hAnsi="Arial" w:cs="Arial"/>
      <w:b/>
      <w:bCs/>
      <w:sz w:val="26"/>
      <w:szCs w:val="26"/>
      <w:lang w:eastAsia="pl-PL"/>
    </w:rPr>
  </w:style>
  <w:style w:type="character" w:customStyle="1" w:styleId="Nagwek4Znak">
    <w:name w:val="Nagłówek 4 Znak"/>
    <w:link w:val="Nagwek4"/>
    <w:uiPriority w:val="99"/>
    <w:qFormat/>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qFormat/>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qFormat/>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qFormat/>
    <w:rsid w:val="004B06D1"/>
    <w:rPr>
      <w:rFonts w:ascii="Times New Roman" w:eastAsia="Times New Roman" w:hAnsi="Times New Roman" w:cs="Times New Roman"/>
      <w:b/>
      <w:bCs/>
      <w:sz w:val="20"/>
      <w:szCs w:val="24"/>
      <w:u w:val="single"/>
      <w:lang w:eastAsia="pl-PL"/>
    </w:rPr>
  </w:style>
  <w:style w:type="character" w:customStyle="1" w:styleId="NagwekZnak">
    <w:name w:val="Nagłówek Znak"/>
    <w:link w:val="Nagwek"/>
    <w:uiPriority w:val="99"/>
    <w:qFormat/>
    <w:rsid w:val="004B06D1"/>
    <w:rPr>
      <w:rFonts w:ascii="Arial" w:eastAsia="Times New Roman" w:hAnsi="Arial" w:cs="Times New Roman"/>
      <w:szCs w:val="20"/>
    </w:rPr>
  </w:style>
  <w:style w:type="character" w:customStyle="1" w:styleId="TekstpodstawowyZnak">
    <w:name w:val="Tekst podstawowy Znak"/>
    <w:link w:val="Tretekstu"/>
    <w:uiPriority w:val="99"/>
    <w:qFormat/>
    <w:rsid w:val="004B06D1"/>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character" w:customStyle="1" w:styleId="Tekstpodstawowy2Znak">
    <w:name w:val="Tekst podstawowy 2 Znak"/>
    <w:link w:val="Tekstpodstawowy2"/>
    <w:uiPriority w:val="99"/>
    <w:semiHidden/>
    <w:qFormat/>
    <w:rsid w:val="004B06D1"/>
    <w:rPr>
      <w:rFonts w:ascii="Arial" w:eastAsia="Times New Roman" w:hAnsi="Arial" w:cs="Times New Roman"/>
      <w:szCs w:val="20"/>
      <w:lang w:eastAsia="pl-PL"/>
    </w:rPr>
  </w:style>
  <w:style w:type="character" w:customStyle="1" w:styleId="TytuZnak">
    <w:name w:val="Tytuł Znak"/>
    <w:link w:val="Tytu"/>
    <w:uiPriority w:val="99"/>
    <w:qFormat/>
    <w:rsid w:val="004B06D1"/>
    <w:rPr>
      <w:rFonts w:ascii="Times New Roman" w:eastAsia="Times New Roman" w:hAnsi="Times New Roman" w:cs="Times New Roman"/>
      <w:b/>
      <w:bCs/>
      <w:sz w:val="28"/>
      <w:szCs w:val="28"/>
      <w:lang w:eastAsia="pl-PL"/>
    </w:rPr>
  </w:style>
  <w:style w:type="character" w:customStyle="1" w:styleId="StopkaZnak">
    <w:name w:val="Stopka Znak"/>
    <w:link w:val="Stopka"/>
    <w:uiPriority w:val="99"/>
    <w:qFormat/>
    <w:rsid w:val="004B06D1"/>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uiPriority w:val="99"/>
    <w:semiHidden/>
    <w:qFormat/>
    <w:rsid w:val="004B06D1"/>
    <w:rPr>
      <w:rFonts w:ascii="Arial" w:eastAsia="Times New Roman" w:hAnsi="Arial" w:cs="Times New Roman"/>
      <w:sz w:val="16"/>
      <w:szCs w:val="16"/>
      <w:lang w:eastAsia="pl-PL"/>
    </w:rPr>
  </w:style>
  <w:style w:type="character" w:customStyle="1" w:styleId="TekstpodstawowywcityZnak">
    <w:name w:val="Tekst podstawowy wcięty Znak"/>
    <w:link w:val="Wcicietrecitekstu"/>
    <w:uiPriority w:val="99"/>
    <w:semiHidden/>
    <w:qFormat/>
    <w:rsid w:val="004B06D1"/>
    <w:rPr>
      <w:rFonts w:ascii="Arial" w:eastAsia="Times New Roman" w:hAnsi="Arial" w:cs="Times New Roman"/>
      <w:szCs w:val="20"/>
      <w:lang w:eastAsia="pl-PL"/>
    </w:rPr>
  </w:style>
  <w:style w:type="character" w:customStyle="1" w:styleId="Tekstpodstawowywcity3Znak">
    <w:name w:val="Tekst podstawowy wcięty 3 Znak"/>
    <w:link w:val="Tekstpodstawowywcity3"/>
    <w:uiPriority w:val="99"/>
    <w:semiHidden/>
    <w:qFormat/>
    <w:rsid w:val="004B06D1"/>
    <w:rPr>
      <w:rFonts w:ascii="Arial" w:eastAsia="Times New Roman" w:hAnsi="Arial" w:cs="Times New Roman"/>
      <w:sz w:val="16"/>
      <w:szCs w:val="16"/>
      <w:lang w:eastAsia="pl-PL"/>
    </w:rPr>
  </w:style>
  <w:style w:type="character" w:customStyle="1" w:styleId="czeinternetowe">
    <w:name w:val="Łącze internetowe"/>
    <w:uiPriority w:val="99"/>
    <w:rsid w:val="004B06D1"/>
    <w:rPr>
      <w:color w:val="0000FF"/>
      <w:u w:val="single"/>
    </w:rPr>
  </w:style>
  <w:style w:type="character" w:customStyle="1" w:styleId="PodtytuZnak">
    <w:name w:val="Podtytuł Znak"/>
    <w:link w:val="Podtytu"/>
    <w:uiPriority w:val="99"/>
    <w:qFormat/>
    <w:rsid w:val="004B06D1"/>
    <w:rPr>
      <w:rFonts w:ascii="Tahoma" w:eastAsia="Times New Roman" w:hAnsi="Tahoma" w:cs="Tahoma"/>
      <w:b/>
      <w:bCs/>
      <w:lang w:eastAsia="pl-PL"/>
    </w:rPr>
  </w:style>
  <w:style w:type="character" w:styleId="Numerstrony">
    <w:name w:val="page number"/>
    <w:basedOn w:val="Domylnaczcionkaakapitu"/>
    <w:uiPriority w:val="99"/>
    <w:qFormat/>
    <w:rsid w:val="004B06D1"/>
  </w:style>
  <w:style w:type="character" w:styleId="Odwoaniedokomentarza">
    <w:name w:val="annotation reference"/>
    <w:uiPriority w:val="99"/>
    <w:qFormat/>
    <w:rsid w:val="004B06D1"/>
    <w:rPr>
      <w:sz w:val="16"/>
      <w:szCs w:val="16"/>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character" w:styleId="UyteHipercze">
    <w:name w:val="FollowedHyperlink"/>
    <w:uiPriority w:val="99"/>
    <w:semiHidden/>
    <w:qFormat/>
    <w:rsid w:val="004B06D1"/>
    <w:rPr>
      <w:color w:val="800080"/>
      <w:u w:val="single"/>
    </w:rPr>
  </w:style>
  <w:style w:type="character" w:customStyle="1" w:styleId="TekstdymkaZnak">
    <w:name w:val="Tekst dymka Znak"/>
    <w:link w:val="Tekstdymka"/>
    <w:uiPriority w:val="99"/>
    <w:semiHidden/>
    <w:qFormat/>
    <w:rsid w:val="004B06D1"/>
    <w:rPr>
      <w:rFonts w:ascii="Tahoma" w:eastAsia="Times New Roman" w:hAnsi="Tahoma" w:cs="Tahoma"/>
      <w:sz w:val="16"/>
      <w:szCs w:val="16"/>
      <w:lang w:eastAsia="pl-PL"/>
    </w:rPr>
  </w:style>
  <w:style w:type="character" w:customStyle="1" w:styleId="TekstprzypisukocowegoZnak">
    <w:name w:val="Tekst przypisu końcowego Znak"/>
    <w:link w:val="Tekstprzypisukocowego"/>
    <w:uiPriority w:val="99"/>
    <w:semiHidden/>
    <w:qFormat/>
    <w:rsid w:val="004B06D1"/>
    <w:rPr>
      <w:rFonts w:ascii="Arial" w:eastAsia="Times New Roman" w:hAnsi="Arial" w:cs="Times New Roman"/>
      <w:sz w:val="20"/>
      <w:szCs w:val="20"/>
      <w:lang w:eastAsia="pl-PL"/>
    </w:rPr>
  </w:style>
  <w:style w:type="character" w:styleId="Odwoanieprzypisukocowego">
    <w:name w:val="endnote reference"/>
    <w:uiPriority w:val="99"/>
    <w:semiHidden/>
    <w:qFormat/>
    <w:rsid w:val="004B06D1"/>
    <w:rPr>
      <w:vertAlign w:val="superscript"/>
    </w:rPr>
  </w:style>
  <w:style w:type="character" w:customStyle="1" w:styleId="TematkomentarzaZnak">
    <w:name w:val="Temat komentarza Znak"/>
    <w:link w:val="Tematkomentarza"/>
    <w:uiPriority w:val="99"/>
    <w:semiHidden/>
    <w:qFormat/>
    <w:rsid w:val="004B06D1"/>
    <w:rPr>
      <w:rFonts w:ascii="Arial" w:eastAsia="Times New Roman" w:hAnsi="Arial" w:cs="Times New Roman"/>
      <w:b/>
      <w:bCs/>
      <w:sz w:val="20"/>
      <w:szCs w:val="20"/>
      <w:lang w:eastAsia="pl-PL"/>
    </w:rPr>
  </w:style>
  <w:style w:type="character" w:customStyle="1" w:styleId="MapadokumentuZnak">
    <w:name w:val="Mapa dokumentu Znak"/>
    <w:link w:val="Mapadokumentu"/>
    <w:uiPriority w:val="99"/>
    <w:semiHidden/>
    <w:qFormat/>
    <w:rsid w:val="004B06D1"/>
    <w:rPr>
      <w:rFonts w:ascii="Tahoma" w:eastAsia="Times New Roman" w:hAnsi="Tahoma" w:cs="Tahoma"/>
      <w:sz w:val="20"/>
      <w:szCs w:val="20"/>
      <w:shd w:val="clear" w:color="auto" w:fill="000080"/>
      <w:lang w:eastAsia="pl-PL"/>
    </w:rPr>
  </w:style>
  <w:style w:type="character" w:customStyle="1" w:styleId="ZnakZnak8">
    <w:name w:val="Znak Znak8"/>
    <w:uiPriority w:val="99"/>
    <w:qFormat/>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character" w:customStyle="1" w:styleId="AkapitzlistZnak">
    <w:name w:val="Akapit z listą Znak"/>
    <w:link w:val="Akapitzlist"/>
    <w:uiPriority w:val="34"/>
    <w:qFormat/>
    <w:rsid w:val="004B06D1"/>
    <w:rPr>
      <w:rFonts w:ascii="Arial" w:eastAsia="Times New Roman" w:hAnsi="Arial" w:cs="Times New Roman"/>
      <w:szCs w:val="20"/>
      <w:lang w:eastAsia="pl-PL"/>
    </w:rPr>
  </w:style>
  <w:style w:type="character" w:customStyle="1" w:styleId="Kkursywa">
    <w:name w:val="_K_ – kursywa"/>
    <w:uiPriority w:val="99"/>
    <w:qFormat/>
    <w:rsid w:val="004B06D1"/>
    <w:rPr>
      <w:i/>
    </w:rPr>
  </w:style>
  <w:style w:type="character" w:customStyle="1" w:styleId="h2">
    <w:name w:val="h2"/>
    <w:basedOn w:val="Domylnaczcionkaakapitu"/>
    <w:uiPriority w:val="99"/>
    <w:qFormat/>
    <w:rsid w:val="00576055"/>
  </w:style>
  <w:style w:type="character" w:customStyle="1" w:styleId="h1">
    <w:name w:val="h1"/>
    <w:basedOn w:val="Domylnaczcionkaakapitu"/>
    <w:uiPriority w:val="99"/>
    <w:qFormat/>
    <w:rsid w:val="00576055"/>
  </w:style>
  <w:style w:type="character" w:customStyle="1" w:styleId="highlight">
    <w:name w:val="highlight"/>
    <w:basedOn w:val="Domylnaczcionkaakapitu"/>
    <w:uiPriority w:val="99"/>
    <w:qFormat/>
    <w:rsid w:val="00990D30"/>
  </w:style>
  <w:style w:type="character" w:customStyle="1" w:styleId="Wyrnienie">
    <w:name w:val="Wyróżnienie"/>
    <w:uiPriority w:val="20"/>
    <w:qFormat/>
    <w:rsid w:val="004C70CD"/>
    <w:rPr>
      <w:i/>
      <w:iCs/>
    </w:rPr>
  </w:style>
  <w:style w:type="character" w:customStyle="1" w:styleId="FootnoteTextChar">
    <w:name w:val="Footnote Text Char"/>
    <w:uiPriority w:val="99"/>
    <w:semiHidden/>
    <w:qFormat/>
    <w:rsid w:val="004C70CD"/>
    <w:rPr>
      <w:rFonts w:ascii="Arial" w:eastAsia="Times New Roman" w:hAnsi="Arial"/>
      <w:sz w:val="20"/>
      <w:szCs w:val="20"/>
    </w:rPr>
  </w:style>
  <w:style w:type="character" w:customStyle="1" w:styleId="ZwykytekstZnak">
    <w:name w:val="Zwykły tekst Znak"/>
    <w:link w:val="Zwykytekst"/>
    <w:uiPriority w:val="99"/>
    <w:qFormat/>
    <w:rsid w:val="00740A3D"/>
    <w:rPr>
      <w:rFonts w:ascii="Consolas" w:hAnsi="Consolas"/>
      <w:sz w:val="21"/>
      <w:szCs w:val="21"/>
    </w:rPr>
  </w:style>
  <w:style w:type="character" w:customStyle="1" w:styleId="footnotedescriptionChar">
    <w:name w:val="footnote description Char"/>
    <w:qFormat/>
    <w:rsid w:val="0008393D"/>
    <w:rPr>
      <w:rFonts w:ascii="Arial" w:eastAsia="Arial" w:hAnsi="Arial" w:cs="Arial"/>
      <w:color w:val="000000"/>
      <w:sz w:val="16"/>
      <w:lang w:eastAsia="pl-PL"/>
    </w:rPr>
  </w:style>
  <w:style w:type="character" w:customStyle="1" w:styleId="footnotemark">
    <w:name w:val="footnote mark"/>
    <w:qFormat/>
    <w:rsid w:val="0008393D"/>
    <w:rPr>
      <w:rFonts w:ascii="Arial" w:eastAsia="Arial" w:hAnsi="Arial" w:cs="Arial"/>
      <w:color w:val="000000"/>
      <w:sz w:val="16"/>
      <w:vertAlign w:val="superscript"/>
    </w:rPr>
  </w:style>
  <w:style w:type="character" w:customStyle="1" w:styleId="ListLabel1">
    <w:name w:val="ListLabel 1"/>
    <w:qFormat/>
    <w:rPr>
      <w:rFonts w:cs="Times New Roman"/>
      <w:b/>
      <w:i w:val="0"/>
      <w:sz w:val="22"/>
    </w:rPr>
  </w:style>
  <w:style w:type="character" w:customStyle="1" w:styleId="ListLabel2">
    <w:name w:val="ListLabel 2"/>
    <w:qFormat/>
    <w:rPr>
      <w:rFonts w:eastAsia="Calibri" w:cs="Calibri"/>
      <w:color w:val="000000"/>
    </w:rPr>
  </w:style>
  <w:style w:type="character" w:customStyle="1" w:styleId="ListLabel3">
    <w:name w:val="ListLabel 3"/>
    <w:qFormat/>
    <w:rPr>
      <w:b w:val="0"/>
      <w:i w:val="0"/>
      <w:sz w:val="24"/>
      <w:szCs w:val="20"/>
    </w:rPr>
  </w:style>
  <w:style w:type="character" w:customStyle="1" w:styleId="ListLabel4">
    <w:name w:val="ListLabel 4"/>
    <w:qFormat/>
    <w:rPr>
      <w:rFonts w:cs="Times New Roman"/>
      <w:b/>
      <w:i w:val="0"/>
      <w:sz w:val="22"/>
    </w:rPr>
  </w:style>
  <w:style w:type="character" w:customStyle="1" w:styleId="ListLabel5">
    <w:name w:val="ListLabel 5"/>
    <w:qFormat/>
    <w:rPr>
      <w:b/>
      <w:i w:val="0"/>
      <w:sz w:val="24"/>
      <w:szCs w:val="24"/>
    </w:rPr>
  </w:style>
  <w:style w:type="character" w:customStyle="1" w:styleId="ListLabel6">
    <w:name w:val="ListLabel 6"/>
    <w:qFormat/>
    <w:rPr>
      <w:rFonts w:cs="Courier New"/>
    </w:rPr>
  </w:style>
  <w:style w:type="character" w:customStyle="1" w:styleId="ListLabel7">
    <w:name w:val="ListLabel 7"/>
    <w:qFormat/>
    <w:rPr>
      <w:b w:val="0"/>
      <w:i w:val="0"/>
      <w:color w:val="000000"/>
      <w:sz w:val="24"/>
    </w:rPr>
  </w:style>
  <w:style w:type="character" w:customStyle="1" w:styleId="ListLabel8">
    <w:name w:val="ListLabel 8"/>
    <w:qFormat/>
    <w:rPr>
      <w:b w:val="0"/>
      <w:i w:val="0"/>
      <w:sz w:val="24"/>
    </w:rPr>
  </w:style>
  <w:style w:type="character" w:customStyle="1" w:styleId="ListLabel9">
    <w:name w:val="ListLabel 9"/>
    <w:qFormat/>
    <w:rPr>
      <w:b w:val="0"/>
      <w:i w:val="0"/>
      <w:sz w:val="24"/>
    </w:rPr>
  </w:style>
  <w:style w:type="character" w:customStyle="1" w:styleId="ListLabel10">
    <w:name w:val="ListLabel 10"/>
    <w:qFormat/>
    <w:rPr>
      <w:rFonts w:cs="Times New Roman"/>
      <w:b w:val="0"/>
      <w:i w:val="0"/>
      <w:color w:val="000000"/>
      <w:sz w:val="22"/>
    </w:rPr>
  </w:style>
  <w:style w:type="character" w:customStyle="1" w:styleId="ListLabel11">
    <w:name w:val="ListLabel 11"/>
    <w:qFormat/>
    <w:rPr>
      <w:b/>
      <w:color w:val="00000A"/>
      <w:sz w:val="22"/>
    </w:rPr>
  </w:style>
  <w:style w:type="character" w:customStyle="1" w:styleId="ListLabel12">
    <w:name w:val="ListLabel 12"/>
    <w:qFormat/>
    <w:rPr>
      <w:b w:val="0"/>
    </w:rPr>
  </w:style>
  <w:style w:type="character" w:customStyle="1" w:styleId="ListLabel13">
    <w:name w:val="ListLabel 13"/>
    <w:qFormat/>
    <w:rPr>
      <w:sz w:val="20"/>
    </w:rPr>
  </w:style>
  <w:style w:type="character" w:customStyle="1" w:styleId="ListLabel14">
    <w:name w:val="ListLabel 14"/>
    <w:qFormat/>
    <w:rPr>
      <w:b w:val="0"/>
      <w:i w:val="0"/>
      <w:color w:val="000000"/>
      <w:sz w:val="24"/>
      <w:szCs w:val="24"/>
    </w:rPr>
  </w:style>
  <w:style w:type="character" w:customStyle="1" w:styleId="ListLabel15">
    <w:name w:val="ListLabel 15"/>
    <w:qFormat/>
    <w:rPr>
      <w:rFonts w:cs="Arial"/>
      <w:b/>
      <w:i w:val="0"/>
      <w:color w:val="000000"/>
      <w:sz w:val="24"/>
    </w:rPr>
  </w:style>
  <w:style w:type="character" w:customStyle="1" w:styleId="ListLabel16">
    <w:name w:val="ListLabel 16"/>
    <w:qFormat/>
    <w:rPr>
      <w:i w:val="0"/>
    </w:rPr>
  </w:style>
  <w:style w:type="character" w:customStyle="1" w:styleId="ListLabel17">
    <w:name w:val="ListLabel 17"/>
    <w:qFormat/>
    <w:rPr>
      <w:rFonts w:eastAsia="Times New Roman" w:cs="Arial"/>
      <w:color w:val="00000A"/>
      <w:sz w:val="22"/>
    </w:rPr>
  </w:style>
  <w:style w:type="character" w:customStyle="1" w:styleId="Odwiedzoneczeinternetowe">
    <w:name w:val="Odwiedzone łącze internetowe"/>
    <w:rPr>
      <w:color w:val="80000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retekstu"/>
    <w:link w:val="NagwekZnak"/>
    <w:uiPriority w:val="99"/>
    <w:qFormat/>
    <w:pPr>
      <w:keepNext/>
      <w:spacing w:before="240" w:after="120"/>
    </w:pPr>
    <w:rPr>
      <w:sz w:val="20"/>
      <w:lang w:val="x-none" w:eastAsia="x-none"/>
    </w:rPr>
  </w:style>
  <w:style w:type="paragraph" w:customStyle="1" w:styleId="Tretekstu">
    <w:name w:val="Treść tekstu"/>
    <w:basedOn w:val="Normalny"/>
    <w:link w:val="TekstpodstawowyZnak"/>
    <w:uiPriority w:val="99"/>
    <w:rsid w:val="004B06D1"/>
    <w:pPr>
      <w:spacing w:after="120"/>
    </w:pPr>
    <w:rPr>
      <w:sz w:val="20"/>
      <w:lang w:val="x-none"/>
    </w:r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pistreci5">
    <w:name w:val="toc 5"/>
    <w:basedOn w:val="Normalny"/>
    <w:autoRedefine/>
    <w:uiPriority w:val="99"/>
    <w:rsid w:val="004B06D1"/>
    <w:pPr>
      <w:ind w:left="880"/>
    </w:pPr>
  </w:style>
  <w:style w:type="paragraph" w:customStyle="1" w:styleId="Gwka">
    <w:name w:val="Główka"/>
    <w:basedOn w:val="Normalny"/>
    <w:rsid w:val="004B06D1"/>
    <w:pPr>
      <w:tabs>
        <w:tab w:val="center" w:pos="4536"/>
        <w:tab w:val="right" w:pos="9072"/>
      </w:tabs>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lang w:val="x-none"/>
    </w:rPr>
  </w:style>
  <w:style w:type="paragraph" w:styleId="Tekstpodstawowy2">
    <w:name w:val="Body Text 2"/>
    <w:basedOn w:val="Normalny"/>
    <w:link w:val="Tekstpodstawowy2Znak"/>
    <w:uiPriority w:val="99"/>
    <w:semiHidden/>
    <w:qFormat/>
    <w:rsid w:val="004B06D1"/>
    <w:pPr>
      <w:spacing w:after="120" w:line="480" w:lineRule="auto"/>
    </w:pPr>
    <w:rPr>
      <w:sz w:val="20"/>
      <w:lang w:val="x-none"/>
    </w:rPr>
  </w:style>
  <w:style w:type="paragraph" w:styleId="Tytu">
    <w:name w:val="Title"/>
    <w:basedOn w:val="Normalny"/>
    <w:link w:val="TytuZnak"/>
    <w:uiPriority w:val="99"/>
    <w:qFormat/>
    <w:rsid w:val="004B06D1"/>
    <w:pPr>
      <w:spacing w:before="0" w:after="120" w:line="240" w:lineRule="auto"/>
      <w:jc w:val="center"/>
    </w:pPr>
    <w:rPr>
      <w:rFonts w:ascii="Times New Roman" w:hAnsi="Times New Roman"/>
      <w:b/>
      <w:bCs/>
      <w:sz w:val="28"/>
      <w:szCs w:val="28"/>
      <w:lang w:val="x-none"/>
    </w:rPr>
  </w:style>
  <w:style w:type="paragraph" w:styleId="Indeks1">
    <w:name w:val="index 1"/>
    <w:basedOn w:val="Normalny"/>
    <w:autoRedefine/>
    <w:uiPriority w:val="99"/>
    <w:semiHidden/>
    <w:qFormat/>
    <w:rsid w:val="004B06D1"/>
    <w:pPr>
      <w:ind w:left="220" w:hanging="220"/>
    </w:pPr>
  </w:style>
  <w:style w:type="paragraph" w:styleId="Nagwekindeksu">
    <w:name w:val="index heading"/>
    <w:basedOn w:val="Normalny"/>
    <w:semiHidden/>
    <w:qFormat/>
    <w:rsid w:val="004B06D1"/>
    <w:pPr>
      <w:spacing w:before="0" w:line="240" w:lineRule="auto"/>
    </w:pPr>
    <w:rPr>
      <w:rFonts w:ascii="Times New Roman" w:hAnsi="Times New Roman"/>
      <w:sz w:val="20"/>
      <w:szCs w:val="24"/>
    </w:rPr>
  </w:style>
  <w:style w:type="paragraph" w:customStyle="1" w:styleId="xl38">
    <w:name w:val="xl38"/>
    <w:basedOn w:val="Normalny"/>
    <w:uiPriority w:val="99"/>
    <w:qFormat/>
    <w:rsid w:val="004B06D1"/>
    <w:pPr>
      <w:spacing w:before="100" w:after="100" w:line="240" w:lineRule="auto"/>
    </w:pPr>
    <w:rPr>
      <w:rFonts w:ascii="Times New Roman" w:hAnsi="Times New Roman"/>
      <w:b/>
      <w:bCs/>
      <w:sz w:val="20"/>
      <w:szCs w:val="24"/>
    </w:rPr>
  </w:style>
  <w:style w:type="paragraph" w:customStyle="1" w:styleId="xl33">
    <w:name w:val="xl33"/>
    <w:basedOn w:val="Normalny"/>
    <w:uiPriority w:val="99"/>
    <w:qFormat/>
    <w:rsid w:val="004B06D1"/>
    <w:pPr>
      <w:spacing w:before="100" w:after="100" w:line="240" w:lineRule="auto"/>
      <w:jc w:val="center"/>
    </w:pPr>
    <w:rPr>
      <w:rFonts w:ascii="Times New Roman" w:hAnsi="Times New Roman"/>
      <w:sz w:val="20"/>
      <w:szCs w:val="24"/>
    </w:rPr>
  </w:style>
  <w:style w:type="paragraph" w:customStyle="1" w:styleId="1">
    <w:name w:val="1"/>
    <w:basedOn w:val="Normalny"/>
    <w:uiPriority w:val="99"/>
    <w:qFormat/>
    <w:rsid w:val="004B06D1"/>
    <w:pPr>
      <w:tabs>
        <w:tab w:val="center" w:pos="4536"/>
        <w:tab w:val="right" w:pos="9072"/>
      </w:tabs>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spacing w:before="0" w:line="240" w:lineRule="auto"/>
    </w:pPr>
    <w:rPr>
      <w:rFonts w:ascii="Times New Roman" w:hAnsi="Times New Roman"/>
      <w:sz w:val="20"/>
      <w:lang w:val="x-none"/>
    </w:rPr>
  </w:style>
  <w:style w:type="paragraph" w:styleId="Tekstpodstawowy3">
    <w:name w:val="Body Text 3"/>
    <w:basedOn w:val="Normalny"/>
    <w:link w:val="Tekstpodstawowy3Znak"/>
    <w:uiPriority w:val="99"/>
    <w:semiHidden/>
    <w:qFormat/>
    <w:rsid w:val="004B06D1"/>
    <w:pPr>
      <w:spacing w:after="120"/>
    </w:pPr>
    <w:rPr>
      <w:sz w:val="16"/>
      <w:szCs w:val="16"/>
      <w:lang w:val="x-none"/>
    </w:rPr>
  </w:style>
  <w:style w:type="paragraph" w:customStyle="1" w:styleId="Wcicietrecitekstu">
    <w:name w:val="Wcięcie treści tekstu"/>
    <w:basedOn w:val="Normalny"/>
    <w:link w:val="TekstpodstawowywcityZnak"/>
    <w:uiPriority w:val="99"/>
    <w:semiHidden/>
    <w:rsid w:val="004B06D1"/>
    <w:pPr>
      <w:spacing w:after="120"/>
      <w:ind w:left="283"/>
    </w:pPr>
    <w:rPr>
      <w:sz w:val="20"/>
      <w:lang w:val="x-none"/>
    </w:rPr>
  </w:style>
  <w:style w:type="paragraph" w:styleId="Tekstpodstawowywcity3">
    <w:name w:val="Body Text Indent 3"/>
    <w:basedOn w:val="Normalny"/>
    <w:link w:val="Tekstpodstawowywcity3Znak"/>
    <w:uiPriority w:val="99"/>
    <w:semiHidden/>
    <w:qFormat/>
    <w:rsid w:val="004B06D1"/>
    <w:pPr>
      <w:spacing w:after="120"/>
      <w:ind w:left="283"/>
    </w:pPr>
    <w:rPr>
      <w:sz w:val="16"/>
      <w:szCs w:val="16"/>
      <w:lang w:val="x-none"/>
    </w:rPr>
  </w:style>
  <w:style w:type="paragraph" w:customStyle="1" w:styleId="Tekstpodstawowywcity1">
    <w:name w:val="Tekst podstawowy wcięty1"/>
    <w:basedOn w:val="Normalny"/>
    <w:uiPriority w:val="99"/>
    <w:qFormat/>
    <w:rsid w:val="004B06D1"/>
    <w:pPr>
      <w:widowControl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spacing w:before="0" w:line="360" w:lineRule="auto"/>
      <w:jc w:val="center"/>
    </w:pPr>
    <w:rPr>
      <w:rFonts w:ascii="Tahoma" w:hAnsi="Tahoma"/>
      <w:b/>
      <w:bCs/>
      <w:sz w:val="20"/>
      <w:lang w:val="x-none"/>
    </w:rPr>
  </w:style>
  <w:style w:type="paragraph" w:customStyle="1" w:styleId="Pisma">
    <w:name w:val="Pisma"/>
    <w:basedOn w:val="Normalny"/>
    <w:uiPriority w:val="99"/>
    <w:qFormat/>
    <w:rsid w:val="004B06D1"/>
    <w:pPr>
      <w:spacing w:before="0" w:line="240" w:lineRule="auto"/>
      <w:jc w:val="both"/>
    </w:pPr>
    <w:rPr>
      <w:rFonts w:ascii="Times New Roman" w:hAnsi="Times New Roman"/>
      <w:sz w:val="20"/>
      <w:szCs w:val="24"/>
    </w:rPr>
  </w:style>
  <w:style w:type="paragraph" w:customStyle="1" w:styleId="xl28">
    <w:name w:val="xl28"/>
    <w:basedOn w:val="Normalny"/>
    <w:uiPriority w:val="99"/>
    <w:qFormat/>
    <w:rsid w:val="004B06D1"/>
    <w:pPr>
      <w:pBdr>
        <w:top w:val="single" w:sz="4" w:space="0" w:color="00000A"/>
      </w:pBdr>
      <w:spacing w:before="100" w:after="100" w:line="240" w:lineRule="auto"/>
    </w:pPr>
    <w:rPr>
      <w:rFonts w:ascii="Times New Roman" w:hAnsi="Times New Roman"/>
      <w:sz w:val="20"/>
      <w:szCs w:val="24"/>
    </w:rPr>
  </w:style>
  <w:style w:type="paragraph" w:customStyle="1" w:styleId="Standardowy1">
    <w:name w:val="Standardowy1"/>
    <w:uiPriority w:val="99"/>
    <w:qFormat/>
    <w:rsid w:val="004B06D1"/>
    <w:pPr>
      <w:textAlignment w:val="baseline"/>
    </w:pPr>
    <w:rPr>
      <w:rFonts w:ascii="Times New Roman" w:eastAsia="Times New Roman" w:hAnsi="Times New Roman" w:cs="Times New Roman"/>
      <w:sz w:val="24"/>
      <w:lang w:val="en-US"/>
    </w:rPr>
  </w:style>
  <w:style w:type="paragraph" w:customStyle="1" w:styleId="SOP">
    <w:name w:val="SOP"/>
    <w:basedOn w:val="Tekstpodstawowy3"/>
    <w:uiPriority w:val="99"/>
    <w:qFormat/>
    <w:rsid w:val="004B06D1"/>
    <w:pPr>
      <w:widowControl w:val="0"/>
      <w:spacing w:before="240" w:after="0" w:line="240" w:lineRule="auto"/>
      <w:jc w:val="both"/>
    </w:pPr>
    <w:rPr>
      <w:sz w:val="24"/>
      <w:szCs w:val="20"/>
    </w:rPr>
  </w:style>
  <w:style w:type="paragraph" w:styleId="NormalnyWeb">
    <w:name w:val="Normal (Web)"/>
    <w:basedOn w:val="Normalny"/>
    <w:uiPriority w:val="99"/>
    <w:qFormat/>
    <w:rsid w:val="004B06D1"/>
    <w:pPr>
      <w:spacing w:before="100" w:after="100" w:line="240" w:lineRule="auto"/>
    </w:pPr>
    <w:rPr>
      <w:rFonts w:ascii="Times New Roman" w:hAnsi="Times New Roman"/>
      <w:sz w:val="24"/>
      <w:szCs w:val="24"/>
    </w:rPr>
  </w:style>
  <w:style w:type="paragraph" w:styleId="Legenda">
    <w:name w:val="caption"/>
    <w:basedOn w:val="Normalny"/>
    <w:uiPriority w:val="99"/>
    <w:qFormat/>
    <w:rsid w:val="004B06D1"/>
    <w:pPr>
      <w:pBdr>
        <w:top w:val="single" w:sz="4" w:space="1" w:color="00000A"/>
        <w:left w:val="single" w:sz="4" w:space="4" w:color="00000A"/>
        <w:bottom w:val="single" w:sz="4" w:space="1" w:color="00000A"/>
        <w:right w:val="single" w:sz="4" w:space="4" w:color="00000A"/>
      </w:pBdr>
      <w:spacing w:before="0" w:line="240" w:lineRule="auto"/>
    </w:pPr>
    <w:rPr>
      <w:rFonts w:ascii="Times New Roman" w:hAnsi="Times New Roman"/>
      <w:b/>
      <w:sz w:val="20"/>
    </w:rPr>
  </w:style>
  <w:style w:type="paragraph" w:customStyle="1" w:styleId="Tekstpodstawowy21">
    <w:name w:val="Tekst podstawowy 21"/>
    <w:basedOn w:val="Normalny"/>
    <w:uiPriority w:val="99"/>
    <w:qFormat/>
    <w:rsid w:val="004B06D1"/>
    <w:pPr>
      <w:spacing w:before="0" w:line="240" w:lineRule="auto"/>
      <w:jc w:val="both"/>
    </w:pPr>
    <w:rPr>
      <w:rFonts w:ascii="Times New Roman" w:hAnsi="Times New Roman"/>
      <w:sz w:val="24"/>
    </w:rPr>
  </w:style>
  <w:style w:type="paragraph" w:customStyle="1" w:styleId="xl35">
    <w:name w:val="xl35"/>
    <w:basedOn w:val="Normalny"/>
    <w:uiPriority w:val="99"/>
    <w:qFormat/>
    <w:rsid w:val="004B06D1"/>
    <w:pPr>
      <w:spacing w:beforeAutospacing="1"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spacing w:before="0" w:line="240" w:lineRule="auto"/>
      <w:textAlignment w:val="baseline"/>
    </w:pPr>
    <w:rPr>
      <w:rFonts w:ascii="Times New Roman" w:hAnsi="Times New Roman"/>
      <w:sz w:val="20"/>
      <w:lang w:val="x-none"/>
    </w:rPr>
  </w:style>
  <w:style w:type="paragraph" w:styleId="Spistreci1">
    <w:name w:val="toc 1"/>
    <w:basedOn w:val="Normalny"/>
    <w:autoRedefine/>
    <w:uiPriority w:val="39"/>
    <w:qFormat/>
    <w:rsid w:val="009B328A"/>
    <w:pPr>
      <w:tabs>
        <w:tab w:val="left" w:pos="284"/>
        <w:tab w:val="right" w:leader="dot" w:pos="9639"/>
      </w:tabs>
      <w:spacing w:before="0" w:after="120" w:line="240" w:lineRule="auto"/>
    </w:pPr>
    <w:rPr>
      <w:rFonts w:ascii="Times New Roman" w:hAnsi="Times New Roman"/>
      <w:sz w:val="24"/>
    </w:rPr>
  </w:style>
  <w:style w:type="paragraph" w:styleId="Spistreci2">
    <w:name w:val="toc 2"/>
    <w:basedOn w:val="Normalny"/>
    <w:autoRedefine/>
    <w:uiPriority w:val="39"/>
    <w:qFormat/>
    <w:rsid w:val="004B06D1"/>
    <w:pPr>
      <w:ind w:left="220"/>
    </w:pPr>
  </w:style>
  <w:style w:type="paragraph" w:styleId="Spistreci3">
    <w:name w:val="toc 3"/>
    <w:basedOn w:val="Normalny"/>
    <w:autoRedefine/>
    <w:uiPriority w:val="39"/>
    <w:qFormat/>
    <w:rsid w:val="00EF48A8"/>
    <w:pPr>
      <w:tabs>
        <w:tab w:val="right" w:leader="dot" w:pos="9710"/>
      </w:tabs>
      <w:spacing w:before="120" w:after="120"/>
    </w:pPr>
  </w:style>
  <w:style w:type="paragraph" w:styleId="Spistreci4">
    <w:name w:val="toc 4"/>
    <w:basedOn w:val="Normalny"/>
    <w:autoRedefine/>
    <w:uiPriority w:val="99"/>
    <w:rsid w:val="004B06D1"/>
    <w:pPr>
      <w:ind w:left="660"/>
    </w:pPr>
  </w:style>
  <w:style w:type="paragraph" w:customStyle="1" w:styleId="Default">
    <w:name w:val="Default"/>
    <w:qFormat/>
    <w:rsid w:val="004B06D1"/>
    <w:rPr>
      <w:rFonts w:ascii="TimesNewRoman,Bold" w:eastAsia="Times New Roman" w:hAnsi="TimesNewRoman,Bold" w:cs="TimesNewRoman,Bold"/>
    </w:rPr>
  </w:style>
  <w:style w:type="paragraph" w:customStyle="1" w:styleId="tekstZPORR">
    <w:name w:val="tekst ZPORR"/>
    <w:basedOn w:val="Default"/>
    <w:next w:val="Default"/>
    <w:uiPriority w:val="99"/>
    <w:qFormat/>
    <w:rsid w:val="004B06D1"/>
    <w:pPr>
      <w:spacing w:after="120"/>
    </w:pPr>
    <w:rPr>
      <w:rFonts w:cs="Times New Roman"/>
      <w:sz w:val="24"/>
      <w:szCs w:val="24"/>
    </w:rPr>
  </w:style>
  <w:style w:type="paragraph" w:customStyle="1" w:styleId="Nag3wek1">
    <w:name w:val="Nag3ówek 1"/>
    <w:basedOn w:val="Default"/>
    <w:next w:val="Default"/>
    <w:uiPriority w:val="99"/>
    <w:qFormat/>
    <w:rsid w:val="004B06D1"/>
    <w:pPr>
      <w:spacing w:after="240"/>
    </w:pPr>
    <w:rPr>
      <w:rFonts w:cs="Times New Roman"/>
      <w:sz w:val="24"/>
      <w:szCs w:val="24"/>
    </w:rPr>
  </w:style>
  <w:style w:type="paragraph" w:customStyle="1" w:styleId="BodyText23">
    <w:name w:val="Body Text 23"/>
    <w:basedOn w:val="Default"/>
    <w:next w:val="Default"/>
    <w:uiPriority w:val="99"/>
    <w:qFormat/>
    <w:rsid w:val="004B06D1"/>
    <w:rPr>
      <w:rFonts w:cs="Times New Roman"/>
      <w:sz w:val="24"/>
      <w:szCs w:val="24"/>
    </w:rPr>
  </w:style>
  <w:style w:type="paragraph" w:styleId="Spistreci6">
    <w:name w:val="toc 6"/>
    <w:basedOn w:val="Normalny"/>
    <w:autoRedefine/>
    <w:uiPriority w:val="99"/>
    <w:rsid w:val="004B06D1"/>
    <w:pPr>
      <w:ind w:left="1100"/>
    </w:pPr>
  </w:style>
  <w:style w:type="paragraph" w:styleId="Spistreci7">
    <w:name w:val="toc 7"/>
    <w:basedOn w:val="Normalny"/>
    <w:autoRedefine/>
    <w:uiPriority w:val="99"/>
    <w:rsid w:val="004B06D1"/>
    <w:pPr>
      <w:ind w:left="1320"/>
    </w:pPr>
  </w:style>
  <w:style w:type="paragraph" w:styleId="Spistreci8">
    <w:name w:val="toc 8"/>
    <w:basedOn w:val="Normalny"/>
    <w:autoRedefine/>
    <w:uiPriority w:val="99"/>
    <w:rsid w:val="004B06D1"/>
    <w:pPr>
      <w:ind w:left="1540"/>
    </w:pPr>
  </w:style>
  <w:style w:type="paragraph" w:styleId="Spistreci9">
    <w:name w:val="toc 9"/>
    <w:basedOn w:val="Normalny"/>
    <w:autoRedefine/>
    <w:uiPriority w:val="99"/>
    <w:rsid w:val="004B06D1"/>
    <w:pPr>
      <w:ind w:left="1760"/>
    </w:pPr>
  </w:style>
  <w:style w:type="paragraph" w:styleId="Tekstdymka">
    <w:name w:val="Balloon Text"/>
    <w:basedOn w:val="Normalny"/>
    <w:link w:val="TekstdymkaZnak"/>
    <w:uiPriority w:val="99"/>
    <w:semiHidden/>
    <w:qFormat/>
    <w:rsid w:val="004B06D1"/>
    <w:rPr>
      <w:rFonts w:ascii="Tahoma" w:hAnsi="Tahoma"/>
      <w:sz w:val="16"/>
      <w:szCs w:val="16"/>
      <w:lang w:val="x-none"/>
    </w:rPr>
  </w:style>
  <w:style w:type="paragraph" w:styleId="Tekstprzypisukocowego">
    <w:name w:val="endnote text"/>
    <w:basedOn w:val="Normalny"/>
    <w:link w:val="TekstprzypisukocowegoZnak"/>
    <w:uiPriority w:val="99"/>
    <w:semiHidden/>
    <w:qFormat/>
    <w:rsid w:val="004B06D1"/>
    <w:rPr>
      <w:sz w:val="20"/>
      <w:lang w:val="x-none"/>
    </w:rPr>
  </w:style>
  <w:style w:type="paragraph" w:customStyle="1" w:styleId="BodyText24">
    <w:name w:val="Body Text 24"/>
    <w:basedOn w:val="Normalny"/>
    <w:uiPriority w:val="99"/>
    <w:qFormat/>
    <w:rsid w:val="004B06D1"/>
    <w:pPr>
      <w:spacing w:before="0" w:line="240" w:lineRule="auto"/>
      <w:jc w:val="both"/>
      <w:textAlignment w:val="baseline"/>
    </w:pPr>
    <w:rPr>
      <w:rFonts w:ascii="Times New Roman" w:hAnsi="Times New Roman"/>
      <w:sz w:val="24"/>
    </w:rPr>
  </w:style>
  <w:style w:type="paragraph" w:styleId="Tematkomentarza">
    <w:name w:val="annotation subject"/>
    <w:basedOn w:val="Tekstkomentarza"/>
    <w:link w:val="TematkomentarzaZnak"/>
    <w:uiPriority w:val="99"/>
    <w:semiHidden/>
    <w:qFormat/>
    <w:rsid w:val="004B06D1"/>
    <w:pPr>
      <w:overflowPunct w:val="0"/>
      <w:spacing w:before="200" w:line="320" w:lineRule="atLeast"/>
      <w:textAlignment w:val="auto"/>
    </w:pPr>
    <w:rPr>
      <w:rFonts w:ascii="Arial" w:hAnsi="Arial"/>
      <w:b/>
      <w:bCs/>
    </w:rPr>
  </w:style>
  <w:style w:type="paragraph" w:styleId="Mapadokumentu">
    <w:name w:val="Document Map"/>
    <w:basedOn w:val="Normalny"/>
    <w:link w:val="MapadokumentuZnak"/>
    <w:uiPriority w:val="99"/>
    <w:semiHidden/>
    <w:qFormat/>
    <w:rsid w:val="004B06D1"/>
    <w:pPr>
      <w:shd w:val="clear" w:color="auto" w:fill="000080"/>
    </w:pPr>
    <w:rPr>
      <w:rFonts w:ascii="Tahoma" w:hAnsi="Tahoma"/>
      <w:sz w:val="20"/>
      <w:lang w:val="x-none"/>
    </w:rPr>
  </w:style>
  <w:style w:type="paragraph" w:styleId="Poprawka">
    <w:name w:val="Revision"/>
    <w:uiPriority w:val="99"/>
    <w:semiHidden/>
    <w:qFormat/>
    <w:rsid w:val="004B06D1"/>
    <w:rPr>
      <w:rFonts w:ascii="Arial" w:eastAsia="Times New Roman" w:hAnsi="Arial" w:cs="Times New Roman"/>
      <w:sz w:val="22"/>
    </w:rPr>
  </w:style>
  <w:style w:type="paragraph" w:customStyle="1" w:styleId="xl23">
    <w:name w:val="xl23"/>
    <w:basedOn w:val="Normalny"/>
    <w:uiPriority w:val="99"/>
    <w:qFormat/>
    <w:rsid w:val="004B06D1"/>
    <w:pPr>
      <w:pBdr>
        <w:top w:val="single" w:sz="4" w:space="0" w:color="00000A"/>
        <w:left w:val="single" w:sz="4" w:space="0" w:color="00000A"/>
        <w:bottom w:val="single" w:sz="4" w:space="0" w:color="00000A"/>
      </w:pBdr>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rPr>
      <w:sz w:val="20"/>
      <w:lang w:val="x-none"/>
    </w:rPr>
  </w:style>
  <w:style w:type="paragraph" w:customStyle="1" w:styleId="bodytext">
    <w:name w:val="bodytext"/>
    <w:basedOn w:val="Normalny"/>
    <w:uiPriority w:val="99"/>
    <w:qFormat/>
    <w:rsid w:val="00BB2CE2"/>
    <w:pPr>
      <w:spacing w:beforeAutospacing="1" w:afterAutospacing="1" w:line="240" w:lineRule="auto"/>
    </w:pPr>
    <w:rPr>
      <w:rFonts w:ascii="Times New Roman" w:hAnsi="Times New Roman"/>
      <w:sz w:val="24"/>
      <w:szCs w:val="24"/>
    </w:rPr>
  </w:style>
  <w:style w:type="paragraph" w:customStyle="1" w:styleId="xl112">
    <w:name w:val="xl112"/>
    <w:basedOn w:val="Normalny"/>
    <w:qFormat/>
    <w:rsid w:val="0047721A"/>
    <w:pPr>
      <w:pBdr>
        <w:left w:val="single" w:sz="4" w:space="0" w:color="00000A"/>
        <w:right w:val="single" w:sz="4" w:space="0" w:color="00000A"/>
      </w:pBdr>
      <w:spacing w:beforeAutospacing="1" w:afterAutospacing="1" w:line="240" w:lineRule="auto"/>
      <w:jc w:val="center"/>
      <w:textAlignment w:val="center"/>
    </w:pPr>
    <w:rPr>
      <w:rFonts w:cs="Arial"/>
      <w:sz w:val="12"/>
      <w:szCs w:val="12"/>
    </w:rPr>
  </w:style>
  <w:style w:type="paragraph" w:styleId="Nagwekspisutreci">
    <w:name w:val="TOC Heading"/>
    <w:basedOn w:val="Nagwek1"/>
    <w:uiPriority w:val="39"/>
    <w:unhideWhenUsed/>
    <w:qFormat/>
    <w:rsid w:val="004C70CD"/>
    <w:pPr>
      <w:keepLines/>
      <w:spacing w:before="480" w:after="0" w:line="276" w:lineRule="auto"/>
    </w:pPr>
    <w:rPr>
      <w:rFonts w:ascii="Cambria" w:eastAsia="Cambria" w:hAnsi="Cambria" w:cs="Cambria"/>
      <w:color w:val="365F91"/>
      <w:sz w:val="28"/>
      <w:szCs w:val="28"/>
      <w:lang w:eastAsia="en-US"/>
    </w:rPr>
  </w:style>
  <w:style w:type="paragraph" w:customStyle="1" w:styleId="CM1">
    <w:name w:val="CM1"/>
    <w:basedOn w:val="Default"/>
    <w:next w:val="Default"/>
    <w:uiPriority w:val="99"/>
    <w:qFormat/>
    <w:rsid w:val="004C70CD"/>
    <w:rPr>
      <w:rFonts w:ascii="EUAlbertina" w:eastAsia="Calibri" w:hAnsi="EUAlbertina" w:cs="Calibri"/>
      <w:sz w:val="24"/>
      <w:szCs w:val="24"/>
      <w:lang w:eastAsia="en-US"/>
    </w:rPr>
  </w:style>
  <w:style w:type="paragraph" w:customStyle="1" w:styleId="CM3">
    <w:name w:val="CM3"/>
    <w:basedOn w:val="Default"/>
    <w:next w:val="Default"/>
    <w:uiPriority w:val="99"/>
    <w:qFormat/>
    <w:rsid w:val="004C70CD"/>
    <w:rPr>
      <w:rFonts w:ascii="EUAlbertina" w:eastAsia="Calibri" w:hAnsi="EUAlbertina" w:cs="Calibri"/>
      <w:sz w:val="24"/>
      <w:szCs w:val="24"/>
      <w:lang w:eastAsia="en-US"/>
    </w:rPr>
  </w:style>
  <w:style w:type="paragraph" w:customStyle="1" w:styleId="CM4">
    <w:name w:val="CM4"/>
    <w:basedOn w:val="Default"/>
    <w:next w:val="Default"/>
    <w:uiPriority w:val="99"/>
    <w:qFormat/>
    <w:rsid w:val="004C70CD"/>
    <w:rPr>
      <w:rFonts w:ascii="EUAlbertina" w:eastAsia="Calibri" w:hAnsi="EUAlbertina" w:cs="Calibri"/>
      <w:sz w:val="24"/>
      <w:szCs w:val="24"/>
      <w:lang w:eastAsia="en-US"/>
    </w:rPr>
  </w:style>
  <w:style w:type="paragraph" w:styleId="Zwykytekst">
    <w:name w:val="Plain Text"/>
    <w:basedOn w:val="Normalny"/>
    <w:link w:val="ZwykytekstZnak"/>
    <w:uiPriority w:val="99"/>
    <w:unhideWhenUsed/>
    <w:qFormat/>
    <w:rsid w:val="00740A3D"/>
    <w:pPr>
      <w:spacing w:before="0" w:line="240" w:lineRule="auto"/>
    </w:pPr>
    <w:rPr>
      <w:rFonts w:ascii="Consolas" w:eastAsia="Calibri" w:hAnsi="Consolas"/>
      <w:sz w:val="21"/>
      <w:szCs w:val="21"/>
      <w:lang w:val="x-none" w:eastAsia="x-none"/>
    </w:rPr>
  </w:style>
  <w:style w:type="paragraph" w:customStyle="1" w:styleId="tbl-txt">
    <w:name w:val="tbl-txt"/>
    <w:basedOn w:val="Normalny"/>
    <w:qFormat/>
    <w:rsid w:val="004309C8"/>
    <w:pPr>
      <w:spacing w:beforeAutospacing="1" w:afterAutospacing="1" w:line="240" w:lineRule="auto"/>
    </w:pPr>
    <w:rPr>
      <w:rFonts w:ascii="Times New Roman" w:hAnsi="Times New Roman"/>
      <w:sz w:val="24"/>
      <w:szCs w:val="24"/>
    </w:rPr>
  </w:style>
  <w:style w:type="paragraph" w:customStyle="1" w:styleId="footnotedescription">
    <w:name w:val="footnote description"/>
    <w:qFormat/>
    <w:rsid w:val="0008393D"/>
    <w:pPr>
      <w:spacing w:line="259" w:lineRule="auto"/>
      <w:ind w:left="43"/>
    </w:pPr>
    <w:rPr>
      <w:rFonts w:ascii="Arial" w:eastAsia="Arial" w:hAnsi="Arial" w:cs="Arial"/>
      <w:color w:val="000000"/>
      <w:sz w:val="16"/>
      <w:szCs w:val="22"/>
    </w:rPr>
  </w:style>
  <w:style w:type="paragraph" w:customStyle="1" w:styleId="Przypisdolny">
    <w:name w:val="Przypis dolny"/>
    <w:basedOn w:val="Normalny"/>
  </w:style>
  <w:style w:type="paragraph" w:customStyle="1" w:styleId="Cytaty">
    <w:name w:val="Cytaty"/>
    <w:basedOn w:val="Normalny"/>
    <w:qFormat/>
  </w:style>
  <w:style w:type="paragraph" w:customStyle="1" w:styleId="Zawartotabeli">
    <w:name w:val="Zawartość tabeli"/>
    <w:basedOn w:val="Normalny"/>
    <w:qFormat/>
  </w:style>
  <w:style w:type="numbering" w:customStyle="1" w:styleId="Styl1">
    <w:name w:val="Styl1"/>
    <w:rsid w:val="004B06D1"/>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C7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4C7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577B"/>
    <w:rPr>
      <w:color w:val="0000FF"/>
      <w:u w:val="single"/>
    </w:rPr>
  </w:style>
</w:styles>
</file>

<file path=word/webSettings.xml><?xml version="1.0" encoding="utf-8"?>
<w:webSettings xmlns:r="http://schemas.openxmlformats.org/officeDocument/2006/relationships" xmlns:w="http://schemas.openxmlformats.org/wordprocessingml/2006/main">
  <w:divs>
    <w:div w:id="68617363">
      <w:bodyDiv w:val="1"/>
      <w:marLeft w:val="0"/>
      <w:marRight w:val="0"/>
      <w:marTop w:val="0"/>
      <w:marBottom w:val="0"/>
      <w:divBdr>
        <w:top w:val="none" w:sz="0" w:space="0" w:color="auto"/>
        <w:left w:val="none" w:sz="0" w:space="0" w:color="auto"/>
        <w:bottom w:val="none" w:sz="0" w:space="0" w:color="auto"/>
        <w:right w:val="none" w:sz="0" w:space="0" w:color="auto"/>
      </w:divBdr>
    </w:div>
    <w:div w:id="88036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funduszeeuropejskie.gov.p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www.zitaj.jeleniagora.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zitaj.jeleniagora.pl/" TargetMode="External"/><Relationship Id="rId33" Type="http://schemas.openxmlformats.org/officeDocument/2006/relationships/hyperlink" Target="http://www.zitaj.jeleniagora.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mailto:pife.jeleniagora@dolnyslask.p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po.dolnyslask.pl/" TargetMode="External"/><Relationship Id="rId32" Type="http://schemas.openxmlformats.org/officeDocument/2006/relationships/hyperlink" Target="mailto:zitaj@jeleniagora.pl" TargetMode="External"/><Relationship Id="rId37" Type="http://schemas.openxmlformats.org/officeDocument/2006/relationships/hyperlink" Target="http://www.zitaj.jeleniagora.pl/"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3.jpeg"/><Relationship Id="rId28" Type="http://schemas.openxmlformats.org/officeDocument/2006/relationships/hyperlink" Target="mailto:pife@dolnyslask.pl" TargetMode="External"/><Relationship Id="rId36" Type="http://schemas.openxmlformats.org/officeDocument/2006/relationships/hyperlink" Target="http://www.rpo.dolnyslask.pl/"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pife.walbrzych@dolnyslask.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yperlink" Target="http://www.zitaj.jeleniagora.pl/" TargetMode="External"/><Relationship Id="rId30" Type="http://schemas.openxmlformats.org/officeDocument/2006/relationships/hyperlink" Target="mailto:pife.legnica@dolnyslask.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11345-DBB1-472A-81D1-C6B6EC4FC973}">
  <ds:schemaRefs>
    <ds:schemaRef ds:uri="http://schemas.openxmlformats.org/officeDocument/2006/bibliography"/>
  </ds:schemaRefs>
</ds:datastoreItem>
</file>

<file path=customXml/itemProps10.xml><?xml version="1.0" encoding="utf-8"?>
<ds:datastoreItem xmlns:ds="http://schemas.openxmlformats.org/officeDocument/2006/customXml" ds:itemID="{CE39D0DE-8F65-4CD0-ADDC-3CF61A01415A}">
  <ds:schemaRefs>
    <ds:schemaRef ds:uri="http://schemas.openxmlformats.org/officeDocument/2006/bibliography"/>
  </ds:schemaRefs>
</ds:datastoreItem>
</file>

<file path=customXml/itemProps11.xml><?xml version="1.0" encoding="utf-8"?>
<ds:datastoreItem xmlns:ds="http://schemas.openxmlformats.org/officeDocument/2006/customXml" ds:itemID="{4E3358F5-DAF9-4EC6-9580-EEDA580EAE57}">
  <ds:schemaRefs>
    <ds:schemaRef ds:uri="http://schemas.openxmlformats.org/officeDocument/2006/bibliography"/>
  </ds:schemaRefs>
</ds:datastoreItem>
</file>

<file path=customXml/itemProps12.xml><?xml version="1.0" encoding="utf-8"?>
<ds:datastoreItem xmlns:ds="http://schemas.openxmlformats.org/officeDocument/2006/customXml" ds:itemID="{60C2135B-B798-4F90-A935-4E284796264C}">
  <ds:schemaRefs>
    <ds:schemaRef ds:uri="http://schemas.openxmlformats.org/officeDocument/2006/bibliography"/>
  </ds:schemaRefs>
</ds:datastoreItem>
</file>

<file path=customXml/itemProps13.xml><?xml version="1.0" encoding="utf-8"?>
<ds:datastoreItem xmlns:ds="http://schemas.openxmlformats.org/officeDocument/2006/customXml" ds:itemID="{30D2D57F-1754-4A79-86AF-D51824BBA021}">
  <ds:schemaRefs>
    <ds:schemaRef ds:uri="http://schemas.openxmlformats.org/officeDocument/2006/bibliography"/>
  </ds:schemaRefs>
</ds:datastoreItem>
</file>

<file path=customXml/itemProps14.xml><?xml version="1.0" encoding="utf-8"?>
<ds:datastoreItem xmlns:ds="http://schemas.openxmlformats.org/officeDocument/2006/customXml" ds:itemID="{3F212810-B0EE-4D45-9312-0771AF22C2A1}">
  <ds:schemaRefs>
    <ds:schemaRef ds:uri="http://schemas.openxmlformats.org/officeDocument/2006/bibliography"/>
  </ds:schemaRefs>
</ds:datastoreItem>
</file>

<file path=customXml/itemProps2.xml><?xml version="1.0" encoding="utf-8"?>
<ds:datastoreItem xmlns:ds="http://schemas.openxmlformats.org/officeDocument/2006/customXml" ds:itemID="{B0638387-0930-4FA7-B1E2-F439B5AD0980}">
  <ds:schemaRefs>
    <ds:schemaRef ds:uri="http://schemas.openxmlformats.org/officeDocument/2006/bibliography"/>
  </ds:schemaRefs>
</ds:datastoreItem>
</file>

<file path=customXml/itemProps3.xml><?xml version="1.0" encoding="utf-8"?>
<ds:datastoreItem xmlns:ds="http://schemas.openxmlformats.org/officeDocument/2006/customXml" ds:itemID="{78D2DAC3-A3EB-4632-8318-826F75789A0E}">
  <ds:schemaRefs>
    <ds:schemaRef ds:uri="http://schemas.openxmlformats.org/officeDocument/2006/bibliography"/>
  </ds:schemaRefs>
</ds:datastoreItem>
</file>

<file path=customXml/itemProps4.xml><?xml version="1.0" encoding="utf-8"?>
<ds:datastoreItem xmlns:ds="http://schemas.openxmlformats.org/officeDocument/2006/customXml" ds:itemID="{C7CBDA0D-BC45-48CA-8698-F3C0415664D9}">
  <ds:schemaRefs>
    <ds:schemaRef ds:uri="http://schemas.openxmlformats.org/officeDocument/2006/bibliography"/>
  </ds:schemaRefs>
</ds:datastoreItem>
</file>

<file path=customXml/itemProps5.xml><?xml version="1.0" encoding="utf-8"?>
<ds:datastoreItem xmlns:ds="http://schemas.openxmlformats.org/officeDocument/2006/customXml" ds:itemID="{EFF7F434-10DE-48C0-966E-3AA2322C6072}">
  <ds:schemaRefs>
    <ds:schemaRef ds:uri="http://schemas.openxmlformats.org/officeDocument/2006/bibliography"/>
  </ds:schemaRefs>
</ds:datastoreItem>
</file>

<file path=customXml/itemProps6.xml><?xml version="1.0" encoding="utf-8"?>
<ds:datastoreItem xmlns:ds="http://schemas.openxmlformats.org/officeDocument/2006/customXml" ds:itemID="{0971B9F3-7514-413B-AE2A-FB5E302852DD}">
  <ds:schemaRefs>
    <ds:schemaRef ds:uri="http://schemas.openxmlformats.org/officeDocument/2006/bibliography"/>
  </ds:schemaRefs>
</ds:datastoreItem>
</file>

<file path=customXml/itemProps7.xml><?xml version="1.0" encoding="utf-8"?>
<ds:datastoreItem xmlns:ds="http://schemas.openxmlformats.org/officeDocument/2006/customXml" ds:itemID="{38B8861B-87C0-4253-BB7A-98D5D73C4AE3}">
  <ds:schemaRefs>
    <ds:schemaRef ds:uri="http://schemas.openxmlformats.org/officeDocument/2006/bibliography"/>
  </ds:schemaRefs>
</ds:datastoreItem>
</file>

<file path=customXml/itemProps8.xml><?xml version="1.0" encoding="utf-8"?>
<ds:datastoreItem xmlns:ds="http://schemas.openxmlformats.org/officeDocument/2006/customXml" ds:itemID="{BE4398B1-E33B-470C-905E-3577CD0C5159}">
  <ds:schemaRefs>
    <ds:schemaRef ds:uri="http://schemas.openxmlformats.org/officeDocument/2006/bibliography"/>
  </ds:schemaRefs>
</ds:datastoreItem>
</file>

<file path=customXml/itemProps9.xml><?xml version="1.0" encoding="utf-8"?>
<ds:datastoreItem xmlns:ds="http://schemas.openxmlformats.org/officeDocument/2006/customXml" ds:itemID="{C3F69D1C-5200-4A9A-BF0F-77DF534B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29447</Words>
  <Characters>176685</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205721</CharactersWithSpaces>
  <SharedDoc>false</SharedDoc>
  <HLinks>
    <vt:vector size="378" baseType="variant">
      <vt:variant>
        <vt:i4>1507400</vt:i4>
      </vt:variant>
      <vt:variant>
        <vt:i4>351</vt:i4>
      </vt:variant>
      <vt:variant>
        <vt:i4>0</vt:i4>
      </vt:variant>
      <vt:variant>
        <vt:i4>5</vt:i4>
      </vt:variant>
      <vt:variant>
        <vt:lpwstr>http://www.zitaj.jeleniagora.pl/</vt:lpwstr>
      </vt:variant>
      <vt:variant>
        <vt:lpwstr/>
      </vt:variant>
      <vt:variant>
        <vt:i4>1703942</vt:i4>
      </vt:variant>
      <vt:variant>
        <vt:i4>348</vt:i4>
      </vt:variant>
      <vt:variant>
        <vt:i4>0</vt:i4>
      </vt:variant>
      <vt:variant>
        <vt:i4>5</vt:i4>
      </vt:variant>
      <vt:variant>
        <vt:lpwstr>http://www.rpo.dolnyslask.pl/</vt:lpwstr>
      </vt:variant>
      <vt:variant>
        <vt:lpwstr/>
      </vt:variant>
      <vt:variant>
        <vt:i4>1507400</vt:i4>
      </vt:variant>
      <vt:variant>
        <vt:i4>342</vt:i4>
      </vt:variant>
      <vt:variant>
        <vt:i4>0</vt:i4>
      </vt:variant>
      <vt:variant>
        <vt:i4>5</vt:i4>
      </vt:variant>
      <vt:variant>
        <vt:lpwstr>http://www.zitaj.jeleniagora.pl/</vt:lpwstr>
      </vt:variant>
      <vt:variant>
        <vt:lpwstr/>
      </vt:variant>
      <vt:variant>
        <vt:i4>1507400</vt:i4>
      </vt:variant>
      <vt:variant>
        <vt:i4>336</vt:i4>
      </vt:variant>
      <vt:variant>
        <vt:i4>0</vt:i4>
      </vt:variant>
      <vt:variant>
        <vt:i4>5</vt:i4>
      </vt:variant>
      <vt:variant>
        <vt:lpwstr>http://www.zitaj.jeleniagora.pl/</vt:lpwstr>
      </vt:variant>
      <vt:variant>
        <vt:lpwstr/>
      </vt:variant>
      <vt:variant>
        <vt:i4>7405648</vt:i4>
      </vt:variant>
      <vt:variant>
        <vt:i4>330</vt:i4>
      </vt:variant>
      <vt:variant>
        <vt:i4>0</vt:i4>
      </vt:variant>
      <vt:variant>
        <vt:i4>5</vt:i4>
      </vt:variant>
      <vt:variant>
        <vt:lpwstr>mailto:zitaj@jeleniagora.pl</vt:lpwstr>
      </vt:variant>
      <vt:variant>
        <vt:lpwstr/>
      </vt:variant>
      <vt:variant>
        <vt:i4>524414</vt:i4>
      </vt:variant>
      <vt:variant>
        <vt:i4>327</vt:i4>
      </vt:variant>
      <vt:variant>
        <vt:i4>0</vt:i4>
      </vt:variant>
      <vt:variant>
        <vt:i4>5</vt:i4>
      </vt:variant>
      <vt:variant>
        <vt:lpwstr>mailto:pife.walbrzych@dolnyslask.pl</vt:lpwstr>
      </vt:variant>
      <vt:variant>
        <vt:lpwstr/>
      </vt:variant>
      <vt:variant>
        <vt:i4>7995397</vt:i4>
      </vt:variant>
      <vt:variant>
        <vt:i4>324</vt:i4>
      </vt:variant>
      <vt:variant>
        <vt:i4>0</vt:i4>
      </vt:variant>
      <vt:variant>
        <vt:i4>5</vt:i4>
      </vt:variant>
      <vt:variant>
        <vt:lpwstr>mailto:pife.legnica@dolnyslask.pl</vt:lpwstr>
      </vt:variant>
      <vt:variant>
        <vt:lpwstr/>
      </vt:variant>
      <vt:variant>
        <vt:i4>7208961</vt:i4>
      </vt:variant>
      <vt:variant>
        <vt:i4>321</vt:i4>
      </vt:variant>
      <vt:variant>
        <vt:i4>0</vt:i4>
      </vt:variant>
      <vt:variant>
        <vt:i4>5</vt:i4>
      </vt:variant>
      <vt:variant>
        <vt:lpwstr>mailto:pife.jeleniagora@dolnyslask.pl</vt:lpwstr>
      </vt:variant>
      <vt:variant>
        <vt:lpwstr/>
      </vt:variant>
      <vt:variant>
        <vt:i4>3932166</vt:i4>
      </vt:variant>
      <vt:variant>
        <vt:i4>318</vt:i4>
      </vt:variant>
      <vt:variant>
        <vt:i4>0</vt:i4>
      </vt:variant>
      <vt:variant>
        <vt:i4>5</vt:i4>
      </vt:variant>
      <vt:variant>
        <vt:lpwstr>mailto:pife@dolnyslask.pl</vt:lpwstr>
      </vt:variant>
      <vt:variant>
        <vt:lpwstr/>
      </vt:variant>
      <vt:variant>
        <vt:i4>1507400</vt:i4>
      </vt:variant>
      <vt:variant>
        <vt:i4>315</vt:i4>
      </vt:variant>
      <vt:variant>
        <vt:i4>0</vt:i4>
      </vt:variant>
      <vt:variant>
        <vt:i4>5</vt:i4>
      </vt:variant>
      <vt:variant>
        <vt:lpwstr>http://www.zitaj.jeleniagora.pl/</vt:lpwstr>
      </vt:variant>
      <vt:variant>
        <vt:lpwstr/>
      </vt:variant>
      <vt:variant>
        <vt:i4>6357041</vt:i4>
      </vt:variant>
      <vt:variant>
        <vt:i4>309</vt:i4>
      </vt:variant>
      <vt:variant>
        <vt:i4>0</vt:i4>
      </vt:variant>
      <vt:variant>
        <vt:i4>5</vt:i4>
      </vt:variant>
      <vt:variant>
        <vt:lpwstr>http://www.funduszeeuropejskie.gov.pl/</vt:lpwstr>
      </vt:variant>
      <vt:variant>
        <vt:lpwstr/>
      </vt:variant>
      <vt:variant>
        <vt:i4>1507400</vt:i4>
      </vt:variant>
      <vt:variant>
        <vt:i4>306</vt:i4>
      </vt:variant>
      <vt:variant>
        <vt:i4>0</vt:i4>
      </vt:variant>
      <vt:variant>
        <vt:i4>5</vt:i4>
      </vt:variant>
      <vt:variant>
        <vt:lpwstr>http://www.zitaj.jeleniagora.pl/</vt:lpwstr>
      </vt:variant>
      <vt:variant>
        <vt:lpwstr/>
      </vt:variant>
      <vt:variant>
        <vt:i4>1703942</vt:i4>
      </vt:variant>
      <vt:variant>
        <vt:i4>303</vt:i4>
      </vt:variant>
      <vt:variant>
        <vt:i4>0</vt:i4>
      </vt:variant>
      <vt:variant>
        <vt:i4>5</vt:i4>
      </vt:variant>
      <vt:variant>
        <vt:lpwstr>http://www.rpo.dolnyslask.pl/</vt:lpwstr>
      </vt:variant>
      <vt:variant>
        <vt:lpwstr/>
      </vt:variant>
      <vt:variant>
        <vt:i4>1572922</vt:i4>
      </vt:variant>
      <vt:variant>
        <vt:i4>296</vt:i4>
      </vt:variant>
      <vt:variant>
        <vt:i4>0</vt:i4>
      </vt:variant>
      <vt:variant>
        <vt:i4>5</vt:i4>
      </vt:variant>
      <vt:variant>
        <vt:lpwstr/>
      </vt:variant>
      <vt:variant>
        <vt:lpwstr>_Toc438115780</vt:lpwstr>
      </vt:variant>
      <vt:variant>
        <vt:i4>1507386</vt:i4>
      </vt:variant>
      <vt:variant>
        <vt:i4>290</vt:i4>
      </vt:variant>
      <vt:variant>
        <vt:i4>0</vt:i4>
      </vt:variant>
      <vt:variant>
        <vt:i4>5</vt:i4>
      </vt:variant>
      <vt:variant>
        <vt:lpwstr/>
      </vt:variant>
      <vt:variant>
        <vt:lpwstr>_Toc438115779</vt:lpwstr>
      </vt:variant>
      <vt:variant>
        <vt:i4>1507386</vt:i4>
      </vt:variant>
      <vt:variant>
        <vt:i4>284</vt:i4>
      </vt:variant>
      <vt:variant>
        <vt:i4>0</vt:i4>
      </vt:variant>
      <vt:variant>
        <vt:i4>5</vt:i4>
      </vt:variant>
      <vt:variant>
        <vt:lpwstr/>
      </vt:variant>
      <vt:variant>
        <vt:lpwstr>_Toc438115778</vt:lpwstr>
      </vt:variant>
      <vt:variant>
        <vt:i4>1507386</vt:i4>
      </vt:variant>
      <vt:variant>
        <vt:i4>278</vt:i4>
      </vt:variant>
      <vt:variant>
        <vt:i4>0</vt:i4>
      </vt:variant>
      <vt:variant>
        <vt:i4>5</vt:i4>
      </vt:variant>
      <vt:variant>
        <vt:lpwstr/>
      </vt:variant>
      <vt:variant>
        <vt:lpwstr>_Toc438115777</vt:lpwstr>
      </vt:variant>
      <vt:variant>
        <vt:i4>1507386</vt:i4>
      </vt:variant>
      <vt:variant>
        <vt:i4>272</vt:i4>
      </vt:variant>
      <vt:variant>
        <vt:i4>0</vt:i4>
      </vt:variant>
      <vt:variant>
        <vt:i4>5</vt:i4>
      </vt:variant>
      <vt:variant>
        <vt:lpwstr/>
      </vt:variant>
      <vt:variant>
        <vt:lpwstr>_Toc438115776</vt:lpwstr>
      </vt:variant>
      <vt:variant>
        <vt:i4>1507386</vt:i4>
      </vt:variant>
      <vt:variant>
        <vt:i4>266</vt:i4>
      </vt:variant>
      <vt:variant>
        <vt:i4>0</vt:i4>
      </vt:variant>
      <vt:variant>
        <vt:i4>5</vt:i4>
      </vt:variant>
      <vt:variant>
        <vt:lpwstr/>
      </vt:variant>
      <vt:variant>
        <vt:lpwstr>_Toc438115775</vt:lpwstr>
      </vt:variant>
      <vt:variant>
        <vt:i4>1507386</vt:i4>
      </vt:variant>
      <vt:variant>
        <vt:i4>260</vt:i4>
      </vt:variant>
      <vt:variant>
        <vt:i4>0</vt:i4>
      </vt:variant>
      <vt:variant>
        <vt:i4>5</vt:i4>
      </vt:variant>
      <vt:variant>
        <vt:lpwstr/>
      </vt:variant>
      <vt:variant>
        <vt:lpwstr>_Toc438115774</vt:lpwstr>
      </vt:variant>
      <vt:variant>
        <vt:i4>1507386</vt:i4>
      </vt:variant>
      <vt:variant>
        <vt:i4>254</vt:i4>
      </vt:variant>
      <vt:variant>
        <vt:i4>0</vt:i4>
      </vt:variant>
      <vt:variant>
        <vt:i4>5</vt:i4>
      </vt:variant>
      <vt:variant>
        <vt:lpwstr/>
      </vt:variant>
      <vt:variant>
        <vt:lpwstr>_Toc438115773</vt:lpwstr>
      </vt:variant>
      <vt:variant>
        <vt:i4>1507386</vt:i4>
      </vt:variant>
      <vt:variant>
        <vt:i4>248</vt:i4>
      </vt:variant>
      <vt:variant>
        <vt:i4>0</vt:i4>
      </vt:variant>
      <vt:variant>
        <vt:i4>5</vt:i4>
      </vt:variant>
      <vt:variant>
        <vt:lpwstr/>
      </vt:variant>
      <vt:variant>
        <vt:lpwstr>_Toc438115772</vt:lpwstr>
      </vt:variant>
      <vt:variant>
        <vt:i4>1507386</vt:i4>
      </vt:variant>
      <vt:variant>
        <vt:i4>242</vt:i4>
      </vt:variant>
      <vt:variant>
        <vt:i4>0</vt:i4>
      </vt:variant>
      <vt:variant>
        <vt:i4>5</vt:i4>
      </vt:variant>
      <vt:variant>
        <vt:lpwstr/>
      </vt:variant>
      <vt:variant>
        <vt:lpwstr>_Toc438115771</vt:lpwstr>
      </vt:variant>
      <vt:variant>
        <vt:i4>1507386</vt:i4>
      </vt:variant>
      <vt:variant>
        <vt:i4>236</vt:i4>
      </vt:variant>
      <vt:variant>
        <vt:i4>0</vt:i4>
      </vt:variant>
      <vt:variant>
        <vt:i4>5</vt:i4>
      </vt:variant>
      <vt:variant>
        <vt:lpwstr/>
      </vt:variant>
      <vt:variant>
        <vt:lpwstr>_Toc438115770</vt:lpwstr>
      </vt:variant>
      <vt:variant>
        <vt:i4>1441850</vt:i4>
      </vt:variant>
      <vt:variant>
        <vt:i4>230</vt:i4>
      </vt:variant>
      <vt:variant>
        <vt:i4>0</vt:i4>
      </vt:variant>
      <vt:variant>
        <vt:i4>5</vt:i4>
      </vt:variant>
      <vt:variant>
        <vt:lpwstr/>
      </vt:variant>
      <vt:variant>
        <vt:lpwstr>_Toc438115769</vt:lpwstr>
      </vt:variant>
      <vt:variant>
        <vt:i4>1441850</vt:i4>
      </vt:variant>
      <vt:variant>
        <vt:i4>224</vt:i4>
      </vt:variant>
      <vt:variant>
        <vt:i4>0</vt:i4>
      </vt:variant>
      <vt:variant>
        <vt:i4>5</vt:i4>
      </vt:variant>
      <vt:variant>
        <vt:lpwstr/>
      </vt:variant>
      <vt:variant>
        <vt:lpwstr>_Toc438115768</vt:lpwstr>
      </vt:variant>
      <vt:variant>
        <vt:i4>1441850</vt:i4>
      </vt:variant>
      <vt:variant>
        <vt:i4>218</vt:i4>
      </vt:variant>
      <vt:variant>
        <vt:i4>0</vt:i4>
      </vt:variant>
      <vt:variant>
        <vt:i4>5</vt:i4>
      </vt:variant>
      <vt:variant>
        <vt:lpwstr/>
      </vt:variant>
      <vt:variant>
        <vt:lpwstr>_Toc438115767</vt:lpwstr>
      </vt:variant>
      <vt:variant>
        <vt:i4>1441850</vt:i4>
      </vt:variant>
      <vt:variant>
        <vt:i4>212</vt:i4>
      </vt:variant>
      <vt:variant>
        <vt:i4>0</vt:i4>
      </vt:variant>
      <vt:variant>
        <vt:i4>5</vt:i4>
      </vt:variant>
      <vt:variant>
        <vt:lpwstr/>
      </vt:variant>
      <vt:variant>
        <vt:lpwstr>_Toc438115766</vt:lpwstr>
      </vt:variant>
      <vt:variant>
        <vt:i4>1441850</vt:i4>
      </vt:variant>
      <vt:variant>
        <vt:i4>206</vt:i4>
      </vt:variant>
      <vt:variant>
        <vt:i4>0</vt:i4>
      </vt:variant>
      <vt:variant>
        <vt:i4>5</vt:i4>
      </vt:variant>
      <vt:variant>
        <vt:lpwstr/>
      </vt:variant>
      <vt:variant>
        <vt:lpwstr>_Toc438115765</vt:lpwstr>
      </vt:variant>
      <vt:variant>
        <vt:i4>1441850</vt:i4>
      </vt:variant>
      <vt:variant>
        <vt:i4>200</vt:i4>
      </vt:variant>
      <vt:variant>
        <vt:i4>0</vt:i4>
      </vt:variant>
      <vt:variant>
        <vt:i4>5</vt:i4>
      </vt:variant>
      <vt:variant>
        <vt:lpwstr/>
      </vt:variant>
      <vt:variant>
        <vt:lpwstr>_Toc438115764</vt:lpwstr>
      </vt:variant>
      <vt:variant>
        <vt:i4>1441850</vt:i4>
      </vt:variant>
      <vt:variant>
        <vt:i4>194</vt:i4>
      </vt:variant>
      <vt:variant>
        <vt:i4>0</vt:i4>
      </vt:variant>
      <vt:variant>
        <vt:i4>5</vt:i4>
      </vt:variant>
      <vt:variant>
        <vt:lpwstr/>
      </vt:variant>
      <vt:variant>
        <vt:lpwstr>_Toc438115763</vt:lpwstr>
      </vt:variant>
      <vt:variant>
        <vt:i4>1441850</vt:i4>
      </vt:variant>
      <vt:variant>
        <vt:i4>188</vt:i4>
      </vt:variant>
      <vt:variant>
        <vt:i4>0</vt:i4>
      </vt:variant>
      <vt:variant>
        <vt:i4>5</vt:i4>
      </vt:variant>
      <vt:variant>
        <vt:lpwstr/>
      </vt:variant>
      <vt:variant>
        <vt:lpwstr>_Toc438115762</vt:lpwstr>
      </vt:variant>
      <vt:variant>
        <vt:i4>1441850</vt:i4>
      </vt:variant>
      <vt:variant>
        <vt:i4>182</vt:i4>
      </vt:variant>
      <vt:variant>
        <vt:i4>0</vt:i4>
      </vt:variant>
      <vt:variant>
        <vt:i4>5</vt:i4>
      </vt:variant>
      <vt:variant>
        <vt:lpwstr/>
      </vt:variant>
      <vt:variant>
        <vt:lpwstr>_Toc438115761</vt:lpwstr>
      </vt:variant>
      <vt:variant>
        <vt:i4>1441850</vt:i4>
      </vt:variant>
      <vt:variant>
        <vt:i4>176</vt:i4>
      </vt:variant>
      <vt:variant>
        <vt:i4>0</vt:i4>
      </vt:variant>
      <vt:variant>
        <vt:i4>5</vt:i4>
      </vt:variant>
      <vt:variant>
        <vt:lpwstr/>
      </vt:variant>
      <vt:variant>
        <vt:lpwstr>_Toc438115760</vt:lpwstr>
      </vt:variant>
      <vt:variant>
        <vt:i4>1376314</vt:i4>
      </vt:variant>
      <vt:variant>
        <vt:i4>170</vt:i4>
      </vt:variant>
      <vt:variant>
        <vt:i4>0</vt:i4>
      </vt:variant>
      <vt:variant>
        <vt:i4>5</vt:i4>
      </vt:variant>
      <vt:variant>
        <vt:lpwstr/>
      </vt:variant>
      <vt:variant>
        <vt:lpwstr>_Toc438115759</vt:lpwstr>
      </vt:variant>
      <vt:variant>
        <vt:i4>1376314</vt:i4>
      </vt:variant>
      <vt:variant>
        <vt:i4>164</vt:i4>
      </vt:variant>
      <vt:variant>
        <vt:i4>0</vt:i4>
      </vt:variant>
      <vt:variant>
        <vt:i4>5</vt:i4>
      </vt:variant>
      <vt:variant>
        <vt:lpwstr/>
      </vt:variant>
      <vt:variant>
        <vt:lpwstr>_Toc438115758</vt:lpwstr>
      </vt:variant>
      <vt:variant>
        <vt:i4>1376314</vt:i4>
      </vt:variant>
      <vt:variant>
        <vt:i4>158</vt:i4>
      </vt:variant>
      <vt:variant>
        <vt:i4>0</vt:i4>
      </vt:variant>
      <vt:variant>
        <vt:i4>5</vt:i4>
      </vt:variant>
      <vt:variant>
        <vt:lpwstr/>
      </vt:variant>
      <vt:variant>
        <vt:lpwstr>_Toc438115757</vt:lpwstr>
      </vt:variant>
      <vt:variant>
        <vt:i4>1376314</vt:i4>
      </vt:variant>
      <vt:variant>
        <vt:i4>152</vt:i4>
      </vt:variant>
      <vt:variant>
        <vt:i4>0</vt:i4>
      </vt:variant>
      <vt:variant>
        <vt:i4>5</vt:i4>
      </vt:variant>
      <vt:variant>
        <vt:lpwstr/>
      </vt:variant>
      <vt:variant>
        <vt:lpwstr>_Toc438115756</vt:lpwstr>
      </vt:variant>
      <vt:variant>
        <vt:i4>1376314</vt:i4>
      </vt:variant>
      <vt:variant>
        <vt:i4>146</vt:i4>
      </vt:variant>
      <vt:variant>
        <vt:i4>0</vt:i4>
      </vt:variant>
      <vt:variant>
        <vt:i4>5</vt:i4>
      </vt:variant>
      <vt:variant>
        <vt:lpwstr/>
      </vt:variant>
      <vt:variant>
        <vt:lpwstr>_Toc438115755</vt:lpwstr>
      </vt:variant>
      <vt:variant>
        <vt:i4>1376314</vt:i4>
      </vt:variant>
      <vt:variant>
        <vt:i4>140</vt:i4>
      </vt:variant>
      <vt:variant>
        <vt:i4>0</vt:i4>
      </vt:variant>
      <vt:variant>
        <vt:i4>5</vt:i4>
      </vt:variant>
      <vt:variant>
        <vt:lpwstr/>
      </vt:variant>
      <vt:variant>
        <vt:lpwstr>_Toc438115754</vt:lpwstr>
      </vt:variant>
      <vt:variant>
        <vt:i4>1376314</vt:i4>
      </vt:variant>
      <vt:variant>
        <vt:i4>134</vt:i4>
      </vt:variant>
      <vt:variant>
        <vt:i4>0</vt:i4>
      </vt:variant>
      <vt:variant>
        <vt:i4>5</vt:i4>
      </vt:variant>
      <vt:variant>
        <vt:lpwstr/>
      </vt:variant>
      <vt:variant>
        <vt:lpwstr>_Toc438115753</vt:lpwstr>
      </vt:variant>
      <vt:variant>
        <vt:i4>1376314</vt:i4>
      </vt:variant>
      <vt:variant>
        <vt:i4>128</vt:i4>
      </vt:variant>
      <vt:variant>
        <vt:i4>0</vt:i4>
      </vt:variant>
      <vt:variant>
        <vt:i4>5</vt:i4>
      </vt:variant>
      <vt:variant>
        <vt:lpwstr/>
      </vt:variant>
      <vt:variant>
        <vt:lpwstr>_Toc438115752</vt:lpwstr>
      </vt:variant>
      <vt:variant>
        <vt:i4>1376314</vt:i4>
      </vt:variant>
      <vt:variant>
        <vt:i4>122</vt:i4>
      </vt:variant>
      <vt:variant>
        <vt:i4>0</vt:i4>
      </vt:variant>
      <vt:variant>
        <vt:i4>5</vt:i4>
      </vt:variant>
      <vt:variant>
        <vt:lpwstr/>
      </vt:variant>
      <vt:variant>
        <vt:lpwstr>_Toc438115751</vt:lpwstr>
      </vt:variant>
      <vt:variant>
        <vt:i4>1376314</vt:i4>
      </vt:variant>
      <vt:variant>
        <vt:i4>116</vt:i4>
      </vt:variant>
      <vt:variant>
        <vt:i4>0</vt:i4>
      </vt:variant>
      <vt:variant>
        <vt:i4>5</vt:i4>
      </vt:variant>
      <vt:variant>
        <vt:lpwstr/>
      </vt:variant>
      <vt:variant>
        <vt:lpwstr>_Toc438115750</vt:lpwstr>
      </vt:variant>
      <vt:variant>
        <vt:i4>1310778</vt:i4>
      </vt:variant>
      <vt:variant>
        <vt:i4>110</vt:i4>
      </vt:variant>
      <vt:variant>
        <vt:i4>0</vt:i4>
      </vt:variant>
      <vt:variant>
        <vt:i4>5</vt:i4>
      </vt:variant>
      <vt:variant>
        <vt:lpwstr/>
      </vt:variant>
      <vt:variant>
        <vt:lpwstr>_Toc438115749</vt:lpwstr>
      </vt:variant>
      <vt:variant>
        <vt:i4>1310778</vt:i4>
      </vt:variant>
      <vt:variant>
        <vt:i4>104</vt:i4>
      </vt:variant>
      <vt:variant>
        <vt:i4>0</vt:i4>
      </vt:variant>
      <vt:variant>
        <vt:i4>5</vt:i4>
      </vt:variant>
      <vt:variant>
        <vt:lpwstr/>
      </vt:variant>
      <vt:variant>
        <vt:lpwstr>_Toc438115748</vt:lpwstr>
      </vt:variant>
      <vt:variant>
        <vt:i4>1310778</vt:i4>
      </vt:variant>
      <vt:variant>
        <vt:i4>98</vt:i4>
      </vt:variant>
      <vt:variant>
        <vt:i4>0</vt:i4>
      </vt:variant>
      <vt:variant>
        <vt:i4>5</vt:i4>
      </vt:variant>
      <vt:variant>
        <vt:lpwstr/>
      </vt:variant>
      <vt:variant>
        <vt:lpwstr>_Toc438115747</vt:lpwstr>
      </vt:variant>
      <vt:variant>
        <vt:i4>1310778</vt:i4>
      </vt:variant>
      <vt:variant>
        <vt:i4>92</vt:i4>
      </vt:variant>
      <vt:variant>
        <vt:i4>0</vt:i4>
      </vt:variant>
      <vt:variant>
        <vt:i4>5</vt:i4>
      </vt:variant>
      <vt:variant>
        <vt:lpwstr/>
      </vt:variant>
      <vt:variant>
        <vt:lpwstr>_Toc438115746</vt:lpwstr>
      </vt:variant>
      <vt:variant>
        <vt:i4>1310778</vt:i4>
      </vt:variant>
      <vt:variant>
        <vt:i4>86</vt:i4>
      </vt:variant>
      <vt:variant>
        <vt:i4>0</vt:i4>
      </vt:variant>
      <vt:variant>
        <vt:i4>5</vt:i4>
      </vt:variant>
      <vt:variant>
        <vt:lpwstr/>
      </vt:variant>
      <vt:variant>
        <vt:lpwstr>_Toc438115745</vt:lpwstr>
      </vt:variant>
      <vt:variant>
        <vt:i4>1310778</vt:i4>
      </vt:variant>
      <vt:variant>
        <vt:i4>80</vt:i4>
      </vt:variant>
      <vt:variant>
        <vt:i4>0</vt:i4>
      </vt:variant>
      <vt:variant>
        <vt:i4>5</vt:i4>
      </vt:variant>
      <vt:variant>
        <vt:lpwstr/>
      </vt:variant>
      <vt:variant>
        <vt:lpwstr>_Toc438115744</vt:lpwstr>
      </vt:variant>
      <vt:variant>
        <vt:i4>1310778</vt:i4>
      </vt:variant>
      <vt:variant>
        <vt:i4>74</vt:i4>
      </vt:variant>
      <vt:variant>
        <vt:i4>0</vt:i4>
      </vt:variant>
      <vt:variant>
        <vt:i4>5</vt:i4>
      </vt:variant>
      <vt:variant>
        <vt:lpwstr/>
      </vt:variant>
      <vt:variant>
        <vt:lpwstr>_Toc438115743</vt:lpwstr>
      </vt:variant>
      <vt:variant>
        <vt:i4>1310778</vt:i4>
      </vt:variant>
      <vt:variant>
        <vt:i4>68</vt:i4>
      </vt:variant>
      <vt:variant>
        <vt:i4>0</vt:i4>
      </vt:variant>
      <vt:variant>
        <vt:i4>5</vt:i4>
      </vt:variant>
      <vt:variant>
        <vt:lpwstr/>
      </vt:variant>
      <vt:variant>
        <vt:lpwstr>_Toc438115742</vt:lpwstr>
      </vt:variant>
      <vt:variant>
        <vt:i4>1310778</vt:i4>
      </vt:variant>
      <vt:variant>
        <vt:i4>62</vt:i4>
      </vt:variant>
      <vt:variant>
        <vt:i4>0</vt:i4>
      </vt:variant>
      <vt:variant>
        <vt:i4>5</vt:i4>
      </vt:variant>
      <vt:variant>
        <vt:lpwstr/>
      </vt:variant>
      <vt:variant>
        <vt:lpwstr>_Toc438115741</vt:lpwstr>
      </vt:variant>
      <vt:variant>
        <vt:i4>1310778</vt:i4>
      </vt:variant>
      <vt:variant>
        <vt:i4>56</vt:i4>
      </vt:variant>
      <vt:variant>
        <vt:i4>0</vt:i4>
      </vt:variant>
      <vt:variant>
        <vt:i4>5</vt:i4>
      </vt:variant>
      <vt:variant>
        <vt:lpwstr/>
      </vt:variant>
      <vt:variant>
        <vt:lpwstr>_Toc438115740</vt:lpwstr>
      </vt:variant>
      <vt:variant>
        <vt:i4>1245242</vt:i4>
      </vt:variant>
      <vt:variant>
        <vt:i4>50</vt:i4>
      </vt:variant>
      <vt:variant>
        <vt:i4>0</vt:i4>
      </vt:variant>
      <vt:variant>
        <vt:i4>5</vt:i4>
      </vt:variant>
      <vt:variant>
        <vt:lpwstr/>
      </vt:variant>
      <vt:variant>
        <vt:lpwstr>_Toc438115739</vt:lpwstr>
      </vt:variant>
      <vt:variant>
        <vt:i4>1245242</vt:i4>
      </vt:variant>
      <vt:variant>
        <vt:i4>44</vt:i4>
      </vt:variant>
      <vt:variant>
        <vt:i4>0</vt:i4>
      </vt:variant>
      <vt:variant>
        <vt:i4>5</vt:i4>
      </vt:variant>
      <vt:variant>
        <vt:lpwstr/>
      </vt:variant>
      <vt:variant>
        <vt:lpwstr>_Toc438115738</vt:lpwstr>
      </vt:variant>
      <vt:variant>
        <vt:i4>1245242</vt:i4>
      </vt:variant>
      <vt:variant>
        <vt:i4>38</vt:i4>
      </vt:variant>
      <vt:variant>
        <vt:i4>0</vt:i4>
      </vt:variant>
      <vt:variant>
        <vt:i4>5</vt:i4>
      </vt:variant>
      <vt:variant>
        <vt:lpwstr/>
      </vt:variant>
      <vt:variant>
        <vt:lpwstr>_Toc438115737</vt:lpwstr>
      </vt:variant>
      <vt:variant>
        <vt:i4>1245242</vt:i4>
      </vt:variant>
      <vt:variant>
        <vt:i4>32</vt:i4>
      </vt:variant>
      <vt:variant>
        <vt:i4>0</vt:i4>
      </vt:variant>
      <vt:variant>
        <vt:i4>5</vt:i4>
      </vt:variant>
      <vt:variant>
        <vt:lpwstr/>
      </vt:variant>
      <vt:variant>
        <vt:lpwstr>_Toc438115736</vt:lpwstr>
      </vt:variant>
      <vt:variant>
        <vt:i4>1245242</vt:i4>
      </vt:variant>
      <vt:variant>
        <vt:i4>26</vt:i4>
      </vt:variant>
      <vt:variant>
        <vt:i4>0</vt:i4>
      </vt:variant>
      <vt:variant>
        <vt:i4>5</vt:i4>
      </vt:variant>
      <vt:variant>
        <vt:lpwstr/>
      </vt:variant>
      <vt:variant>
        <vt:lpwstr>_Toc438115735</vt:lpwstr>
      </vt:variant>
      <vt:variant>
        <vt:i4>1245242</vt:i4>
      </vt:variant>
      <vt:variant>
        <vt:i4>20</vt:i4>
      </vt:variant>
      <vt:variant>
        <vt:i4>0</vt:i4>
      </vt:variant>
      <vt:variant>
        <vt:i4>5</vt:i4>
      </vt:variant>
      <vt:variant>
        <vt:lpwstr/>
      </vt:variant>
      <vt:variant>
        <vt:lpwstr>_Toc438115734</vt:lpwstr>
      </vt:variant>
      <vt:variant>
        <vt:i4>1245242</vt:i4>
      </vt:variant>
      <vt:variant>
        <vt:i4>14</vt:i4>
      </vt:variant>
      <vt:variant>
        <vt:i4>0</vt:i4>
      </vt:variant>
      <vt:variant>
        <vt:i4>5</vt:i4>
      </vt:variant>
      <vt:variant>
        <vt:lpwstr/>
      </vt:variant>
      <vt:variant>
        <vt:lpwstr>_Toc438115733</vt:lpwstr>
      </vt:variant>
      <vt:variant>
        <vt:i4>1245242</vt:i4>
      </vt:variant>
      <vt:variant>
        <vt:i4>8</vt:i4>
      </vt:variant>
      <vt:variant>
        <vt:i4>0</vt:i4>
      </vt:variant>
      <vt:variant>
        <vt:i4>5</vt:i4>
      </vt:variant>
      <vt:variant>
        <vt:lpwstr/>
      </vt:variant>
      <vt:variant>
        <vt:lpwstr>_Toc438115732</vt:lpwstr>
      </vt:variant>
      <vt:variant>
        <vt:i4>1245242</vt:i4>
      </vt:variant>
      <vt:variant>
        <vt:i4>2</vt:i4>
      </vt:variant>
      <vt:variant>
        <vt:i4>0</vt:i4>
      </vt:variant>
      <vt:variant>
        <vt:i4>5</vt:i4>
      </vt:variant>
      <vt:variant>
        <vt:lpwstr/>
      </vt:variant>
      <vt:variant>
        <vt:lpwstr>_Toc438115731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wgrabski</cp:lastModifiedBy>
  <cp:revision>6</cp:revision>
  <cp:lastPrinted>2015-12-31T07:15:00Z</cp:lastPrinted>
  <dcterms:created xsi:type="dcterms:W3CDTF">2016-01-25T13:59:00Z</dcterms:created>
  <dcterms:modified xsi:type="dcterms:W3CDTF">2016-02-23T09:47:00Z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Urząd Marszałkowski Województwa Dolnośląskiego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