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5" w:rsidRDefault="007D0F93">
      <w:pPr>
        <w:pStyle w:val="Gwka"/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25" cy="1036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73FB5" w:rsidRDefault="007D0F93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Zarząd Województwa Dolnośląskiego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pełniący rolę</w:t>
      </w:r>
    </w:p>
    <w:p w:rsidR="00E73FB5" w:rsidRDefault="007D0F93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Instytucji Zarządzającej </w:t>
      </w:r>
    </w:p>
    <w:p w:rsidR="00E73FB5" w:rsidRDefault="007D0F93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b/>
          <w:color w:val="000000"/>
          <w:sz w:val="28"/>
          <w:szCs w:val="28"/>
        </w:rPr>
        <w:br/>
        <w:t>2014-2020</w:t>
      </w:r>
    </w:p>
    <w:p w:rsidR="00E73FB5" w:rsidRDefault="007D0F93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wniosków o dofinansowanie realizacji projektów</w:t>
      </w:r>
    </w:p>
    <w:p w:rsidR="00E73FB5" w:rsidRDefault="007D0F93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środków Europejskiego Funduszu Rozwoju Regionalnego</w:t>
      </w:r>
    </w:p>
    <w:p w:rsidR="00E73FB5" w:rsidRDefault="007D0F93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ramach Regionalnego Programu Operacyjnego Województwa Dolnośląskiego 2014-2020</w:t>
      </w:r>
    </w:p>
    <w:p w:rsidR="00E73FB5" w:rsidRDefault="00E73FB5">
      <w:pPr>
        <w:spacing w:line="100" w:lineRule="atLeast"/>
        <w:contextualSpacing/>
        <w:jc w:val="center"/>
        <w:rPr>
          <w:b/>
          <w:bCs/>
          <w:sz w:val="24"/>
          <w:szCs w:val="24"/>
        </w:rPr>
      </w:pPr>
    </w:p>
    <w:p w:rsidR="00E73FB5" w:rsidRDefault="00E73FB5">
      <w:pPr>
        <w:spacing w:line="100" w:lineRule="atLeast"/>
      </w:pPr>
    </w:p>
    <w:p w:rsidR="00E73FB5" w:rsidRDefault="007D0F93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 Gospodarka niskoemisyjna</w:t>
      </w:r>
    </w:p>
    <w:p w:rsidR="00E73FB5" w:rsidRDefault="00E73FB5">
      <w:pPr>
        <w:pStyle w:val="Gwka"/>
        <w:spacing w:before="120" w:after="120"/>
        <w:jc w:val="center"/>
        <w:rPr>
          <w:rFonts w:cs="Arial"/>
          <w:sz w:val="32"/>
          <w:szCs w:val="32"/>
        </w:rPr>
      </w:pPr>
    </w:p>
    <w:p w:rsidR="00E73FB5" w:rsidRDefault="00E73FB5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</w:p>
    <w:p w:rsidR="00E73FB5" w:rsidRDefault="007D0F93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Działanie 3.3 Efektywność energetyczna w budynkach użyteczności publicznej i sektorze mieszkaniowym</w:t>
      </w:r>
    </w:p>
    <w:p w:rsidR="00E73FB5" w:rsidRDefault="00E73FB5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73FB5" w:rsidRDefault="007D0F93">
      <w:pPr>
        <w:tabs>
          <w:tab w:val="left" w:pos="2835"/>
        </w:tabs>
        <w:spacing w:line="100" w:lineRule="atLeast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bookmarkEnd w:id="0"/>
      <w:bookmarkEnd w:id="1"/>
      <w:r>
        <w:rPr>
          <w:rFonts w:cs="Arial"/>
          <w:b/>
          <w:sz w:val="32"/>
          <w:szCs w:val="32"/>
        </w:rPr>
        <w:t>Poddziałanie 3.3.3 Efektywność energetyczna w budynkach użyteczności publicznej i sektorze mieszkaniowym</w:t>
      </w:r>
    </w:p>
    <w:p w:rsidR="00E73FB5" w:rsidRDefault="007D0F93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- ZIT AJ</w:t>
      </w:r>
    </w:p>
    <w:p w:rsidR="00E73FB5" w:rsidRDefault="00E73FB5">
      <w:pPr>
        <w:pStyle w:val="Gwka"/>
        <w:spacing w:before="120" w:after="120"/>
        <w:jc w:val="center"/>
      </w:pPr>
    </w:p>
    <w:p w:rsidR="00E73FB5" w:rsidRDefault="00E73FB5">
      <w:pPr>
        <w:pStyle w:val="Gwka"/>
        <w:spacing w:before="120" w:after="120"/>
        <w:jc w:val="center"/>
      </w:pPr>
    </w:p>
    <w:p w:rsidR="00E73FB5" w:rsidRDefault="00E73FB5">
      <w:pPr>
        <w:pStyle w:val="Gwka"/>
        <w:spacing w:before="120" w:after="120"/>
        <w:jc w:val="center"/>
      </w:pPr>
    </w:p>
    <w:p w:rsidR="00E73FB5" w:rsidRDefault="007D0F9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naboru RPDS.03.03.0</w:t>
      </w:r>
      <w:r w:rsidR="00877E3F">
        <w:rPr>
          <w:b/>
          <w:sz w:val="28"/>
          <w:szCs w:val="28"/>
        </w:rPr>
        <w:t>3</w:t>
      </w:r>
      <w:bookmarkStart w:id="2" w:name="_GoBack"/>
      <w:bookmarkEnd w:id="2"/>
      <w:r>
        <w:rPr>
          <w:b/>
          <w:sz w:val="28"/>
          <w:szCs w:val="28"/>
        </w:rPr>
        <w:t>-IZ.00-02-065/16</w:t>
      </w:r>
    </w:p>
    <w:p w:rsidR="00E73FB5" w:rsidRDefault="00E73FB5">
      <w:pPr>
        <w:spacing w:line="100" w:lineRule="atLeast"/>
        <w:jc w:val="center"/>
        <w:rPr>
          <w:b/>
          <w:sz w:val="28"/>
          <w:szCs w:val="28"/>
        </w:rPr>
      </w:pPr>
    </w:p>
    <w:p w:rsidR="00E73FB5" w:rsidRDefault="00E73FB5">
      <w:pPr>
        <w:spacing w:line="100" w:lineRule="atLeast"/>
      </w:pPr>
    </w:p>
    <w:p w:rsidR="00E73FB5" w:rsidRDefault="00E73FB5">
      <w:pPr>
        <w:spacing w:line="100" w:lineRule="atLeast"/>
      </w:pPr>
    </w:p>
    <w:p w:rsidR="00E73FB5" w:rsidRDefault="00E73FB5">
      <w:pPr>
        <w:spacing w:line="1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8"/>
        <w:gridCol w:w="2210"/>
        <w:gridCol w:w="6884"/>
      </w:tblGrid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Nagwek1"/>
              <w:spacing w:before="120" w:after="120"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Informacje ogólne</w:t>
            </w:r>
          </w:p>
          <w:p w:rsidR="00E73FB5" w:rsidRDefault="00E73FB5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Pr="002E6C61" w:rsidRDefault="007D0F93" w:rsidP="002E6C61">
            <w:pPr>
              <w:pStyle w:val="Gwka"/>
              <w:spacing w:before="120" w:after="120"/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Nabór w trybie konkursowym </w:t>
            </w:r>
            <w:r>
              <w:rPr>
                <w:rFonts w:cs="Arial"/>
              </w:rPr>
              <w:t xml:space="preserve">w ramach Regionalnego Programu Operacyjnego Województwa Dolnośląskiego 2014-2020 Osi Priorytetowej 3 Gospodarka niskoemisyjna Działanie 3.3 Efektywność energetyczna w budynkach użyteczności publicznej i sektorze mieszkaniowym, Poddziałanie 3.3.3 Efektywność energetyczna w budynkach użyteczności publicznej i sektorze mieszkaniowym – konkursy </w:t>
            </w:r>
            <w:r w:rsidRPr="007D0F93">
              <w:rPr>
                <w:rFonts w:cs="Arial"/>
              </w:rPr>
              <w:t xml:space="preserve">dla beneficjentów realizujących przedsięwzięcia na terenie </w:t>
            </w:r>
            <w:r>
              <w:rPr>
                <w:rFonts w:cs="Arial"/>
              </w:rPr>
              <w:t>ZIT AJ.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Pełna nazwa i adres 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Instytucją Organizującą Konkurs (IOK) jest: IZ RPO WD (funkcję Instytucji Zarządzającej pełni Zarząd Województwa Dolnośląskiego</w:t>
            </w:r>
            <w:r w:rsidR="0086099C">
              <w:rPr>
                <w:rFonts w:ascii="Calibri" w:hAnsi="Calibri"/>
                <w:szCs w:val="22"/>
              </w:rPr>
              <w:t xml:space="preserve">) </w:t>
            </w:r>
            <w:r w:rsidR="0086099C" w:rsidRPr="001962E0">
              <w:rPr>
                <w:rFonts w:asciiTheme="minorHAnsi" w:hAnsiTheme="minorHAnsi"/>
                <w:szCs w:val="22"/>
              </w:rPr>
              <w:t>oraz Miasto Jelenia Góra, któremu zostało powierzone zarządzanie Zintegrowanymi Inwestycjami Terytorialnymi Aglomeracji Jeleniogórskiej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  <w:p w:rsidR="00E73FB5" w:rsidRDefault="007D0F93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Zadania związane z naborem realizuje Departament Funduszy Europejskich w Urzędzie Marszałkowskim Województwa Dolnośląskiego ul. Mazowiecka 17, 50-412 Wrocław</w:t>
            </w:r>
          </w:p>
          <w:p w:rsidR="00E73FB5" w:rsidRDefault="007D0F93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oraz ZIT AJ, ul. Okrzei 10, 58-500 Jelenia Góra pełniące funkcję Instytucji Pośredniczącej.  </w:t>
            </w:r>
          </w:p>
          <w:p w:rsidR="00E73FB5" w:rsidRDefault="007D0F93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Porozumienie  zawarte pomiędzy IZ RPO WD a Miastem Jelenia Góra 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Przedmiotem konkursu jest typ projektu określony dla działania 3.3 </w:t>
            </w:r>
            <w:r>
              <w:rPr>
                <w:rFonts w:cs="Arial"/>
              </w:rPr>
              <w:t>Efektywność energetyczna w budynkach użyteczności publicznej i sektorze mieszkaniowym</w:t>
            </w:r>
            <w:r>
              <w:rPr>
                <w:color w:val="000000"/>
              </w:rPr>
              <w:t xml:space="preserve"> w osi priorytetowej 3 Gospodarka niskoemisyjna w trybie konkursowym, tj.:</w:t>
            </w:r>
          </w:p>
          <w:p w:rsidR="00E73FB5" w:rsidRDefault="00E73FB5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E73FB5" w:rsidRDefault="007D0F93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>Typ 3.3 A Projekty związane z kompleksową modernizacją energetyczną budynków użyteczności publicznej.</w:t>
            </w:r>
          </w:p>
          <w:p w:rsidR="00E73FB5" w:rsidRDefault="00E73FB5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E73FB5" w:rsidRDefault="007D0F93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 xml:space="preserve">Budynki użyteczności publicznej - zgodnie z definicją ujętą w Rozporządzeniu Ministra Infrastruktury z dnia 12 kwietnia 2002 r. w sprawie warunków technicznych, jakim powinny odpowiadać budynki i ich usytuowanie (Dz. U. z dnia 15 czerwca 2002 r. z </w:t>
            </w:r>
            <w:proofErr w:type="spellStart"/>
            <w:r>
              <w:rPr>
                <w:rFonts w:cs="Arial"/>
                <w:color w:val="00000A"/>
                <w:sz w:val="22"/>
                <w:szCs w:val="22"/>
              </w:rPr>
              <w:t>poźn</w:t>
            </w:r>
            <w:proofErr w:type="spellEnd"/>
            <w:r>
              <w:rPr>
                <w:rFonts w:cs="Arial"/>
                <w:color w:val="00000A"/>
                <w:sz w:val="22"/>
                <w:szCs w:val="22"/>
              </w:rPr>
              <w:t>. zm.). Jeśli budynek zamieszkania zbiorowego spełnia jednocześnie definicję budynku użyteczności publicznej, również może być przedmiotem projektu.</w:t>
            </w:r>
          </w:p>
          <w:p w:rsidR="00E73FB5" w:rsidRDefault="00E73FB5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E73FB5" w:rsidRDefault="007D0F93">
            <w:pPr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Kategorią interwencji dla niniejszego konkursu jest kategoria 013 Renowacja infrastruktury publicznej dla celów efektywności energetycznej, projekty demonstracyjne i środki wsparcia.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dofinansowanie w ramach konkursu mogą ubiegać się następujące typy beneficjentów: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lastRenderedPageBreak/>
              <w:t xml:space="preserve">jednostki samorządu terytorialnego, ich związki i stowarzyszenia;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podmioty publiczne, których właścicielem jest JST lub dla których podmiotem założycielskim jest JST;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organizacyjne JST;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spółdzielnie mieszkaniowe i wspólnoty mieszkaniowe;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towarzystwa budownictwa społecznego;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organizacje pozarządowe;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PGL Lasy Państwowe i jego jednostki organizacyjne; </w:t>
            </w:r>
          </w:p>
          <w:p w:rsidR="00E73FB5" w:rsidRDefault="007D0F93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kościoły, związki wyznaniowe oraz osoby prawne kościołów i związków wyznaniowych.</w:t>
            </w:r>
          </w:p>
          <w:p w:rsidR="00E73FB5" w:rsidRDefault="00E73FB5">
            <w:pPr>
              <w:pStyle w:val="Akapitzlist"/>
              <w:spacing w:before="0"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E73FB5" w:rsidRDefault="007D0F93" w:rsidP="00B81790">
            <w:pPr>
              <w:spacing w:line="100" w:lineRule="atLeast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Do identyfikacji podmiotu publicznego należy stosować definicję zapisaną w ustawie z dnia 19 grudnia 2008 r. o partnerstwie publiczno-prywatnym. Podmioty publiczne mogą realizować projekt w zakresie budynków użyteczności publicznej.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E73FB5" w:rsidRDefault="00E73FB5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</w:pPr>
            <w:r>
              <w:t>Konkurs będzie skierowany do wnioskodawców z obszaru ZIT AJ:</w:t>
            </w:r>
          </w:p>
          <w:p w:rsidR="00E73FB5" w:rsidRDefault="00E73FB5">
            <w:pPr>
              <w:spacing w:after="0" w:line="100" w:lineRule="atLeast"/>
              <w:jc w:val="both"/>
            </w:pPr>
          </w:p>
          <w:p w:rsidR="00E73FB5" w:rsidRDefault="007D0F93">
            <w:pPr>
              <w:spacing w:after="0" w:line="100" w:lineRule="atLeast"/>
              <w:jc w:val="both"/>
              <w:rPr>
                <w:b/>
              </w:rPr>
            </w:pPr>
            <w:r>
              <w:t xml:space="preserve">ogółem alokacja przeznaczona na konkurs wynosi </w:t>
            </w:r>
            <w:r>
              <w:rPr>
                <w:b/>
              </w:rPr>
              <w:t>8 488 241 EUR</w:t>
            </w:r>
            <w:r>
              <w:t xml:space="preserve"> tj. </w:t>
            </w:r>
            <w:r>
              <w:rPr>
                <w:b/>
              </w:rPr>
              <w:t>35 990 141,84</w:t>
            </w:r>
            <w:r>
              <w:t xml:space="preserve"> </w:t>
            </w:r>
            <w:r>
              <w:rPr>
                <w:b/>
              </w:rPr>
              <w:t>PLN</w:t>
            </w:r>
          </w:p>
          <w:p w:rsidR="00E73FB5" w:rsidRDefault="007D0F93">
            <w:pPr>
              <w:spacing w:after="0" w:line="100" w:lineRule="atLeast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Alokacja przeliczona po kursie Europejskiego Banku Centralnego (EBC) obowiązującym w styczniu 2016 r.,  1 EUR = 4,2400 PLN. </w:t>
            </w:r>
          </w:p>
          <w:p w:rsidR="00E73FB5" w:rsidRDefault="00E73FB5">
            <w:pPr>
              <w:spacing w:after="0" w:line="100" w:lineRule="atLeast"/>
              <w:jc w:val="both"/>
              <w:rPr>
                <w:rFonts w:cs="MS Sans Serif"/>
              </w:rPr>
            </w:pPr>
          </w:p>
          <w:p w:rsidR="00E73FB5" w:rsidRDefault="007D0F93">
            <w:pPr>
              <w:spacing w:after="0" w:line="100" w:lineRule="atLeast"/>
              <w:jc w:val="both"/>
            </w:pPr>
            <w:r>
              <w:t>Ze względu na kurs euro limit dostępnych środków może ulec zmianie. Z tego powodu dokładna kwota dofinansowania zostanie określona na etapie wyboru projektów przez Zarząd Województwa Dolnośląskiego.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before="120"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Minimalna </w:t>
            </w:r>
            <w:r w:rsidR="00877DC8">
              <w:rPr>
                <w:color w:val="000000"/>
              </w:rPr>
              <w:t xml:space="preserve">całkowita </w:t>
            </w:r>
            <w:r>
              <w:rPr>
                <w:color w:val="000000"/>
              </w:rPr>
              <w:t>wartość projektu: 50 000 PLN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  <w:rPr>
                <w:rFonts w:cs="Arial"/>
                <w:color w:val="FF0000"/>
              </w:rPr>
            </w:pPr>
            <w:r>
              <w:rPr>
                <w:color w:val="000000"/>
              </w:rPr>
              <w:t>Nie dotyczy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E73FB5" w:rsidRDefault="00E73FB5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</w:pPr>
            <w:r>
              <w:t xml:space="preserve">Maksymalny poziom dofinansowania UE na poziomie projektu wynosi: </w:t>
            </w:r>
          </w:p>
          <w:p w:rsidR="00E73FB5" w:rsidRDefault="007D0F93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85%;</w:t>
            </w:r>
          </w:p>
          <w:p w:rsidR="00E73FB5" w:rsidRDefault="007D0F93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więcej niż 85%;</w:t>
            </w:r>
          </w:p>
          <w:p w:rsidR="00E73FB5" w:rsidRDefault="007D0F93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E73FB5" w:rsidRDefault="007D0F93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85%.</w:t>
            </w:r>
          </w:p>
          <w:p w:rsidR="00E73FB5" w:rsidRDefault="007D0F93">
            <w:pPr>
              <w:spacing w:line="100" w:lineRule="atLeast"/>
              <w:contextualSpacing/>
              <w:jc w:val="both"/>
            </w:pPr>
            <w: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Minimalny wkład własny beneficjenta </w:t>
            </w:r>
            <w:r>
              <w:rPr>
                <w:b/>
                <w:bCs/>
                <w:color w:val="00000A"/>
                <w:sz w:val="22"/>
                <w:szCs w:val="22"/>
              </w:rPr>
              <w:lastRenderedPageBreak/>
              <w:t xml:space="preserve">jako % wydatków kwalifikowalnych: </w:t>
            </w:r>
          </w:p>
          <w:p w:rsidR="00E73FB5" w:rsidRDefault="00E73FB5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jc w:val="both"/>
            </w:pPr>
            <w:r>
              <w:lastRenderedPageBreak/>
              <w:t xml:space="preserve">Minimalny wkład własny beneficjenta na poziomie projektu wynosi: </w:t>
            </w:r>
          </w:p>
          <w:p w:rsidR="00E73FB5" w:rsidRDefault="007D0F93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przypadku projektów nie generujących dochodu oraz nie </w:t>
            </w:r>
            <w:r>
              <w:rPr>
                <w:rFonts w:ascii="Calibri" w:hAnsi="Calibri" w:cs="Calibri"/>
              </w:rPr>
              <w:lastRenderedPageBreak/>
              <w:t>objętych regułami pomocy publicznej – 15%;</w:t>
            </w:r>
          </w:p>
          <w:p w:rsidR="00E73FB5" w:rsidRDefault="007D0F93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E73FB5" w:rsidRDefault="007D0F93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mniej niż 15%;</w:t>
            </w:r>
          </w:p>
          <w:p w:rsidR="00E73FB5" w:rsidRDefault="007D0F93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E73FB5" w:rsidRDefault="00E73FB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before="120" w:after="120" w:line="100" w:lineRule="atLeast"/>
              <w:jc w:val="both"/>
            </w:pPr>
            <w:r>
              <w:t xml:space="preserve">Wnioskodawca wypełnia wniosek o dofinansowanie za pośrednictwem aplikacji Generatora wniosków - dostępny </w:t>
            </w:r>
            <w:r>
              <w:rPr>
                <w:rFonts w:eastAsia="Calibri" w:cs="Arial"/>
              </w:rPr>
              <w:t xml:space="preserve">na stronie </w:t>
            </w:r>
            <w:hyperlink r:id="rId7">
              <w:r>
                <w:rPr>
                  <w:rStyle w:val="czeinternetowe"/>
                  <w:rFonts w:eastAsia="Calibri" w:cs="Times New Roman"/>
                  <w:lang w:eastAsia="pl-PL"/>
                </w:rPr>
                <w:t>http://gwnd.dolnyslask.pl/</w:t>
              </w:r>
            </w:hyperlink>
            <w:r>
              <w:t xml:space="preserve"> i przesyła do IOK w ramach niniejszego konkursu w terminie </w:t>
            </w:r>
          </w:p>
          <w:p w:rsidR="00E73FB5" w:rsidRDefault="00E73FB5">
            <w:pPr>
              <w:spacing w:before="120" w:after="120" w:line="100" w:lineRule="atLeast"/>
              <w:jc w:val="both"/>
            </w:pPr>
          </w:p>
          <w:p w:rsidR="00E73FB5" w:rsidRDefault="007D0F93">
            <w:pPr>
              <w:spacing w:before="120" w:after="120" w:line="1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31 marca 2016 r. do godz. 15.00 dnia 29 kwietnia 2016 r.</w:t>
            </w:r>
          </w:p>
          <w:p w:rsidR="00E73FB5" w:rsidRDefault="00E73FB5">
            <w:pPr>
              <w:spacing w:before="120" w:after="120" w:line="100" w:lineRule="atLeast"/>
              <w:jc w:val="center"/>
              <w:rPr>
                <w:rFonts w:cs="Arial"/>
                <w:u w:val="single"/>
              </w:rPr>
            </w:pPr>
          </w:p>
          <w:p w:rsidR="00E73FB5" w:rsidRDefault="007D0F93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Wnioski należy składać wyłącznie w formie dokumentu elektronicznego za pośrednictwem Generatora. </w:t>
            </w:r>
          </w:p>
          <w:p w:rsidR="00E73FB5" w:rsidRDefault="007D0F93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W przypadku ewentualnych problemów z Generatorem, IZ RPO WD zastrzega sobie możliwość wydłużenia terminu składania wniosków lub złożenia ich w innej formie niż elektroniczna. Decyzję w powyższej kwestii zostanie przedstawiona w formie komunikatu we wszystkich miejscach, gdzie opublikowano ogłoszenie.</w:t>
            </w:r>
          </w:p>
        </w:tc>
      </w:tr>
      <w:tr w:rsidR="00E73FB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FB5" w:rsidRDefault="007D0F93">
            <w:pPr>
              <w:tabs>
                <w:tab w:val="left" w:pos="284"/>
              </w:tabs>
              <w:spacing w:line="100" w:lineRule="atLeast"/>
              <w:jc w:val="both"/>
            </w:pPr>
            <w:r>
              <w:t xml:space="preserve">Wszystkie kwestie dotyczące naboru opisane zostały w Regulaminie, który dostępny jest wraz z załącznikami na stronie internetowej </w:t>
            </w:r>
            <w:hyperlink r:id="rId8">
              <w:r>
                <w:rPr>
                  <w:rStyle w:val="czeinternetowe"/>
                </w:rPr>
                <w:t>www.rpo.dolnyslask.pl</w:t>
              </w:r>
            </w:hyperlink>
            <w:r>
              <w:t xml:space="preserve">, </w:t>
            </w:r>
            <w:r>
              <w:rPr>
                <w:color w:val="00000A"/>
              </w:rPr>
              <w:t xml:space="preserve"> </w:t>
            </w:r>
            <w:hyperlink r:id="rId9">
              <w:r>
                <w:rPr>
                  <w:rStyle w:val="czeinternetowe"/>
                </w:rPr>
                <w:t>www.zitaj.jeleniagora.pl</w:t>
              </w:r>
            </w:hyperlink>
            <w:r>
              <w:t xml:space="preserve"> oraz na portalu Funduszy Europejskich: </w:t>
            </w:r>
            <w:hyperlink r:id="rId10">
              <w:r>
                <w:rPr>
                  <w:rStyle w:val="czeinternetowe"/>
                </w:rPr>
                <w:t>www.funduszeeuropejskie.gov.pl</w:t>
              </w:r>
            </w:hyperlink>
            <w:hyperlink r:id="rId11">
              <w:r>
                <w:t xml:space="preserve">. </w:t>
              </w:r>
            </w:hyperlink>
          </w:p>
        </w:tc>
      </w:tr>
    </w:tbl>
    <w:p w:rsidR="00E73FB5" w:rsidRDefault="00E73FB5">
      <w:pPr>
        <w:pStyle w:val="Default"/>
      </w:pPr>
    </w:p>
    <w:sectPr w:rsidR="00E73FB5">
      <w:pgSz w:w="12240" w:h="15840"/>
      <w:pgMar w:top="851" w:right="1417" w:bottom="1417" w:left="1417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6CA"/>
    <w:multiLevelType w:val="multilevel"/>
    <w:tmpl w:val="B7FCE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456564"/>
    <w:multiLevelType w:val="multilevel"/>
    <w:tmpl w:val="013E0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F05902"/>
    <w:multiLevelType w:val="multilevel"/>
    <w:tmpl w:val="D41A8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C70588"/>
    <w:multiLevelType w:val="multilevel"/>
    <w:tmpl w:val="B48E3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FB5"/>
    <w:rsid w:val="002E6C61"/>
    <w:rsid w:val="007D0F93"/>
    <w:rsid w:val="0086099C"/>
    <w:rsid w:val="00877DC8"/>
    <w:rsid w:val="00877E3F"/>
    <w:rsid w:val="00927772"/>
    <w:rsid w:val="00B81790"/>
    <w:rsid w:val="00E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roid Sans Fallback" w:hAnsi="Calibri" w:cs="Calibri"/>
      <w:lang w:eastAsia="en-US"/>
    </w:rPr>
  </w:style>
  <w:style w:type="paragraph" w:styleId="Nagwek1">
    <w:name w:val="heading 1"/>
    <w:basedOn w:val="Normalny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h2">
    <w:name w:val="h2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Pr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Droid Sans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pPr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Pr>
      <w:rFonts w:ascii="EUAlbertina" w:hAnsi="EUAlbertina"/>
      <w:color w:val="00000A"/>
    </w:rPr>
  </w:style>
  <w:style w:type="paragraph" w:customStyle="1" w:styleId="CM3">
    <w:name w:val="CM3"/>
    <w:basedOn w:val="Default"/>
    <w:rPr>
      <w:rFonts w:ascii="EUAlbertina" w:hAnsi="EUAlbertina"/>
      <w:color w:val="00000A"/>
    </w:rPr>
  </w:style>
  <w:style w:type="paragraph" w:customStyle="1" w:styleId="CM4">
    <w:name w:val="CM4"/>
    <w:basedOn w:val="Default"/>
    <w:rPr>
      <w:rFonts w:ascii="EUAlbertina" w:hAnsi="EUAlbertina"/>
      <w:color w:val="00000A"/>
    </w:rPr>
  </w:style>
  <w:style w:type="paragraph" w:styleId="Tematkomentarza">
    <w:name w:val="annotation subject"/>
    <w:basedOn w:val="Tekstkomentarza"/>
    <w:pPr>
      <w:overflowPunct w:val="0"/>
      <w:spacing w:after="200"/>
      <w:textAlignment w:val="auto"/>
    </w:pPr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wnd.dolnyslas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aj.jelenia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34</cp:revision>
  <cp:lastPrinted>2015-11-04T12:38:00Z</cp:lastPrinted>
  <dcterms:created xsi:type="dcterms:W3CDTF">2015-11-17T09:31:00Z</dcterms:created>
  <dcterms:modified xsi:type="dcterms:W3CDTF">2016-01-26T12:44:00Z</dcterms:modified>
</cp:coreProperties>
</file>