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7EF" w:rsidRDefault="00FD26CA" w:rsidP="007B2B8D">
      <w:pPr>
        <w:pStyle w:val="Gwka"/>
        <w:spacing w:before="120" w:after="120" w:line="240" w:lineRule="auto"/>
        <w:rPr>
          <w:sz w:val="24"/>
          <w:szCs w:val="24"/>
        </w:rPr>
      </w:pPr>
      <w:r>
        <w:rPr>
          <w:sz w:val="24"/>
          <w:szCs w:val="24"/>
        </w:rPr>
        <w:tab/>
      </w:r>
      <w:r>
        <w:rPr>
          <w:noProof/>
          <w:sz w:val="24"/>
          <w:szCs w:val="24"/>
          <w:lang w:eastAsia="pl-PL"/>
        </w:rPr>
        <w:drawing>
          <wp:inline distT="0" distB="0" distL="0" distR="0">
            <wp:extent cx="5760720" cy="994410"/>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8"/>
                    <a:srcRect/>
                    <a:stretch>
                      <a:fillRect/>
                    </a:stretch>
                  </pic:blipFill>
                  <pic:spPr bwMode="auto">
                    <a:xfrm>
                      <a:off x="0" y="0"/>
                      <a:ext cx="5760720" cy="994410"/>
                    </a:xfrm>
                    <a:prstGeom prst="rect">
                      <a:avLst/>
                    </a:prstGeom>
                    <a:noFill/>
                    <a:ln w="9525">
                      <a:noFill/>
                      <a:miter lim="800000"/>
                      <a:headEnd/>
                      <a:tailEnd/>
                    </a:ln>
                  </pic:spPr>
                </pic:pic>
              </a:graphicData>
            </a:graphic>
          </wp:inline>
        </w:drawing>
      </w:r>
      <w:r>
        <w:rPr>
          <w:sz w:val="24"/>
          <w:szCs w:val="24"/>
        </w:rPr>
        <w:tab/>
      </w:r>
    </w:p>
    <w:p w:rsidR="005A17EF" w:rsidRDefault="00FD26CA" w:rsidP="008D5100">
      <w:pPr>
        <w:pStyle w:val="Gwka"/>
        <w:spacing w:before="120" w:line="240" w:lineRule="auto"/>
        <w:ind w:left="4962"/>
        <w:rPr>
          <w:sz w:val="24"/>
          <w:szCs w:val="24"/>
        </w:rPr>
      </w:pPr>
      <w:r>
        <w:rPr>
          <w:sz w:val="24"/>
          <w:szCs w:val="24"/>
        </w:rPr>
        <w:t>Załącznik</w:t>
      </w:r>
      <w:r w:rsidR="008D5100">
        <w:rPr>
          <w:sz w:val="24"/>
          <w:szCs w:val="24"/>
        </w:rPr>
        <w:t xml:space="preserve"> nr 1 </w:t>
      </w:r>
      <w:r>
        <w:rPr>
          <w:sz w:val="24"/>
          <w:szCs w:val="24"/>
        </w:rPr>
        <w:t xml:space="preserve">do Uchwały nr .........................                                                                           </w:t>
      </w:r>
      <w:r>
        <w:rPr>
          <w:sz w:val="24"/>
          <w:szCs w:val="24"/>
        </w:rPr>
        <w:br/>
        <w:t xml:space="preserve">Zarządu Województwa Dolnośląskiego                                               </w:t>
      </w:r>
    </w:p>
    <w:p w:rsidR="005A17EF" w:rsidRDefault="00FD26CA" w:rsidP="008D5100">
      <w:pPr>
        <w:pStyle w:val="Gwka"/>
        <w:spacing w:after="120" w:line="240" w:lineRule="auto"/>
        <w:ind w:left="4962"/>
        <w:rPr>
          <w:sz w:val="24"/>
          <w:szCs w:val="24"/>
        </w:rPr>
      </w:pPr>
      <w:r>
        <w:rPr>
          <w:sz w:val="24"/>
          <w:szCs w:val="24"/>
        </w:rPr>
        <w:t>z dnia ....................................</w:t>
      </w:r>
    </w:p>
    <w:p w:rsidR="005A17EF" w:rsidRDefault="005A17EF" w:rsidP="007B2B8D">
      <w:pPr>
        <w:spacing w:line="240" w:lineRule="auto"/>
      </w:pPr>
    </w:p>
    <w:p w:rsidR="005A17EF" w:rsidRDefault="005A17EF" w:rsidP="007B2B8D">
      <w:pPr>
        <w:spacing w:line="240" w:lineRule="auto"/>
      </w:pPr>
    </w:p>
    <w:p w:rsidR="005A17EF" w:rsidRDefault="005A17EF" w:rsidP="007B2B8D">
      <w:pPr>
        <w:spacing w:line="240" w:lineRule="auto"/>
      </w:pPr>
    </w:p>
    <w:p w:rsidR="005A17EF" w:rsidRDefault="00FD26CA" w:rsidP="007B2B8D">
      <w:pPr>
        <w:pStyle w:val="Gwka"/>
        <w:spacing w:before="120" w:after="120" w:line="240" w:lineRule="auto"/>
        <w:jc w:val="center"/>
        <w:rPr>
          <w:rFonts w:cs="Arial"/>
          <w:b/>
          <w:sz w:val="52"/>
          <w:szCs w:val="52"/>
          <w:u w:val="single"/>
        </w:rPr>
      </w:pPr>
      <w:r>
        <w:rPr>
          <w:rFonts w:cs="Arial"/>
          <w:b/>
          <w:sz w:val="52"/>
          <w:szCs w:val="52"/>
          <w:u w:val="single"/>
        </w:rPr>
        <w:t>Regulamin konkursu</w:t>
      </w:r>
    </w:p>
    <w:p w:rsidR="005A17EF" w:rsidRDefault="005A17EF" w:rsidP="007B2B8D">
      <w:pPr>
        <w:pStyle w:val="Gwka"/>
        <w:spacing w:before="120" w:after="120" w:line="240" w:lineRule="auto"/>
        <w:jc w:val="center"/>
        <w:rPr>
          <w:rFonts w:cs="Arial"/>
          <w:b/>
          <w:sz w:val="24"/>
          <w:szCs w:val="24"/>
        </w:rPr>
      </w:pPr>
    </w:p>
    <w:p w:rsidR="005A17EF" w:rsidRDefault="005A17EF" w:rsidP="007B2B8D">
      <w:pPr>
        <w:pStyle w:val="Gwka"/>
        <w:spacing w:before="120" w:after="120" w:line="240" w:lineRule="auto"/>
        <w:jc w:val="center"/>
        <w:rPr>
          <w:rFonts w:cs="Arial"/>
          <w:b/>
          <w:sz w:val="24"/>
          <w:szCs w:val="24"/>
        </w:rPr>
      </w:pPr>
    </w:p>
    <w:p w:rsidR="005A17EF" w:rsidRDefault="00FD26CA" w:rsidP="007B2B8D">
      <w:pPr>
        <w:pStyle w:val="Gwka"/>
        <w:spacing w:before="120" w:after="120" w:line="240" w:lineRule="auto"/>
        <w:jc w:val="center"/>
        <w:rPr>
          <w:rFonts w:cs="Arial"/>
          <w:b/>
          <w:sz w:val="32"/>
          <w:szCs w:val="32"/>
        </w:rPr>
      </w:pPr>
      <w:r>
        <w:rPr>
          <w:rFonts w:cs="Arial"/>
          <w:b/>
          <w:sz w:val="32"/>
          <w:szCs w:val="32"/>
        </w:rPr>
        <w:t xml:space="preserve">Regionalny Program Operacyjny </w:t>
      </w:r>
      <w:r>
        <w:rPr>
          <w:rFonts w:cs="Arial"/>
          <w:b/>
          <w:sz w:val="32"/>
          <w:szCs w:val="32"/>
        </w:rPr>
        <w:br/>
        <w:t>Województwa Dolnośląskiego 2014-2020</w:t>
      </w:r>
    </w:p>
    <w:p w:rsidR="005A17EF" w:rsidRDefault="005A17EF" w:rsidP="007B2B8D">
      <w:pPr>
        <w:pStyle w:val="Gwka"/>
        <w:spacing w:before="120" w:after="120" w:line="240" w:lineRule="auto"/>
        <w:jc w:val="center"/>
        <w:rPr>
          <w:rFonts w:cs="Arial"/>
          <w:sz w:val="32"/>
          <w:szCs w:val="32"/>
        </w:rPr>
      </w:pPr>
    </w:p>
    <w:p w:rsidR="005A17EF" w:rsidRDefault="00FD26CA" w:rsidP="007B2B8D">
      <w:pPr>
        <w:pStyle w:val="Gwka"/>
        <w:spacing w:before="120" w:after="120" w:line="240" w:lineRule="auto"/>
        <w:jc w:val="center"/>
        <w:rPr>
          <w:rFonts w:cs="Arial"/>
          <w:b/>
          <w:sz w:val="32"/>
          <w:szCs w:val="32"/>
        </w:rPr>
      </w:pPr>
      <w:r>
        <w:rPr>
          <w:rFonts w:cs="Arial"/>
          <w:b/>
          <w:sz w:val="32"/>
          <w:szCs w:val="32"/>
        </w:rPr>
        <w:t>Oś priorytetowa 3 Gospodarka niskoemisyjna</w:t>
      </w:r>
    </w:p>
    <w:p w:rsidR="005A17EF" w:rsidRDefault="005A17EF" w:rsidP="007B2B8D">
      <w:pPr>
        <w:pStyle w:val="Gwka"/>
        <w:spacing w:before="120" w:after="120" w:line="240" w:lineRule="auto"/>
        <w:jc w:val="center"/>
        <w:rPr>
          <w:rFonts w:cs="Arial"/>
          <w:sz w:val="32"/>
          <w:szCs w:val="32"/>
        </w:rPr>
      </w:pPr>
    </w:p>
    <w:p w:rsidR="005A17EF" w:rsidRDefault="005A17EF" w:rsidP="007B2B8D">
      <w:pPr>
        <w:pStyle w:val="Gwka"/>
        <w:spacing w:before="120" w:after="120" w:line="240" w:lineRule="auto"/>
        <w:jc w:val="center"/>
        <w:rPr>
          <w:rFonts w:cs="Arial"/>
          <w:b/>
          <w:sz w:val="32"/>
          <w:szCs w:val="32"/>
        </w:rPr>
      </w:pPr>
    </w:p>
    <w:p w:rsidR="005A17EF" w:rsidRDefault="00FD26CA" w:rsidP="007B2B8D">
      <w:pPr>
        <w:pStyle w:val="Gwka"/>
        <w:spacing w:before="120" w:after="120" w:line="240" w:lineRule="auto"/>
        <w:jc w:val="center"/>
        <w:rPr>
          <w:rFonts w:cs="Arial"/>
          <w:b/>
          <w:sz w:val="32"/>
          <w:szCs w:val="32"/>
          <w:u w:val="single"/>
        </w:rPr>
      </w:pPr>
      <w:r>
        <w:rPr>
          <w:rFonts w:cs="Arial"/>
          <w:b/>
          <w:sz w:val="32"/>
          <w:szCs w:val="32"/>
          <w:u w:val="single"/>
        </w:rPr>
        <w:t xml:space="preserve">Działanie 3.3 </w:t>
      </w:r>
      <w:bookmarkStart w:id="0" w:name="_Toc422949625"/>
      <w:bookmarkStart w:id="1" w:name="_Toc430826812"/>
      <w:r>
        <w:rPr>
          <w:rFonts w:cs="Arial"/>
          <w:b/>
          <w:sz w:val="32"/>
          <w:szCs w:val="32"/>
          <w:u w:val="single"/>
        </w:rPr>
        <w:t>Efektywność energetyczna w budynkach użyteczności publicznej i sektorze mieszkaniowym</w:t>
      </w:r>
    </w:p>
    <w:bookmarkEnd w:id="0"/>
    <w:bookmarkEnd w:id="1"/>
    <w:p w:rsidR="005A17EF" w:rsidRDefault="00FD26CA" w:rsidP="007B2B8D">
      <w:pPr>
        <w:tabs>
          <w:tab w:val="left" w:pos="2835"/>
        </w:tabs>
        <w:spacing w:line="240" w:lineRule="auto"/>
        <w:jc w:val="center"/>
        <w:rPr>
          <w:rFonts w:cs="Arial"/>
          <w:b/>
          <w:sz w:val="32"/>
          <w:szCs w:val="32"/>
        </w:rPr>
      </w:pPr>
      <w:r>
        <w:rPr>
          <w:rFonts w:cs="Arial"/>
          <w:b/>
          <w:sz w:val="32"/>
          <w:szCs w:val="32"/>
        </w:rPr>
        <w:t>Poddziałanie 3.3.1 Efektywność energetyczna w budynkach użyteczności publicznej i sektorze mieszkaniowym – konkursy horyzontalne</w:t>
      </w:r>
    </w:p>
    <w:p w:rsidR="005A17EF" w:rsidRDefault="00FD26CA" w:rsidP="007B2B8D">
      <w:pPr>
        <w:spacing w:line="240" w:lineRule="auto"/>
        <w:jc w:val="center"/>
        <w:rPr>
          <w:b/>
          <w:sz w:val="28"/>
          <w:szCs w:val="28"/>
        </w:rPr>
      </w:pPr>
      <w:r>
        <w:rPr>
          <w:b/>
          <w:sz w:val="28"/>
          <w:szCs w:val="28"/>
        </w:rPr>
        <w:t>Nr naboru RPDS.03.03.01-IZ.00-02-062/16</w:t>
      </w:r>
    </w:p>
    <w:p w:rsidR="005A17EF" w:rsidRDefault="005A17EF" w:rsidP="007B2B8D">
      <w:pPr>
        <w:spacing w:line="240" w:lineRule="auto"/>
      </w:pPr>
    </w:p>
    <w:p w:rsidR="005A17EF" w:rsidRDefault="005A17EF" w:rsidP="007B2B8D">
      <w:pPr>
        <w:spacing w:line="240" w:lineRule="auto"/>
      </w:pPr>
    </w:p>
    <w:p w:rsidR="005A17EF" w:rsidRDefault="005A17EF" w:rsidP="007B2B8D">
      <w:pPr>
        <w:spacing w:line="240" w:lineRule="auto"/>
      </w:pPr>
    </w:p>
    <w:p w:rsidR="005A17EF" w:rsidRDefault="00FD26CA" w:rsidP="007B2B8D">
      <w:pPr>
        <w:spacing w:line="240" w:lineRule="auto"/>
        <w:jc w:val="center"/>
        <w:rPr>
          <w:b/>
          <w:bCs/>
        </w:rPr>
      </w:pPr>
      <w:r>
        <w:rPr>
          <w:sz w:val="28"/>
          <w:szCs w:val="28"/>
        </w:rPr>
        <w:t>Wrocław,      styczeń 2016</w:t>
      </w:r>
      <w:r>
        <w:rPr>
          <w:b/>
          <w:bCs/>
        </w:rPr>
        <w:t xml:space="preserve"> </w:t>
      </w:r>
    </w:p>
    <w:p w:rsidR="005A17EF" w:rsidRDefault="00FD26CA" w:rsidP="007B2B8D">
      <w:pPr>
        <w:spacing w:line="240" w:lineRule="auto"/>
        <w:ind w:left="-142" w:right="1"/>
        <w:rPr>
          <w:b/>
          <w:bCs/>
        </w:rPr>
      </w:pPr>
      <w:r>
        <w:rPr>
          <w:b/>
          <w:bCs/>
        </w:rPr>
        <w:lastRenderedPageBreak/>
        <w:t>Skróty i pojęcia stosowane w Regulaminie i załącznikach:</w:t>
      </w:r>
    </w:p>
    <w:tbl>
      <w:tblPr>
        <w:tblW w:w="0" w:type="auto"/>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00" w:firstRow="0" w:lastRow="0" w:firstColumn="0" w:lastColumn="0" w:noHBand="0" w:noVBand="0"/>
      </w:tblPr>
      <w:tblGrid>
        <w:gridCol w:w="2073"/>
        <w:gridCol w:w="7436"/>
      </w:tblGrid>
      <w:tr w:rsidR="005A17EF">
        <w:trPr>
          <w:trHeight w:val="265"/>
        </w:trPr>
        <w:tc>
          <w:tcPr>
            <w:tcW w:w="209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rPr>
                <w:color w:val="000000"/>
              </w:rPr>
            </w:pPr>
            <w:r>
              <w:rPr>
                <w:color w:val="000000"/>
              </w:rPr>
              <w:t xml:space="preserve">Beneficjent </w:t>
            </w:r>
          </w:p>
        </w:tc>
        <w:tc>
          <w:tcPr>
            <w:tcW w:w="779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jc w:val="both"/>
              <w:rPr>
                <w:color w:val="000000"/>
              </w:rPr>
            </w:pPr>
            <w:r>
              <w:rPr>
                <w:color w:val="000000"/>
              </w:rPr>
              <w:t xml:space="preserve">Należy przez to rozumieć podmiot, o którym mowa w art. 2 pkt. 10 lub art. 63 rozporządzenia ogólnego </w:t>
            </w:r>
          </w:p>
        </w:tc>
      </w:tr>
      <w:tr w:rsidR="005A17EF">
        <w:trPr>
          <w:trHeight w:val="263"/>
        </w:trPr>
        <w:tc>
          <w:tcPr>
            <w:tcW w:w="209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rPr>
                <w:color w:val="000000"/>
              </w:rPr>
            </w:pPr>
            <w:r>
              <w:rPr>
                <w:color w:val="000000"/>
              </w:rPr>
              <w:t>DFE</w:t>
            </w:r>
          </w:p>
        </w:tc>
        <w:tc>
          <w:tcPr>
            <w:tcW w:w="779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jc w:val="both"/>
              <w:rPr>
                <w:color w:val="000000"/>
              </w:rPr>
            </w:pPr>
            <w:r>
              <w:rPr>
                <w:color w:val="000000"/>
              </w:rPr>
              <w:t xml:space="preserve">Departament Funduszy Europejskich Urzędu Marszałkowskiego Województwa Dolnośląskiego </w:t>
            </w:r>
          </w:p>
        </w:tc>
      </w:tr>
      <w:tr w:rsidR="005A17EF">
        <w:trPr>
          <w:trHeight w:val="419"/>
        </w:trPr>
        <w:tc>
          <w:tcPr>
            <w:tcW w:w="209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rPr>
                <w:color w:val="000000"/>
              </w:rPr>
            </w:pPr>
            <w:r>
              <w:rPr>
                <w:color w:val="000000"/>
              </w:rPr>
              <w:t xml:space="preserve">Dyrektywa OOŚ </w:t>
            </w:r>
          </w:p>
        </w:tc>
        <w:tc>
          <w:tcPr>
            <w:tcW w:w="779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jc w:val="both"/>
              <w:rPr>
                <w:color w:val="000000"/>
              </w:rPr>
            </w:pPr>
            <w:r>
              <w:rPr>
                <w:color w:val="000000"/>
              </w:rPr>
              <w:t xml:space="preserve">Dyrektywa Parlamentu Europejskiego i Rady 2011/92/WE z dnia 13 grudnia 2011 r. w sprawie oceny skutków wywieranych przez niektóre przedsięwzięcia publiczne i prywatne na środowisko </w:t>
            </w:r>
          </w:p>
        </w:tc>
      </w:tr>
      <w:tr w:rsidR="005A17EF">
        <w:trPr>
          <w:trHeight w:val="420"/>
        </w:trPr>
        <w:tc>
          <w:tcPr>
            <w:tcW w:w="209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rPr>
                <w:color w:val="000000"/>
              </w:rPr>
            </w:pPr>
            <w:r>
              <w:rPr>
                <w:color w:val="000000"/>
              </w:rPr>
              <w:t xml:space="preserve">Dyrektywa SOOŚ </w:t>
            </w:r>
          </w:p>
        </w:tc>
        <w:tc>
          <w:tcPr>
            <w:tcW w:w="779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jc w:val="both"/>
              <w:rPr>
                <w:color w:val="000000"/>
              </w:rPr>
            </w:pPr>
            <w:r>
              <w:rPr>
                <w:color w:val="000000"/>
              </w:rPr>
              <w:t xml:space="preserve">Dyrektywa Parlamentu Europejskiego i Rady nr 2001/42/WE z dnia 27 czerwca 2001 r. w sprawie oceny wpływu niektórych planów i programów na środowisko </w:t>
            </w:r>
          </w:p>
        </w:tc>
      </w:tr>
      <w:tr w:rsidR="005A17EF">
        <w:trPr>
          <w:trHeight w:val="110"/>
        </w:trPr>
        <w:tc>
          <w:tcPr>
            <w:tcW w:w="209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rPr>
                <w:color w:val="000000"/>
              </w:rPr>
            </w:pPr>
            <w:r>
              <w:rPr>
                <w:color w:val="000000"/>
              </w:rPr>
              <w:t xml:space="preserve">EFRR </w:t>
            </w:r>
          </w:p>
        </w:tc>
        <w:tc>
          <w:tcPr>
            <w:tcW w:w="779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jc w:val="both"/>
              <w:rPr>
                <w:color w:val="000000"/>
              </w:rPr>
            </w:pPr>
            <w:r>
              <w:rPr>
                <w:color w:val="000000"/>
              </w:rPr>
              <w:t xml:space="preserve">Europejski Fundusz Rozwoju Regionalnego </w:t>
            </w:r>
          </w:p>
        </w:tc>
      </w:tr>
      <w:tr w:rsidR="005A17EF">
        <w:trPr>
          <w:trHeight w:val="110"/>
        </w:trPr>
        <w:tc>
          <w:tcPr>
            <w:tcW w:w="209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rPr>
                <w:color w:val="000000"/>
              </w:rPr>
            </w:pPr>
            <w:r>
              <w:rPr>
                <w:color w:val="000000"/>
              </w:rPr>
              <w:t xml:space="preserve">EFS </w:t>
            </w:r>
          </w:p>
        </w:tc>
        <w:tc>
          <w:tcPr>
            <w:tcW w:w="779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jc w:val="both"/>
              <w:rPr>
                <w:color w:val="000000"/>
              </w:rPr>
            </w:pPr>
            <w:r>
              <w:rPr>
                <w:color w:val="000000"/>
              </w:rPr>
              <w:t xml:space="preserve">Europejski Fundusz Społeczny </w:t>
            </w:r>
          </w:p>
        </w:tc>
      </w:tr>
      <w:tr w:rsidR="005A17EF">
        <w:trPr>
          <w:trHeight w:val="1036"/>
        </w:trPr>
        <w:tc>
          <w:tcPr>
            <w:tcW w:w="209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rPr>
                <w:color w:val="000000"/>
              </w:rPr>
            </w:pPr>
            <w:r>
              <w:rPr>
                <w:color w:val="000000"/>
              </w:rPr>
              <w:t xml:space="preserve">EFSI </w:t>
            </w:r>
          </w:p>
        </w:tc>
        <w:tc>
          <w:tcPr>
            <w:tcW w:w="779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jc w:val="both"/>
              <w:rPr>
                <w:color w:val="000000"/>
              </w:rPr>
            </w:pPr>
            <w:r>
              <w:rPr>
                <w:color w:val="000000"/>
              </w:rPr>
              <w:t xml:space="preserve">Europejskie Fundusze Strukturalne i Inwestycyjne - fundusze zapewniające wsparcie w ramach polityki spójności, tj. Europejski Fundusz Rozwoju Regionalnego (EFRR), Europejski Fundusz Społeczny (EFS), Fundusz Spójności, Europejski Fundusz Rolny na rzecz Rozwoju Obszarów Wiejskich (EFRROW) oraz fundusz w sektorze morskim i rybołówstwa, tj. środki finansowane w ramach zarządzania dzielonego Europejskiego Funduszu Morskiego i Rybackiego (EFMR) </w:t>
            </w:r>
          </w:p>
        </w:tc>
      </w:tr>
      <w:tr w:rsidR="005A17EF">
        <w:trPr>
          <w:trHeight w:val="110"/>
        </w:trPr>
        <w:tc>
          <w:tcPr>
            <w:tcW w:w="209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rPr>
                <w:color w:val="000000"/>
              </w:rPr>
            </w:pPr>
            <w:r>
              <w:rPr>
                <w:color w:val="000000"/>
              </w:rPr>
              <w:t xml:space="preserve">IOK </w:t>
            </w:r>
          </w:p>
        </w:tc>
        <w:tc>
          <w:tcPr>
            <w:tcW w:w="779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jc w:val="both"/>
              <w:rPr>
                <w:color w:val="000000"/>
              </w:rPr>
            </w:pPr>
            <w:r>
              <w:rPr>
                <w:color w:val="000000"/>
              </w:rPr>
              <w:t xml:space="preserve">Instytucja Organizująca Konkurs </w:t>
            </w:r>
          </w:p>
        </w:tc>
      </w:tr>
      <w:tr w:rsidR="005A17EF">
        <w:trPr>
          <w:trHeight w:val="573"/>
        </w:trPr>
        <w:tc>
          <w:tcPr>
            <w:tcW w:w="209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rPr>
                <w:color w:val="000000"/>
              </w:rPr>
            </w:pPr>
            <w:r>
              <w:rPr>
                <w:color w:val="000000"/>
              </w:rPr>
              <w:t xml:space="preserve">IP RPO WD 2014-2020 </w:t>
            </w:r>
          </w:p>
        </w:tc>
        <w:tc>
          <w:tcPr>
            <w:tcW w:w="779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jc w:val="both"/>
              <w:rPr>
                <w:color w:val="000000"/>
              </w:rPr>
            </w:pPr>
            <w:r>
              <w:rPr>
                <w:color w:val="000000"/>
              </w:rPr>
              <w:t xml:space="preserve">Instytucja Pośrednicząca w ramach Regionalnego Programu Operacyjnego Województwa  Dolnośląskiego 2014-2020 - w odniesieniu do niniejszego dokumentu pod pojęciem IP rozumie się Związek ZIT </w:t>
            </w:r>
          </w:p>
        </w:tc>
      </w:tr>
      <w:tr w:rsidR="005A17EF">
        <w:trPr>
          <w:trHeight w:val="263"/>
        </w:trPr>
        <w:tc>
          <w:tcPr>
            <w:tcW w:w="209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rPr>
                <w:color w:val="000000"/>
              </w:rPr>
            </w:pPr>
            <w:r>
              <w:rPr>
                <w:color w:val="000000"/>
              </w:rPr>
              <w:t xml:space="preserve">IZ RPO WD 2014-2020/ IZ </w:t>
            </w:r>
          </w:p>
        </w:tc>
        <w:tc>
          <w:tcPr>
            <w:tcW w:w="779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jc w:val="both"/>
              <w:rPr>
                <w:color w:val="000000"/>
              </w:rPr>
            </w:pPr>
            <w:r>
              <w:rPr>
                <w:color w:val="000000"/>
              </w:rPr>
              <w:t xml:space="preserve">Instytucja Zarządzająca Regionalnym Programem Operacyjnym Województwa  Dolnośląskiego 2014-2020 </w:t>
            </w:r>
          </w:p>
        </w:tc>
      </w:tr>
      <w:tr w:rsidR="005A17EF">
        <w:trPr>
          <w:trHeight w:val="110"/>
        </w:trPr>
        <w:tc>
          <w:tcPr>
            <w:tcW w:w="209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rPr>
                <w:color w:val="000000"/>
              </w:rPr>
            </w:pPr>
            <w:r>
              <w:rPr>
                <w:color w:val="000000"/>
              </w:rPr>
              <w:t xml:space="preserve">KE </w:t>
            </w:r>
          </w:p>
        </w:tc>
        <w:tc>
          <w:tcPr>
            <w:tcW w:w="779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jc w:val="both"/>
              <w:rPr>
                <w:color w:val="000000"/>
              </w:rPr>
            </w:pPr>
            <w:r>
              <w:rPr>
                <w:color w:val="000000"/>
              </w:rPr>
              <w:t xml:space="preserve">Komisja Europejska </w:t>
            </w:r>
          </w:p>
        </w:tc>
      </w:tr>
      <w:tr w:rsidR="005A17EF">
        <w:trPr>
          <w:trHeight w:val="265"/>
        </w:trPr>
        <w:tc>
          <w:tcPr>
            <w:tcW w:w="209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rPr>
                <w:color w:val="000000"/>
              </w:rPr>
            </w:pPr>
            <w:r>
              <w:rPr>
                <w:color w:val="000000"/>
              </w:rPr>
              <w:t xml:space="preserve">KM RPO WD 2014-2020 </w:t>
            </w:r>
          </w:p>
        </w:tc>
        <w:tc>
          <w:tcPr>
            <w:tcW w:w="779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jc w:val="both"/>
              <w:rPr>
                <w:color w:val="000000"/>
              </w:rPr>
            </w:pPr>
            <w:r>
              <w:rPr>
                <w:color w:val="000000"/>
              </w:rPr>
              <w:t xml:space="preserve">Komitet Monitorujący Regionalny Program Operacyjny Województwa  Dolnośląskiego  2014-2020 </w:t>
            </w:r>
          </w:p>
        </w:tc>
      </w:tr>
      <w:tr w:rsidR="005A17EF">
        <w:trPr>
          <w:trHeight w:val="110"/>
        </w:trPr>
        <w:tc>
          <w:tcPr>
            <w:tcW w:w="209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rPr>
                <w:color w:val="000000"/>
              </w:rPr>
            </w:pPr>
            <w:r>
              <w:rPr>
                <w:color w:val="000000"/>
              </w:rPr>
              <w:t xml:space="preserve">KOP </w:t>
            </w:r>
          </w:p>
        </w:tc>
        <w:tc>
          <w:tcPr>
            <w:tcW w:w="779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jc w:val="both"/>
              <w:rPr>
                <w:color w:val="000000"/>
              </w:rPr>
            </w:pPr>
            <w:r>
              <w:rPr>
                <w:color w:val="000000"/>
              </w:rPr>
              <w:t xml:space="preserve">Komisja oceny projektów </w:t>
            </w:r>
          </w:p>
        </w:tc>
      </w:tr>
      <w:tr w:rsidR="00314742">
        <w:trPr>
          <w:trHeight w:val="110"/>
        </w:trPr>
        <w:tc>
          <w:tcPr>
            <w:tcW w:w="209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314742" w:rsidRDefault="00314742" w:rsidP="007B2B8D">
            <w:pPr>
              <w:spacing w:after="0" w:line="240" w:lineRule="auto"/>
              <w:rPr>
                <w:color w:val="000000"/>
              </w:rPr>
            </w:pPr>
            <w:r>
              <w:rPr>
                <w:color w:val="000000"/>
              </w:rPr>
              <w:t>Kontrakt Terytorialny</w:t>
            </w:r>
          </w:p>
        </w:tc>
        <w:tc>
          <w:tcPr>
            <w:tcW w:w="779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314742" w:rsidRDefault="001B596F" w:rsidP="007B2B8D">
            <w:pPr>
              <w:spacing w:after="0" w:line="240" w:lineRule="auto"/>
              <w:jc w:val="both"/>
              <w:rPr>
                <w:color w:val="000000"/>
              </w:rPr>
            </w:pPr>
            <w:r>
              <w:rPr>
                <w:color w:val="000000"/>
              </w:rPr>
              <w:t>Kontrakt Terytorialny dla Województwa Dolnośląskiego</w:t>
            </w:r>
            <w:r w:rsidR="00DF5E7C">
              <w:rPr>
                <w:color w:val="000000"/>
              </w:rPr>
              <w:t xml:space="preserve"> – porozumienie zawarte pomiędzy stroną rządową a Województwem Dolnośląskim określające cele i przedsięwzięcia priorytetowe o istotnym znaczeniu dla rozwoju kraju i województwa, co do których strony deklarują współpracę w realizacji RPO WD 2014 – 2020, w tym zasady finansowania programu</w:t>
            </w:r>
          </w:p>
        </w:tc>
      </w:tr>
      <w:tr w:rsidR="005A17EF">
        <w:trPr>
          <w:trHeight w:val="110"/>
        </w:trPr>
        <w:tc>
          <w:tcPr>
            <w:tcW w:w="209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rPr>
                <w:color w:val="000000"/>
              </w:rPr>
            </w:pPr>
            <w:r>
              <w:rPr>
                <w:color w:val="000000"/>
              </w:rPr>
              <w:t xml:space="preserve">LSI 2014-2020 </w:t>
            </w:r>
          </w:p>
        </w:tc>
        <w:tc>
          <w:tcPr>
            <w:tcW w:w="779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jc w:val="both"/>
              <w:rPr>
                <w:color w:val="000000"/>
              </w:rPr>
            </w:pPr>
            <w:r>
              <w:rPr>
                <w:color w:val="000000"/>
              </w:rPr>
              <w:t xml:space="preserve">Lokalny System Informatyczny na lata 2014-2020 </w:t>
            </w:r>
          </w:p>
        </w:tc>
      </w:tr>
      <w:tr w:rsidR="005A17EF">
        <w:trPr>
          <w:trHeight w:val="110"/>
        </w:trPr>
        <w:tc>
          <w:tcPr>
            <w:tcW w:w="209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rPr>
                <w:color w:val="000000"/>
              </w:rPr>
            </w:pPr>
            <w:r>
              <w:rPr>
                <w:color w:val="000000"/>
              </w:rPr>
              <w:t xml:space="preserve">MR </w:t>
            </w:r>
          </w:p>
        </w:tc>
        <w:tc>
          <w:tcPr>
            <w:tcW w:w="779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jc w:val="both"/>
              <w:rPr>
                <w:color w:val="000000"/>
              </w:rPr>
            </w:pPr>
            <w:r>
              <w:rPr>
                <w:color w:val="000000"/>
              </w:rPr>
              <w:t xml:space="preserve">Ministerstwo Rozwoju </w:t>
            </w:r>
          </w:p>
        </w:tc>
      </w:tr>
      <w:tr w:rsidR="005A17EF">
        <w:trPr>
          <w:trHeight w:val="110"/>
        </w:trPr>
        <w:tc>
          <w:tcPr>
            <w:tcW w:w="209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rPr>
                <w:color w:val="000000"/>
              </w:rPr>
            </w:pPr>
            <w:r>
              <w:rPr>
                <w:color w:val="000000"/>
              </w:rPr>
              <w:t xml:space="preserve">MŚP </w:t>
            </w:r>
          </w:p>
        </w:tc>
        <w:tc>
          <w:tcPr>
            <w:tcW w:w="779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jc w:val="both"/>
              <w:rPr>
                <w:color w:val="000000"/>
              </w:rPr>
            </w:pPr>
            <w:r>
              <w:rPr>
                <w:color w:val="000000"/>
              </w:rPr>
              <w:t xml:space="preserve">Mikro- małe i średnie przedsiębiorstwa </w:t>
            </w:r>
          </w:p>
        </w:tc>
      </w:tr>
      <w:tr w:rsidR="005A17EF">
        <w:trPr>
          <w:trHeight w:val="291"/>
        </w:trPr>
        <w:tc>
          <w:tcPr>
            <w:tcW w:w="209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rPr>
                <w:color w:val="000000"/>
              </w:rPr>
            </w:pPr>
            <w:r>
              <w:rPr>
                <w:color w:val="000000"/>
              </w:rPr>
              <w:t xml:space="preserve">OOŚ </w:t>
            </w:r>
          </w:p>
        </w:tc>
        <w:tc>
          <w:tcPr>
            <w:tcW w:w="779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jc w:val="both"/>
              <w:rPr>
                <w:color w:val="000000"/>
              </w:rPr>
            </w:pPr>
            <w:r>
              <w:rPr>
                <w:color w:val="000000"/>
              </w:rPr>
              <w:t xml:space="preserve">Ocena oddziaływania na środowisko </w:t>
            </w:r>
          </w:p>
        </w:tc>
      </w:tr>
      <w:tr w:rsidR="005A17EF">
        <w:trPr>
          <w:trHeight w:val="110"/>
        </w:trPr>
        <w:tc>
          <w:tcPr>
            <w:tcW w:w="209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rPr>
                <w:color w:val="000000"/>
              </w:rPr>
            </w:pPr>
            <w:r>
              <w:rPr>
                <w:color w:val="000000"/>
              </w:rPr>
              <w:t>OSI</w:t>
            </w:r>
          </w:p>
        </w:tc>
        <w:tc>
          <w:tcPr>
            <w:tcW w:w="779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jc w:val="both"/>
              <w:rPr>
                <w:color w:val="000000"/>
              </w:rPr>
            </w:pPr>
            <w:r>
              <w:rPr>
                <w:color w:val="000000"/>
              </w:rPr>
              <w:t>Obszary Strategicznej Interwencji</w:t>
            </w:r>
          </w:p>
        </w:tc>
      </w:tr>
      <w:tr w:rsidR="005A17EF">
        <w:trPr>
          <w:trHeight w:val="110"/>
        </w:trPr>
        <w:tc>
          <w:tcPr>
            <w:tcW w:w="209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rPr>
                <w:color w:val="000000"/>
              </w:rPr>
            </w:pPr>
            <w:r>
              <w:rPr>
                <w:color w:val="000000"/>
              </w:rPr>
              <w:t xml:space="preserve">PPP </w:t>
            </w:r>
          </w:p>
        </w:tc>
        <w:tc>
          <w:tcPr>
            <w:tcW w:w="779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jc w:val="both"/>
              <w:rPr>
                <w:color w:val="000000"/>
              </w:rPr>
            </w:pPr>
            <w:r>
              <w:rPr>
                <w:color w:val="000000"/>
              </w:rPr>
              <w:t xml:space="preserve">Partnerstwo Publiczno-Prywatne </w:t>
            </w:r>
          </w:p>
        </w:tc>
      </w:tr>
      <w:tr w:rsidR="005A17EF">
        <w:trPr>
          <w:trHeight w:val="110"/>
        </w:trPr>
        <w:tc>
          <w:tcPr>
            <w:tcW w:w="209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rPr>
                <w:color w:val="000000"/>
              </w:rPr>
            </w:pPr>
            <w:r>
              <w:rPr>
                <w:color w:val="000000"/>
              </w:rPr>
              <w:t xml:space="preserve">PZP </w:t>
            </w:r>
          </w:p>
        </w:tc>
        <w:tc>
          <w:tcPr>
            <w:tcW w:w="779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jc w:val="both"/>
              <w:rPr>
                <w:color w:val="000000"/>
              </w:rPr>
            </w:pPr>
            <w:r>
              <w:rPr>
                <w:color w:val="000000"/>
              </w:rPr>
              <w:t xml:space="preserve">Prawo Zamówień Publicznych </w:t>
            </w:r>
          </w:p>
        </w:tc>
      </w:tr>
      <w:tr w:rsidR="005A17EF">
        <w:trPr>
          <w:trHeight w:val="110"/>
        </w:trPr>
        <w:tc>
          <w:tcPr>
            <w:tcW w:w="209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rPr>
                <w:color w:val="000000"/>
              </w:rPr>
            </w:pPr>
            <w:r>
              <w:rPr>
                <w:color w:val="000000"/>
              </w:rPr>
              <w:t>ESCO</w:t>
            </w:r>
          </w:p>
        </w:tc>
        <w:tc>
          <w:tcPr>
            <w:tcW w:w="779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jc w:val="both"/>
              <w:rPr>
                <w:color w:val="000000"/>
              </w:rPr>
            </w:pPr>
            <w:r>
              <w:rPr>
                <w:color w:val="000000"/>
              </w:rPr>
              <w:t>Energy Service Company – przedsiębiorstwo usług energetycznych, przedsiębiorstwo świadczące usługi energetyczne lub dostarczające innych środków poprawy efektywności energetycznej na rzecz beneficjenta</w:t>
            </w:r>
          </w:p>
        </w:tc>
      </w:tr>
      <w:tr w:rsidR="005A17EF">
        <w:trPr>
          <w:trHeight w:val="110"/>
        </w:trPr>
        <w:tc>
          <w:tcPr>
            <w:tcW w:w="209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rPr>
                <w:color w:val="000000"/>
              </w:rPr>
            </w:pPr>
            <w:r>
              <w:rPr>
                <w:color w:val="000000"/>
              </w:rPr>
              <w:t xml:space="preserve">RPO WD 2014-2020/Program </w:t>
            </w:r>
          </w:p>
        </w:tc>
        <w:tc>
          <w:tcPr>
            <w:tcW w:w="779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jc w:val="both"/>
            </w:pPr>
            <w:r>
              <w:rPr>
                <w:color w:val="000000"/>
              </w:rPr>
              <w:t xml:space="preserve">Regionalny Program Operacyjny Województwa Dolnośląskiego  2014-2020 </w:t>
            </w:r>
            <w:r>
              <w:t xml:space="preserve">- dokument zatwierdzony przez Komisję Europejską w dniu 18 grudnia 2014 r. </w:t>
            </w:r>
          </w:p>
        </w:tc>
      </w:tr>
      <w:tr w:rsidR="005A17EF">
        <w:trPr>
          <w:trHeight w:val="110"/>
        </w:trPr>
        <w:tc>
          <w:tcPr>
            <w:tcW w:w="209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rPr>
                <w:color w:val="000000"/>
              </w:rPr>
            </w:pPr>
            <w:r>
              <w:rPr>
                <w:color w:val="000000"/>
              </w:rPr>
              <w:t xml:space="preserve">Rozporządzenie ogólne </w:t>
            </w:r>
          </w:p>
        </w:tc>
        <w:tc>
          <w:tcPr>
            <w:tcW w:w="779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jc w:val="both"/>
              <w:rPr>
                <w:color w:val="000000"/>
              </w:rPr>
            </w:pPr>
            <w:r>
              <w:rPr>
                <w:color w:val="000000"/>
              </w:rPr>
              <w:t xml:space="preserve">Rozporządzenie Parlamentu Europejskiego i Rady (UE) nr 1303/2013 z dnia 17 grudnia 2013 r. ustanawiające wspólne przepisy dotyczące Europejskiego Funduszu Rozwoju Regionalnego, Europejskiego Funduszu Społecznego, </w:t>
            </w:r>
            <w:r>
              <w:rPr>
                <w:color w:val="000000"/>
              </w:rPr>
              <w:lastRenderedPageBreak/>
              <w:t xml:space="preserve">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w:t>
            </w:r>
          </w:p>
        </w:tc>
      </w:tr>
      <w:tr w:rsidR="005A17EF">
        <w:trPr>
          <w:trHeight w:val="110"/>
        </w:trPr>
        <w:tc>
          <w:tcPr>
            <w:tcW w:w="209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rPr>
                <w:color w:val="000000"/>
              </w:rPr>
            </w:pPr>
            <w:r>
              <w:rPr>
                <w:color w:val="000000"/>
              </w:rPr>
              <w:lastRenderedPageBreak/>
              <w:t xml:space="preserve">SW </w:t>
            </w:r>
          </w:p>
        </w:tc>
        <w:tc>
          <w:tcPr>
            <w:tcW w:w="779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jc w:val="both"/>
              <w:rPr>
                <w:color w:val="000000"/>
              </w:rPr>
            </w:pPr>
            <w:r>
              <w:rPr>
                <w:color w:val="000000"/>
              </w:rPr>
              <w:t xml:space="preserve">Studium Wykonalności </w:t>
            </w:r>
          </w:p>
        </w:tc>
      </w:tr>
      <w:tr w:rsidR="005A17EF">
        <w:trPr>
          <w:trHeight w:val="110"/>
        </w:trPr>
        <w:tc>
          <w:tcPr>
            <w:tcW w:w="209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rPr>
                <w:color w:val="000000"/>
              </w:rPr>
            </w:pPr>
            <w:r>
              <w:rPr>
                <w:color w:val="000000"/>
              </w:rPr>
              <w:t>SWD</w:t>
            </w:r>
          </w:p>
        </w:tc>
        <w:tc>
          <w:tcPr>
            <w:tcW w:w="779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jc w:val="both"/>
              <w:rPr>
                <w:color w:val="000000"/>
              </w:rPr>
            </w:pPr>
            <w:r>
              <w:rPr>
                <w:color w:val="000000"/>
              </w:rPr>
              <w:t>Samorząd Województwa Dolnośląskiego</w:t>
            </w:r>
          </w:p>
        </w:tc>
      </w:tr>
      <w:tr w:rsidR="005A17EF">
        <w:trPr>
          <w:trHeight w:val="110"/>
        </w:trPr>
        <w:tc>
          <w:tcPr>
            <w:tcW w:w="209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rPr>
                <w:color w:val="000000"/>
              </w:rPr>
            </w:pPr>
            <w:r>
              <w:rPr>
                <w:color w:val="000000"/>
              </w:rPr>
              <w:t xml:space="preserve">SZOOP </w:t>
            </w:r>
          </w:p>
        </w:tc>
        <w:tc>
          <w:tcPr>
            <w:tcW w:w="779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jc w:val="both"/>
              <w:rPr>
                <w:color w:val="000000"/>
              </w:rPr>
            </w:pPr>
            <w:r>
              <w:rPr>
                <w:color w:val="000000"/>
              </w:rPr>
              <w:t xml:space="preserve">Szczegółowy Opis Osi Priorytetowych RPO WD 2014-2020 </w:t>
            </w:r>
          </w:p>
        </w:tc>
      </w:tr>
      <w:tr w:rsidR="005A17EF">
        <w:trPr>
          <w:trHeight w:val="110"/>
        </w:trPr>
        <w:tc>
          <w:tcPr>
            <w:tcW w:w="209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rPr>
                <w:color w:val="000000"/>
              </w:rPr>
            </w:pPr>
            <w:r>
              <w:rPr>
                <w:color w:val="000000"/>
              </w:rPr>
              <w:t xml:space="preserve">TFUE </w:t>
            </w:r>
          </w:p>
        </w:tc>
        <w:tc>
          <w:tcPr>
            <w:tcW w:w="779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jc w:val="both"/>
              <w:rPr>
                <w:color w:val="000000"/>
              </w:rPr>
            </w:pPr>
            <w:r>
              <w:rPr>
                <w:color w:val="000000"/>
              </w:rPr>
              <w:t xml:space="preserve">Traktat o funkcjonowaniu Unii Europejskiej </w:t>
            </w:r>
          </w:p>
        </w:tc>
      </w:tr>
      <w:tr w:rsidR="005A17EF">
        <w:trPr>
          <w:trHeight w:val="110"/>
        </w:trPr>
        <w:tc>
          <w:tcPr>
            <w:tcW w:w="209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rPr>
                <w:color w:val="000000"/>
              </w:rPr>
            </w:pPr>
            <w:r>
              <w:rPr>
                <w:color w:val="000000"/>
              </w:rPr>
              <w:t xml:space="preserve">UE </w:t>
            </w:r>
          </w:p>
        </w:tc>
        <w:tc>
          <w:tcPr>
            <w:tcW w:w="779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jc w:val="both"/>
              <w:rPr>
                <w:color w:val="000000"/>
              </w:rPr>
            </w:pPr>
            <w:r>
              <w:rPr>
                <w:color w:val="000000"/>
              </w:rPr>
              <w:t xml:space="preserve">Unia Europejska </w:t>
            </w:r>
          </w:p>
        </w:tc>
      </w:tr>
      <w:tr w:rsidR="005A17EF">
        <w:trPr>
          <w:trHeight w:val="110"/>
        </w:trPr>
        <w:tc>
          <w:tcPr>
            <w:tcW w:w="209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rPr>
                <w:color w:val="000000"/>
              </w:rPr>
            </w:pPr>
            <w:r>
              <w:rPr>
                <w:color w:val="000000"/>
              </w:rPr>
              <w:t xml:space="preserve">Umowa Partnerstwa </w:t>
            </w:r>
          </w:p>
        </w:tc>
        <w:tc>
          <w:tcPr>
            <w:tcW w:w="779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jc w:val="both"/>
              <w:rPr>
                <w:color w:val="000000"/>
              </w:rPr>
            </w:pPr>
            <w:r>
              <w:rPr>
                <w:color w:val="000000"/>
              </w:rPr>
              <w:t xml:space="preserve">Programowanie perspektywy finansowej 2014-2020 - Umowa Partnerstwa, dokument przyjęty przez Komisję Europejską 23 maja 2014 r. </w:t>
            </w:r>
          </w:p>
        </w:tc>
      </w:tr>
      <w:tr w:rsidR="005A17EF">
        <w:trPr>
          <w:trHeight w:val="110"/>
        </w:trPr>
        <w:tc>
          <w:tcPr>
            <w:tcW w:w="209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rPr>
                <w:color w:val="000000"/>
              </w:rPr>
            </w:pPr>
            <w:r>
              <w:rPr>
                <w:color w:val="000000"/>
              </w:rPr>
              <w:t>UMWD</w:t>
            </w:r>
          </w:p>
        </w:tc>
        <w:tc>
          <w:tcPr>
            <w:tcW w:w="779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jc w:val="both"/>
              <w:rPr>
                <w:color w:val="000000"/>
              </w:rPr>
            </w:pPr>
            <w:r>
              <w:rPr>
                <w:color w:val="000000"/>
              </w:rPr>
              <w:t xml:space="preserve">Urząd Marszałkowski Województwa Dolnośląskiego  </w:t>
            </w:r>
          </w:p>
        </w:tc>
      </w:tr>
      <w:tr w:rsidR="005A17EF">
        <w:trPr>
          <w:trHeight w:val="110"/>
        </w:trPr>
        <w:tc>
          <w:tcPr>
            <w:tcW w:w="209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rPr>
                <w:color w:val="000000"/>
              </w:rPr>
            </w:pPr>
            <w:r>
              <w:rPr>
                <w:color w:val="000000"/>
              </w:rPr>
              <w:t xml:space="preserve">Uooś </w:t>
            </w:r>
          </w:p>
        </w:tc>
        <w:tc>
          <w:tcPr>
            <w:tcW w:w="779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jc w:val="both"/>
              <w:rPr>
                <w:color w:val="000000"/>
              </w:rPr>
            </w:pPr>
            <w:r>
              <w:rPr>
                <w:color w:val="000000"/>
              </w:rPr>
              <w:t xml:space="preserve">Ustawa z dnia 3 października 2008 r. o udostępnianiu informacji o środowisku i jego ochronie, udziale społeczeństwa w ochronie środowiska oraz o ocenach oddziaływania na środowisko </w:t>
            </w:r>
          </w:p>
        </w:tc>
      </w:tr>
      <w:tr w:rsidR="005A17EF">
        <w:trPr>
          <w:trHeight w:val="110"/>
        </w:trPr>
        <w:tc>
          <w:tcPr>
            <w:tcW w:w="209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rPr>
                <w:color w:val="000000"/>
              </w:rPr>
            </w:pPr>
            <w:r>
              <w:rPr>
                <w:color w:val="000000"/>
              </w:rPr>
              <w:t xml:space="preserve">Ustawa wdrożeniowa </w:t>
            </w:r>
          </w:p>
        </w:tc>
        <w:tc>
          <w:tcPr>
            <w:tcW w:w="779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jc w:val="both"/>
              <w:rPr>
                <w:color w:val="000000"/>
              </w:rPr>
            </w:pPr>
            <w:r>
              <w:rPr>
                <w:color w:val="000000"/>
              </w:rPr>
              <w:t xml:space="preserve">Ustawa z dnia 11 lipca 2014 r. o zasadach realizacji programów w zakresie polityki spójności finansowanych w perspektywie finansowej 2014-2020 (Dz.U. 2014, poz. 1146 z późn. zm.) </w:t>
            </w:r>
          </w:p>
        </w:tc>
      </w:tr>
      <w:tr w:rsidR="005A17EF">
        <w:trPr>
          <w:trHeight w:val="110"/>
        </w:trPr>
        <w:tc>
          <w:tcPr>
            <w:tcW w:w="209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rPr>
                <w:color w:val="000000"/>
              </w:rPr>
            </w:pPr>
            <w:r>
              <w:rPr>
                <w:color w:val="000000"/>
              </w:rPr>
              <w:t xml:space="preserve">WE </w:t>
            </w:r>
          </w:p>
        </w:tc>
        <w:tc>
          <w:tcPr>
            <w:tcW w:w="779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jc w:val="both"/>
              <w:rPr>
                <w:color w:val="000000"/>
              </w:rPr>
            </w:pPr>
            <w:r>
              <w:rPr>
                <w:color w:val="000000"/>
              </w:rPr>
              <w:t xml:space="preserve">Wspólnota Europejska </w:t>
            </w:r>
          </w:p>
        </w:tc>
      </w:tr>
      <w:tr w:rsidR="005A17EF">
        <w:trPr>
          <w:trHeight w:val="110"/>
        </w:trPr>
        <w:tc>
          <w:tcPr>
            <w:tcW w:w="209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rPr>
                <w:color w:val="000000"/>
              </w:rPr>
            </w:pPr>
            <w:r>
              <w:rPr>
                <w:color w:val="000000"/>
              </w:rPr>
              <w:t xml:space="preserve">Wniosek o dofinansowanie projektu/wniosek </w:t>
            </w:r>
          </w:p>
        </w:tc>
        <w:tc>
          <w:tcPr>
            <w:tcW w:w="779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jc w:val="both"/>
              <w:rPr>
                <w:color w:val="000000"/>
              </w:rPr>
            </w:pPr>
            <w:r>
              <w:rPr>
                <w:color w:val="000000"/>
              </w:rPr>
              <w:t xml:space="preserve">Należy przez to rozumieć formularz wniosku o dofinansowanie projektu wraz </w:t>
            </w:r>
            <w:r>
              <w:rPr>
                <w:color w:val="000000"/>
              </w:rPr>
              <w:br/>
              <w:t>z załącznikami. Załączniki stanowią integralną część wniosku o dofinansowanie projektu</w:t>
            </w:r>
          </w:p>
        </w:tc>
      </w:tr>
      <w:tr w:rsidR="005A17EF">
        <w:trPr>
          <w:trHeight w:val="110"/>
        </w:trPr>
        <w:tc>
          <w:tcPr>
            <w:tcW w:w="209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rPr>
                <w:color w:val="000000"/>
              </w:rPr>
            </w:pPr>
            <w:r>
              <w:rPr>
                <w:color w:val="000000"/>
              </w:rPr>
              <w:t xml:space="preserve">Wnioskodawca </w:t>
            </w:r>
          </w:p>
        </w:tc>
        <w:tc>
          <w:tcPr>
            <w:tcW w:w="779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jc w:val="both"/>
              <w:rPr>
                <w:color w:val="000000"/>
              </w:rPr>
            </w:pPr>
            <w:r>
              <w:rPr>
                <w:color w:val="000000"/>
              </w:rPr>
              <w:t>Zgodnie z ustawą wdrożeniową należy przez to rozumieć podmiot, który złożył wniosek o dofinansowanie</w:t>
            </w:r>
          </w:p>
        </w:tc>
      </w:tr>
      <w:tr w:rsidR="005A17EF">
        <w:trPr>
          <w:trHeight w:val="110"/>
        </w:trPr>
        <w:tc>
          <w:tcPr>
            <w:tcW w:w="209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rPr>
                <w:color w:val="000000"/>
              </w:rPr>
            </w:pPr>
            <w:r>
              <w:rPr>
                <w:color w:val="000000"/>
              </w:rPr>
              <w:t>ZWD</w:t>
            </w:r>
          </w:p>
        </w:tc>
        <w:tc>
          <w:tcPr>
            <w:tcW w:w="779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jc w:val="both"/>
              <w:rPr>
                <w:color w:val="000000"/>
              </w:rPr>
            </w:pPr>
            <w:r>
              <w:rPr>
                <w:color w:val="000000"/>
              </w:rPr>
              <w:t>Zarząd Województwa Dolnośląskiego</w:t>
            </w:r>
          </w:p>
        </w:tc>
      </w:tr>
    </w:tbl>
    <w:p w:rsidR="005A17EF" w:rsidRDefault="005A17EF" w:rsidP="007B2B8D">
      <w:pPr>
        <w:spacing w:line="240" w:lineRule="auto"/>
        <w:jc w:val="center"/>
        <w:rPr>
          <w:sz w:val="28"/>
          <w:szCs w:val="28"/>
        </w:rPr>
      </w:pPr>
    </w:p>
    <w:p w:rsidR="005A17EF" w:rsidRDefault="005A17EF" w:rsidP="007B2B8D">
      <w:pPr>
        <w:spacing w:line="240" w:lineRule="auto"/>
        <w:rPr>
          <w:sz w:val="28"/>
          <w:szCs w:val="28"/>
        </w:rPr>
      </w:pP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526"/>
        <w:gridCol w:w="2203"/>
        <w:gridCol w:w="6893"/>
      </w:tblGrid>
      <w:tr w:rsidR="005A17EF" w:rsidTr="00E86DB9">
        <w:tc>
          <w:tcPr>
            <w:tcW w:w="5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FD26CA" w:rsidP="007B2B8D">
            <w:pPr>
              <w:pageBreakBefore/>
              <w:spacing w:after="0" w:line="240" w:lineRule="auto"/>
              <w:rPr>
                <w:b/>
                <w:bCs/>
                <w:color w:val="000000"/>
              </w:rPr>
            </w:pPr>
            <w:r>
              <w:rPr>
                <w:b/>
                <w:bCs/>
                <w:color w:val="000000"/>
              </w:rPr>
              <w:lastRenderedPageBreak/>
              <w:t xml:space="preserve">1. </w:t>
            </w:r>
          </w:p>
        </w:tc>
        <w:tc>
          <w:tcPr>
            <w:tcW w:w="22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FD26CA" w:rsidP="007B2B8D">
            <w:pPr>
              <w:spacing w:after="0" w:line="240" w:lineRule="auto"/>
              <w:rPr>
                <w:b/>
                <w:color w:val="000000"/>
              </w:rPr>
            </w:pPr>
            <w:r>
              <w:rPr>
                <w:b/>
                <w:color w:val="000000"/>
              </w:rPr>
              <w:t>Regulamin konkursu -informacje ogólne</w:t>
            </w:r>
          </w:p>
        </w:tc>
        <w:tc>
          <w:tcPr>
            <w:tcW w:w="68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FD26CA" w:rsidP="007B2B8D">
            <w:pPr>
              <w:pStyle w:val="Akapitzlist"/>
              <w:spacing w:before="120" w:after="120" w:line="240" w:lineRule="auto"/>
              <w:ind w:left="33"/>
              <w:jc w:val="both"/>
              <w:rPr>
                <w:rFonts w:ascii="Calibri" w:hAnsi="Calibri" w:cs="Arial"/>
                <w:szCs w:val="22"/>
              </w:rPr>
            </w:pPr>
            <w:r>
              <w:rPr>
                <w:rFonts w:ascii="Calibri" w:hAnsi="Calibri" w:cs="Calibri"/>
                <w:color w:val="000000"/>
              </w:rPr>
              <w:t xml:space="preserve">Regulamin w szczególności określa cel i zakres konkursu, zasady jego organizacji, warunki uczestnictwa, sposób wyboru projektów oraz pozostałe informacje niezbędne podczas przygotowywania wniosków o dofinansowanie realizacji projektu w ramach Regionalnego Programu Operacyjnego Województwa Dolnośląskiego 2014-2020 Osi Priorytetowej 3 Gospodarka niskoemisyjna Działania 3.3 </w:t>
            </w:r>
            <w:r>
              <w:rPr>
                <w:rFonts w:ascii="Calibri" w:hAnsi="Calibri" w:cs="Arial"/>
                <w:szCs w:val="22"/>
              </w:rPr>
              <w:t>Efektywność energetyczna w budynkach użyteczności publicznej i sektorze mieszkaniowym Podd</w:t>
            </w:r>
            <w:r>
              <w:rPr>
                <w:rFonts w:ascii="Calibri" w:hAnsi="Calibri" w:cs="Calibri"/>
                <w:color w:val="000000"/>
              </w:rPr>
              <w:t xml:space="preserve">ziałania 3.3.1 </w:t>
            </w:r>
            <w:r>
              <w:rPr>
                <w:rFonts w:ascii="Calibri" w:hAnsi="Calibri" w:cs="Arial"/>
                <w:szCs w:val="22"/>
              </w:rPr>
              <w:t>Efektywność energetyczna w budynkach użyteczności publicznej i sektorze mieszkaniowym – konkurs horyzontalny.</w:t>
            </w:r>
          </w:p>
          <w:p w:rsidR="005A17EF" w:rsidRDefault="00FD26CA" w:rsidP="007B2B8D">
            <w:pPr>
              <w:pStyle w:val="Akapitzlist"/>
              <w:spacing w:before="120" w:after="120" w:line="240" w:lineRule="auto"/>
              <w:ind w:left="33"/>
              <w:jc w:val="both"/>
              <w:rPr>
                <w:rFonts w:ascii="Calibri" w:hAnsi="Calibri" w:cs="Calibri"/>
                <w:b/>
                <w:color w:val="000000"/>
              </w:rPr>
            </w:pPr>
            <w:r>
              <w:rPr>
                <w:rFonts w:ascii="Calibri" w:hAnsi="Calibri" w:cs="Calibri"/>
                <w:b/>
                <w:color w:val="000000"/>
              </w:rPr>
              <w:t>Nabór w trybie konkursowym – horyzontalny.</w:t>
            </w:r>
          </w:p>
          <w:p w:rsidR="005A17EF" w:rsidRPr="00C534A7" w:rsidRDefault="00FD26CA" w:rsidP="00223AA0">
            <w:pPr>
              <w:spacing w:after="0" w:line="240" w:lineRule="auto"/>
              <w:jc w:val="both"/>
              <w:rPr>
                <w:color w:val="auto"/>
              </w:rPr>
            </w:pPr>
            <w:r>
              <w:t>Przez konkurs horyzontalny rozumie się prowadzony w trybie konkursowym nabór wniosków o dofinansowanie ogłaszany na projekty o znacz</w:t>
            </w:r>
            <w:r w:rsidRPr="00C534A7">
              <w:rPr>
                <w:color w:val="auto"/>
              </w:rPr>
              <w:t>eniu/zasięgu wykraczającym poza</w:t>
            </w:r>
            <w:r w:rsidR="000D3AFF" w:rsidRPr="00C534A7">
              <w:rPr>
                <w:color w:val="auto"/>
              </w:rPr>
              <w:t xml:space="preserve"> obszar ZIT lub poza obszar OSI, np.: </w:t>
            </w:r>
          </w:p>
          <w:p w:rsidR="000D3AFF" w:rsidRPr="00C534A7" w:rsidRDefault="000D3AFF" w:rsidP="00223AA0">
            <w:pPr>
              <w:pStyle w:val="Akapitzlist"/>
              <w:numPr>
                <w:ilvl w:val="0"/>
                <w:numId w:val="29"/>
              </w:numPr>
              <w:spacing w:before="0" w:line="240" w:lineRule="auto"/>
              <w:jc w:val="both"/>
              <w:rPr>
                <w:rFonts w:asciiTheme="minorHAnsi" w:hAnsiTheme="minorHAnsi"/>
                <w:color w:val="auto"/>
              </w:rPr>
            </w:pPr>
            <w:r w:rsidRPr="00C534A7">
              <w:rPr>
                <w:rFonts w:asciiTheme="minorHAnsi" w:hAnsiTheme="minorHAnsi"/>
                <w:color w:val="auto"/>
              </w:rPr>
              <w:t>projekty partnerskie z udziałem beneficjentów z obszaru ZIT</w:t>
            </w:r>
            <w:r w:rsidR="00402729" w:rsidRPr="00C534A7">
              <w:rPr>
                <w:rFonts w:asciiTheme="minorHAnsi" w:hAnsiTheme="minorHAnsi"/>
                <w:color w:val="auto"/>
              </w:rPr>
              <w:t>/OSI</w:t>
            </w:r>
            <w:r w:rsidRPr="00C534A7">
              <w:rPr>
                <w:rFonts w:asciiTheme="minorHAnsi" w:hAnsiTheme="minorHAnsi"/>
                <w:color w:val="auto"/>
              </w:rPr>
              <w:t xml:space="preserve"> oraz beneficjentów </w:t>
            </w:r>
            <w:r w:rsidR="00402729" w:rsidRPr="00C534A7">
              <w:rPr>
                <w:rFonts w:asciiTheme="minorHAnsi" w:hAnsiTheme="minorHAnsi"/>
                <w:color w:val="auto"/>
              </w:rPr>
              <w:t>s</w:t>
            </w:r>
            <w:r w:rsidRPr="00C534A7">
              <w:rPr>
                <w:rFonts w:asciiTheme="minorHAnsi" w:hAnsiTheme="minorHAnsi"/>
                <w:color w:val="auto"/>
              </w:rPr>
              <w:t>poza tego obszaru,</w:t>
            </w:r>
          </w:p>
          <w:p w:rsidR="000D3AFF" w:rsidRPr="00C534A7" w:rsidRDefault="000D3AFF" w:rsidP="00223AA0">
            <w:pPr>
              <w:pStyle w:val="Akapitzlist"/>
              <w:numPr>
                <w:ilvl w:val="0"/>
                <w:numId w:val="29"/>
              </w:numPr>
              <w:spacing w:before="0" w:line="240" w:lineRule="auto"/>
              <w:jc w:val="both"/>
              <w:rPr>
                <w:rFonts w:asciiTheme="minorHAnsi" w:hAnsiTheme="minorHAnsi"/>
                <w:color w:val="auto"/>
              </w:rPr>
            </w:pPr>
            <w:r w:rsidRPr="00C534A7">
              <w:rPr>
                <w:rFonts w:asciiTheme="minorHAnsi" w:hAnsiTheme="minorHAnsi"/>
                <w:color w:val="auto"/>
              </w:rPr>
              <w:t>projekty realizowane przez powiat o zasięgu obejmującym cały powiat – w sytuacji gdy w  skład powiatu wchodzą zarówno gminy zlokalizowane na obszarze ZIT</w:t>
            </w:r>
            <w:r w:rsidR="00FF21D9" w:rsidRPr="00C534A7">
              <w:rPr>
                <w:rFonts w:asciiTheme="minorHAnsi" w:hAnsiTheme="minorHAnsi"/>
                <w:color w:val="auto"/>
              </w:rPr>
              <w:t>/OSI</w:t>
            </w:r>
            <w:r w:rsidRPr="00C534A7">
              <w:rPr>
                <w:rFonts w:asciiTheme="minorHAnsi" w:hAnsiTheme="minorHAnsi"/>
                <w:color w:val="auto"/>
              </w:rPr>
              <w:t>, jak i poza obszarem ZIT</w:t>
            </w:r>
            <w:r w:rsidR="00FF21D9" w:rsidRPr="00C534A7">
              <w:rPr>
                <w:rFonts w:asciiTheme="minorHAnsi" w:hAnsiTheme="minorHAnsi"/>
                <w:color w:val="auto"/>
              </w:rPr>
              <w:t>/OSI</w:t>
            </w:r>
            <w:r w:rsidRPr="00C534A7">
              <w:rPr>
                <w:rFonts w:asciiTheme="minorHAnsi" w:hAnsiTheme="minorHAnsi"/>
                <w:color w:val="auto"/>
              </w:rPr>
              <w:t>,</w:t>
            </w:r>
          </w:p>
          <w:p w:rsidR="000D3AFF" w:rsidRPr="00C534A7" w:rsidRDefault="000D3AFF" w:rsidP="00223AA0">
            <w:pPr>
              <w:pStyle w:val="Akapitzlist"/>
              <w:numPr>
                <w:ilvl w:val="0"/>
                <w:numId w:val="29"/>
              </w:numPr>
              <w:spacing w:before="0" w:line="240" w:lineRule="auto"/>
              <w:jc w:val="both"/>
              <w:rPr>
                <w:rFonts w:asciiTheme="minorHAnsi" w:hAnsiTheme="minorHAnsi"/>
                <w:color w:val="auto"/>
              </w:rPr>
            </w:pPr>
            <w:r w:rsidRPr="00C534A7">
              <w:rPr>
                <w:rFonts w:asciiTheme="minorHAnsi" w:hAnsiTheme="minorHAnsi"/>
                <w:color w:val="auto"/>
              </w:rPr>
              <w:t>projekty Wnioskodawców o znaczeniu wyraźnie wykraczającym poza obszar/y ZIT</w:t>
            </w:r>
            <w:r w:rsidR="00FF21D9" w:rsidRPr="00C534A7">
              <w:rPr>
                <w:rFonts w:asciiTheme="minorHAnsi" w:hAnsiTheme="minorHAnsi"/>
                <w:color w:val="auto"/>
              </w:rPr>
              <w:t>/OSI</w:t>
            </w:r>
            <w:r w:rsidRPr="00C534A7">
              <w:rPr>
                <w:rFonts w:asciiTheme="minorHAnsi" w:hAnsiTheme="minorHAnsi"/>
                <w:color w:val="auto"/>
              </w:rPr>
              <w:t xml:space="preserve"> np. proj</w:t>
            </w:r>
            <w:r w:rsidR="007B2B8D" w:rsidRPr="00C534A7">
              <w:rPr>
                <w:rFonts w:asciiTheme="minorHAnsi" w:hAnsiTheme="minorHAnsi"/>
                <w:color w:val="auto"/>
              </w:rPr>
              <w:t>ekty Województwa Dolnośląskiego</w:t>
            </w:r>
            <w:r w:rsidRPr="00C534A7">
              <w:rPr>
                <w:rFonts w:asciiTheme="minorHAnsi" w:hAnsiTheme="minorHAnsi"/>
                <w:color w:val="auto"/>
              </w:rPr>
              <w:t>.</w:t>
            </w:r>
          </w:p>
          <w:p w:rsidR="005A17EF" w:rsidRDefault="00FD26CA" w:rsidP="007B2B8D">
            <w:pPr>
              <w:pStyle w:val="Akapitzlist"/>
              <w:spacing w:before="120" w:after="120" w:line="240" w:lineRule="auto"/>
              <w:ind w:left="33"/>
              <w:jc w:val="both"/>
              <w:rPr>
                <w:rFonts w:ascii="Calibri" w:hAnsi="Calibri" w:cs="Calibri"/>
                <w:color w:val="000000"/>
              </w:rPr>
            </w:pPr>
            <w:r>
              <w:rPr>
                <w:rFonts w:ascii="Calibri" w:hAnsi="Calibri" w:cs="Calibri"/>
                <w:color w:val="000000"/>
              </w:rPr>
              <w:t xml:space="preserve">Regulamin oraz wszystkie niezbędne do złożenia w konkursie dokumenty są dostępne na stronie internetowej RPO WD 2014-2020: </w:t>
            </w:r>
            <w:hyperlink r:id="rId9">
              <w:r>
                <w:rPr>
                  <w:rStyle w:val="czeinternetowe"/>
                  <w:rFonts w:ascii="Calibri" w:hAnsi="Calibri" w:cs="Calibri"/>
                </w:rPr>
                <w:t>www.rpo.dolnyslask.pl</w:t>
              </w:r>
            </w:hyperlink>
            <w:r>
              <w:rPr>
                <w:rFonts w:ascii="Calibri" w:hAnsi="Calibri" w:cs="Calibri"/>
                <w:color w:val="000000"/>
              </w:rPr>
              <w:t xml:space="preserve">  oraz </w:t>
            </w:r>
            <w:hyperlink r:id="rId10">
              <w:r>
                <w:rPr>
                  <w:rStyle w:val="czeinternetowe"/>
                  <w:rFonts w:ascii="Calibri" w:hAnsi="Calibri" w:cs="Calibri"/>
                </w:rPr>
                <w:t>www.funduszeeuropejskie.gov.pl</w:t>
              </w:r>
            </w:hyperlink>
            <w:r>
              <w:rPr>
                <w:rFonts w:ascii="Calibri" w:hAnsi="Calibri" w:cs="Calibri"/>
                <w:color w:val="000000"/>
              </w:rPr>
              <w:t xml:space="preserve">. </w:t>
            </w:r>
          </w:p>
          <w:p w:rsidR="005A17EF" w:rsidRDefault="00FD26CA" w:rsidP="007B2B8D">
            <w:pPr>
              <w:pStyle w:val="Akapitzlist"/>
              <w:spacing w:before="120" w:after="120" w:line="240" w:lineRule="auto"/>
              <w:ind w:left="33"/>
              <w:jc w:val="both"/>
              <w:rPr>
                <w:rFonts w:ascii="Calibri" w:hAnsi="Calibri" w:cs="Calibri"/>
                <w:color w:val="000000"/>
              </w:rPr>
            </w:pPr>
            <w:r>
              <w:rPr>
                <w:rFonts w:ascii="Calibri" w:hAnsi="Calibri" w:cs="Calibri"/>
                <w:color w:val="000000"/>
              </w:rPr>
              <w:t>Przystąpienie do konkursu jest równoznaczne z akceptacją przez Wnioskodawcę postanowień regulaminu.</w:t>
            </w:r>
          </w:p>
          <w:p w:rsidR="005A17EF" w:rsidRDefault="00FD26CA" w:rsidP="007B2B8D">
            <w:pPr>
              <w:pStyle w:val="Akapitzlist"/>
              <w:spacing w:before="120" w:after="120" w:line="240" w:lineRule="auto"/>
              <w:ind w:left="0"/>
              <w:jc w:val="both"/>
              <w:rPr>
                <w:rFonts w:ascii="Calibri" w:hAnsi="Calibri" w:cs="Calibri"/>
                <w:color w:val="000000"/>
              </w:rPr>
            </w:pPr>
            <w:r>
              <w:rPr>
                <w:rFonts w:ascii="Calibri" w:hAnsi="Calibri" w:cs="Calibri"/>
                <w:color w:val="000000"/>
              </w:rPr>
              <w:t>W kwestiach nieuregulowanych niniejszym regulaminem konkursu, zastosowanie mają odpowiednie przepisy prawa polskiego i Unii Europejskiej.</w:t>
            </w:r>
          </w:p>
          <w:p w:rsidR="005A17EF" w:rsidRDefault="00FD26CA" w:rsidP="007B2B8D">
            <w:pPr>
              <w:pStyle w:val="Akapitzlist"/>
              <w:spacing w:before="120" w:after="120" w:line="240" w:lineRule="auto"/>
              <w:ind w:left="33"/>
              <w:jc w:val="both"/>
              <w:rPr>
                <w:rFonts w:ascii="Calibri" w:hAnsi="Calibri" w:cs="Calibri"/>
                <w:color w:val="000000"/>
              </w:rPr>
            </w:pPr>
            <w:r>
              <w:rPr>
                <w:rFonts w:ascii="Calibri" w:hAnsi="Calibri" w:cs="Calibri"/>
                <w:color w:val="000000"/>
              </w:rPr>
              <w:t>Wybór projektów do dofinansowania jest przeprowadzony w sposób przejrzysty, rzetelny i bezstronny. Wnioskodawcom zapewniony jest równy dostęp do informacji o warunkach i sposobie wyboru projektów do dofinansowania oraz równe traktowanie.</w:t>
            </w:r>
          </w:p>
          <w:p w:rsidR="005A17EF" w:rsidRDefault="00FD26CA" w:rsidP="007B2B8D">
            <w:pPr>
              <w:pStyle w:val="Akapitzlist"/>
              <w:spacing w:before="120" w:after="120" w:line="240" w:lineRule="auto"/>
              <w:ind w:left="0"/>
              <w:jc w:val="both"/>
              <w:rPr>
                <w:rFonts w:ascii="Calibri" w:hAnsi="Calibri" w:cs="Calibri"/>
                <w:color w:val="000000"/>
              </w:rPr>
            </w:pPr>
            <w:r>
              <w:rPr>
                <w:rFonts w:ascii="Calibri" w:hAnsi="Calibri" w:cs="Calibri"/>
                <w:color w:val="000000"/>
              </w:rPr>
              <w:t>Wszelkie terminy realizacji określonych czynności wskazane w regulaminie konkursu, jeśli nie wskazano inaczej, wyrażone są w dniach kalendarzowych. Jeżeli koniec terminu przypada na dzień ustawowo wolny od pracy, za ostatni dzień terminu uważa się najbliższy następny dzień roboczy.</w:t>
            </w:r>
          </w:p>
        </w:tc>
      </w:tr>
      <w:tr w:rsidR="005A17EF" w:rsidTr="00E86DB9">
        <w:tc>
          <w:tcPr>
            <w:tcW w:w="5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FD26CA" w:rsidP="007B2B8D">
            <w:pPr>
              <w:spacing w:after="0" w:line="240" w:lineRule="auto"/>
              <w:rPr>
                <w:b/>
                <w:bCs/>
                <w:color w:val="000000"/>
              </w:rPr>
            </w:pPr>
            <w:r>
              <w:rPr>
                <w:b/>
                <w:bCs/>
                <w:color w:val="000000"/>
              </w:rPr>
              <w:t>2.</w:t>
            </w:r>
          </w:p>
        </w:tc>
        <w:tc>
          <w:tcPr>
            <w:tcW w:w="22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FD26CA" w:rsidP="007B2B8D">
            <w:pPr>
              <w:spacing w:after="0" w:line="240" w:lineRule="auto"/>
              <w:rPr>
                <w:b/>
                <w:bCs/>
                <w:color w:val="000000"/>
              </w:rPr>
            </w:pPr>
            <w:r>
              <w:rPr>
                <w:b/>
                <w:bCs/>
                <w:color w:val="000000"/>
              </w:rPr>
              <w:t>Pełna nazwa i adres właściwej Instytucji Organizującej Konkurs:</w:t>
            </w:r>
          </w:p>
        </w:tc>
        <w:tc>
          <w:tcPr>
            <w:tcW w:w="68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FD26CA" w:rsidP="007B2B8D">
            <w:pPr>
              <w:pStyle w:val="Akapitzlist"/>
              <w:spacing w:before="120" w:after="120" w:line="240" w:lineRule="auto"/>
              <w:ind w:left="0"/>
              <w:jc w:val="both"/>
              <w:rPr>
                <w:rFonts w:ascii="Calibri" w:hAnsi="Calibri"/>
                <w:szCs w:val="22"/>
              </w:rPr>
            </w:pPr>
            <w:r>
              <w:rPr>
                <w:rFonts w:ascii="Calibri" w:hAnsi="Calibri"/>
                <w:szCs w:val="22"/>
              </w:rPr>
              <w:t xml:space="preserve">Instytucją Organizującą Konkurs (IOK) jest: IZ RPO WD (funkcję Instytucji Zarządzającej pełni Zarząd Województwa Dolnośląskiego. </w:t>
            </w:r>
          </w:p>
          <w:p w:rsidR="005A17EF" w:rsidRDefault="00FD26CA" w:rsidP="007B2B8D">
            <w:pPr>
              <w:pStyle w:val="Akapitzlist"/>
              <w:spacing w:before="120" w:after="120" w:line="240" w:lineRule="auto"/>
              <w:ind w:left="0"/>
              <w:jc w:val="both"/>
              <w:rPr>
                <w:rFonts w:ascii="Calibri" w:hAnsi="Calibri"/>
                <w:szCs w:val="22"/>
              </w:rPr>
            </w:pPr>
            <w:r>
              <w:rPr>
                <w:rFonts w:ascii="Calibri" w:hAnsi="Calibri"/>
                <w:szCs w:val="22"/>
              </w:rPr>
              <w:t xml:space="preserve">Zadania związane z naborem realizuje Departament Funduszy Europejskich w Urzędzie Marszałkowskim Województwa Dolnośląskiego ul. Mazowiecka 17, 50-412 Wrocław. </w:t>
            </w:r>
          </w:p>
        </w:tc>
      </w:tr>
      <w:tr w:rsidR="005A17EF" w:rsidTr="00E86DB9">
        <w:tc>
          <w:tcPr>
            <w:tcW w:w="5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FD26CA" w:rsidP="007B2B8D">
            <w:pPr>
              <w:spacing w:after="0" w:line="240" w:lineRule="auto"/>
              <w:rPr>
                <w:b/>
                <w:bCs/>
                <w:color w:val="000000"/>
              </w:rPr>
            </w:pPr>
            <w:r>
              <w:rPr>
                <w:b/>
                <w:bCs/>
                <w:color w:val="000000"/>
              </w:rPr>
              <w:t>3.</w:t>
            </w:r>
          </w:p>
        </w:tc>
        <w:tc>
          <w:tcPr>
            <w:tcW w:w="22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FD26CA" w:rsidP="007B2B8D">
            <w:pPr>
              <w:spacing w:after="0" w:line="240" w:lineRule="auto"/>
              <w:rPr>
                <w:b/>
                <w:bCs/>
                <w:color w:val="000000"/>
              </w:rPr>
            </w:pPr>
            <w:r>
              <w:rPr>
                <w:b/>
                <w:bCs/>
                <w:color w:val="000000"/>
              </w:rPr>
              <w:t xml:space="preserve">Podstawy prawne </w:t>
            </w:r>
            <w:r>
              <w:rPr>
                <w:b/>
                <w:bCs/>
                <w:color w:val="000000"/>
              </w:rPr>
              <w:lastRenderedPageBreak/>
              <w:t>oraz inne ważne dokumenty:</w:t>
            </w:r>
          </w:p>
        </w:tc>
        <w:tc>
          <w:tcPr>
            <w:tcW w:w="68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FD26CA" w:rsidP="007B2B8D">
            <w:pPr>
              <w:pStyle w:val="Akapitzlist"/>
              <w:spacing w:before="120" w:line="240" w:lineRule="auto"/>
              <w:ind w:left="33"/>
              <w:jc w:val="both"/>
              <w:rPr>
                <w:rFonts w:ascii="Calibri" w:hAnsi="Calibri"/>
                <w:szCs w:val="22"/>
              </w:rPr>
            </w:pPr>
            <w:r>
              <w:rPr>
                <w:rFonts w:ascii="Calibri" w:hAnsi="Calibri"/>
                <w:szCs w:val="22"/>
              </w:rPr>
              <w:lastRenderedPageBreak/>
              <w:t xml:space="preserve">Konkurs jest prowadzony przede wszystkim w oparciu o niżej wymienione </w:t>
            </w:r>
            <w:r>
              <w:rPr>
                <w:rFonts w:ascii="Calibri" w:hAnsi="Calibri"/>
                <w:szCs w:val="22"/>
              </w:rPr>
              <w:lastRenderedPageBreak/>
              <w:t>akty prawne, dokumenty programowe:</w:t>
            </w:r>
          </w:p>
          <w:p w:rsidR="005A17EF" w:rsidRDefault="00FD26CA" w:rsidP="007B2B8D">
            <w:pPr>
              <w:pStyle w:val="Akapitzlist"/>
              <w:numPr>
                <w:ilvl w:val="0"/>
                <w:numId w:val="2"/>
              </w:numPr>
              <w:spacing w:before="120" w:after="120" w:line="240" w:lineRule="auto"/>
              <w:jc w:val="both"/>
              <w:rPr>
                <w:rFonts w:ascii="Calibri" w:hAnsi="Calibri"/>
                <w:szCs w:val="22"/>
              </w:rPr>
            </w:pPr>
            <w:r>
              <w:rPr>
                <w:rFonts w:ascii="Calibri" w:hAnsi="Calibri"/>
                <w:szCs w:val="22"/>
              </w:rPr>
              <w:t xml:space="preserve">Traktat o funkcjonowaniu Unii Europejskiej; </w:t>
            </w:r>
          </w:p>
          <w:p w:rsidR="005A17EF" w:rsidRDefault="00FD26CA" w:rsidP="007B2B8D">
            <w:pPr>
              <w:pStyle w:val="Akapitzlist"/>
              <w:numPr>
                <w:ilvl w:val="0"/>
                <w:numId w:val="2"/>
              </w:numPr>
              <w:spacing w:before="120" w:after="120" w:line="240" w:lineRule="auto"/>
              <w:jc w:val="both"/>
              <w:rPr>
                <w:rFonts w:ascii="Calibri" w:hAnsi="Calibri"/>
                <w:szCs w:val="22"/>
              </w:rPr>
            </w:pPr>
            <w:r>
              <w:rPr>
                <w:rFonts w:ascii="Calibri" w:hAnsi="Calibri"/>
                <w:szCs w:val="22"/>
              </w:rPr>
              <w:t>Rozporządzenie ogólne;</w:t>
            </w:r>
          </w:p>
          <w:p w:rsidR="005A17EF" w:rsidRDefault="00FD26CA" w:rsidP="007B2B8D">
            <w:pPr>
              <w:pStyle w:val="Akapitzlist"/>
              <w:numPr>
                <w:ilvl w:val="0"/>
                <w:numId w:val="2"/>
              </w:numPr>
              <w:spacing w:before="120" w:after="120" w:line="240" w:lineRule="auto"/>
              <w:jc w:val="both"/>
              <w:rPr>
                <w:rFonts w:ascii="Calibri" w:hAnsi="Calibri"/>
                <w:szCs w:val="22"/>
              </w:rPr>
            </w:pPr>
            <w:r>
              <w:rPr>
                <w:rFonts w:ascii="Calibri" w:hAnsi="Calibri"/>
                <w:szCs w:val="22"/>
              </w:rPr>
              <w:t>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w:t>
            </w:r>
          </w:p>
          <w:p w:rsidR="005A17EF" w:rsidRDefault="00FD26CA" w:rsidP="007B2B8D">
            <w:pPr>
              <w:pStyle w:val="Akapitzlist"/>
              <w:numPr>
                <w:ilvl w:val="0"/>
                <w:numId w:val="2"/>
              </w:numPr>
              <w:spacing w:before="120" w:after="120" w:line="240" w:lineRule="auto"/>
              <w:jc w:val="both"/>
              <w:rPr>
                <w:rFonts w:ascii="Calibri" w:hAnsi="Calibri"/>
                <w:szCs w:val="22"/>
              </w:rPr>
            </w:pPr>
            <w:r>
              <w:rPr>
                <w:rFonts w:ascii="Calibri" w:hAnsi="Calibri"/>
                <w:szCs w:val="22"/>
              </w:rPr>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w:t>
            </w:r>
          </w:p>
          <w:p w:rsidR="005A17EF" w:rsidRDefault="00FD26CA" w:rsidP="007B2B8D">
            <w:pPr>
              <w:pStyle w:val="Akapitzlist"/>
              <w:numPr>
                <w:ilvl w:val="0"/>
                <w:numId w:val="2"/>
              </w:numPr>
              <w:spacing w:before="120" w:after="120" w:line="240" w:lineRule="auto"/>
              <w:jc w:val="both"/>
              <w:rPr>
                <w:rFonts w:ascii="Calibri" w:hAnsi="Calibri"/>
                <w:szCs w:val="22"/>
              </w:rPr>
            </w:pPr>
            <w:r>
              <w:rPr>
                <w:rFonts w:ascii="Calibri" w:hAnsi="Calibri"/>
                <w:szCs w:val="22"/>
              </w:rPr>
              <w:t>Rozporządzenia Komisji (UE) nr 651/2014 z 17 czerwca 2014 roku uznające niektóre rodzaje pomocy za zgodne z rynkiem wewnętrznym w zastosowaniu art. 107 i 108 Traktatu (Dz. Urz. UE L 187 z 26.06.2014, s. 1);</w:t>
            </w:r>
          </w:p>
          <w:p w:rsidR="005A17EF" w:rsidRDefault="00FD26CA" w:rsidP="007B2B8D">
            <w:pPr>
              <w:pStyle w:val="Akapitzlist"/>
              <w:numPr>
                <w:ilvl w:val="0"/>
                <w:numId w:val="2"/>
              </w:numPr>
              <w:spacing w:before="120" w:after="120" w:line="240" w:lineRule="auto"/>
              <w:jc w:val="both"/>
              <w:rPr>
                <w:rFonts w:ascii="Calibri" w:hAnsi="Calibri"/>
                <w:szCs w:val="22"/>
              </w:rPr>
            </w:pPr>
            <w:r>
              <w:rPr>
                <w:rFonts w:ascii="Calibri" w:hAnsi="Calibri"/>
                <w:szCs w:val="22"/>
              </w:rPr>
              <w:t>Rozporządzenie Komisji (UE) nr 1407/2013 z dnia 18 grudnia 2013 r. w sprawie stosowania art. 107 i 108 Traktatu o funkcjonowaniu Unii Europejskiej do pomocy de minimis;</w:t>
            </w:r>
          </w:p>
          <w:p w:rsidR="005A17EF" w:rsidRDefault="00FD26CA" w:rsidP="007B2B8D">
            <w:pPr>
              <w:pStyle w:val="Akapitzlist"/>
              <w:numPr>
                <w:ilvl w:val="0"/>
                <w:numId w:val="2"/>
              </w:numPr>
              <w:spacing w:before="120" w:after="120" w:line="240" w:lineRule="auto"/>
              <w:jc w:val="both"/>
              <w:rPr>
                <w:rFonts w:ascii="Calibri" w:hAnsi="Calibri"/>
                <w:szCs w:val="22"/>
              </w:rPr>
            </w:pPr>
            <w:r>
              <w:rPr>
                <w:rFonts w:ascii="Calibri" w:hAnsi="Calibri"/>
                <w:szCs w:val="22"/>
              </w:rPr>
              <w:t>Rozporządzenie Komisji (UE) 2015/1185 z dnia 24 kwietnia 2015 r. w sprawie wykonania dyrektywy Parlamentu Europejskiego i Rady 2009/125/WE w odniesieniu do wymogów dotyczących ekoprojektu dla miejscowych ogrzewaczy pomieszczeń na paliwo stałe;</w:t>
            </w:r>
          </w:p>
          <w:p w:rsidR="005A17EF" w:rsidRDefault="00FD26CA" w:rsidP="007B2B8D">
            <w:pPr>
              <w:pStyle w:val="Akapitzlist"/>
              <w:numPr>
                <w:ilvl w:val="0"/>
                <w:numId w:val="2"/>
              </w:numPr>
              <w:spacing w:before="120" w:after="120" w:line="240" w:lineRule="auto"/>
              <w:jc w:val="both"/>
              <w:rPr>
                <w:rFonts w:ascii="Calibri" w:hAnsi="Calibri"/>
                <w:szCs w:val="22"/>
              </w:rPr>
            </w:pPr>
            <w:r>
              <w:rPr>
                <w:rFonts w:ascii="Calibri" w:hAnsi="Calibri"/>
                <w:szCs w:val="22"/>
              </w:rPr>
              <w:t>Rozporządzenie Komisji (UE) 2015/1188 z dnia 28 kwietnia 2015 r. w sprawie wykonania dyrektywy Parlamentu Europejskiego i Rady 2009/125/WE w odniesieniu do wymogów dotyczących ekoprojektu dla miejscowych ogrzewaczy pomieszczeń;</w:t>
            </w:r>
          </w:p>
          <w:p w:rsidR="005A17EF" w:rsidRDefault="00FD26CA" w:rsidP="007B2B8D">
            <w:pPr>
              <w:pStyle w:val="Akapitzlist"/>
              <w:numPr>
                <w:ilvl w:val="0"/>
                <w:numId w:val="2"/>
              </w:numPr>
              <w:spacing w:before="120" w:after="120" w:line="240" w:lineRule="auto"/>
              <w:jc w:val="both"/>
              <w:rPr>
                <w:rFonts w:ascii="Calibri" w:hAnsi="Calibri"/>
                <w:szCs w:val="22"/>
              </w:rPr>
            </w:pPr>
            <w:r>
              <w:rPr>
                <w:rFonts w:ascii="Calibri" w:hAnsi="Calibri"/>
                <w:szCs w:val="22"/>
              </w:rPr>
              <w:t>Rozporządzenie Komisji (UE) 2015/1189 z dnia 28 kwietnia 2015 r. w sprawie wykonania dyrektywy Parlamentu Europejskiego i Rady 2009/125/WE w odniesieniu do wymogów dotyczących ekoprojektu dla kotłów na paliwo stałe;</w:t>
            </w:r>
          </w:p>
          <w:p w:rsidR="005A17EF" w:rsidRDefault="00FD26CA" w:rsidP="007B2B8D">
            <w:pPr>
              <w:pStyle w:val="Akapitzlist"/>
              <w:numPr>
                <w:ilvl w:val="0"/>
                <w:numId w:val="2"/>
              </w:numPr>
              <w:spacing w:before="120" w:after="120" w:line="240" w:lineRule="auto"/>
              <w:jc w:val="both"/>
              <w:rPr>
                <w:rFonts w:ascii="Calibri" w:hAnsi="Calibri"/>
                <w:szCs w:val="22"/>
              </w:rPr>
            </w:pPr>
            <w:r>
              <w:rPr>
                <w:rFonts w:ascii="Calibri" w:hAnsi="Calibri"/>
                <w:szCs w:val="22"/>
              </w:rPr>
              <w:t xml:space="preserve">Wytyczne dotyczące pomocy państwa na ratowanie i restrukturyzację przedsiębiorstw  niefinansowych  znajdujących  </w:t>
            </w:r>
            <w:r>
              <w:rPr>
                <w:rFonts w:ascii="Calibri" w:hAnsi="Calibri"/>
                <w:szCs w:val="22"/>
              </w:rPr>
              <w:lastRenderedPageBreak/>
              <w:t>się  w  trudnej  sytuacji  (Dz.  Urz.  UE  2014  C 249/1);</w:t>
            </w:r>
          </w:p>
          <w:p w:rsidR="005A17EF" w:rsidRDefault="00FD26CA" w:rsidP="007B2B8D">
            <w:pPr>
              <w:pStyle w:val="Akapitzlist"/>
              <w:numPr>
                <w:ilvl w:val="0"/>
                <w:numId w:val="2"/>
              </w:numPr>
              <w:spacing w:before="120" w:after="120" w:line="240" w:lineRule="auto"/>
              <w:jc w:val="both"/>
              <w:rPr>
                <w:rFonts w:ascii="Calibri" w:hAnsi="Calibri"/>
                <w:szCs w:val="22"/>
              </w:rPr>
            </w:pPr>
            <w:r>
              <w:rPr>
                <w:rFonts w:ascii="Calibri" w:hAnsi="Calibri"/>
                <w:szCs w:val="22"/>
              </w:rPr>
              <w:t>Ustawa z dnia 29 stycznia 2004 r. Prawo zamówień publicznych (Dz. U. z 2013 r. poz. 907, z późn. zm.);</w:t>
            </w:r>
          </w:p>
          <w:p w:rsidR="005A17EF" w:rsidRDefault="00FD26CA" w:rsidP="007B2B8D">
            <w:pPr>
              <w:pStyle w:val="Akapitzlist"/>
              <w:numPr>
                <w:ilvl w:val="0"/>
                <w:numId w:val="2"/>
              </w:numPr>
              <w:spacing w:before="120" w:after="120" w:line="240" w:lineRule="auto"/>
              <w:jc w:val="both"/>
              <w:rPr>
                <w:rFonts w:ascii="Calibri" w:hAnsi="Calibri"/>
                <w:szCs w:val="22"/>
              </w:rPr>
            </w:pPr>
            <w:r>
              <w:rPr>
                <w:rFonts w:ascii="Calibri" w:hAnsi="Calibri"/>
                <w:szCs w:val="22"/>
              </w:rPr>
              <w:t>Ustawa z dnia 27 sierpnia 2009 r. o finansach publicznych (Dz. U. z 2013 r. poz. 885, z późn. zm.);</w:t>
            </w:r>
          </w:p>
          <w:p w:rsidR="005A17EF" w:rsidRDefault="00FD26CA" w:rsidP="007B2B8D">
            <w:pPr>
              <w:pStyle w:val="Akapitzlist"/>
              <w:numPr>
                <w:ilvl w:val="0"/>
                <w:numId w:val="2"/>
              </w:numPr>
              <w:spacing w:before="120" w:after="120" w:line="240" w:lineRule="auto"/>
              <w:jc w:val="both"/>
              <w:rPr>
                <w:rFonts w:ascii="Calibri" w:hAnsi="Calibri"/>
                <w:szCs w:val="22"/>
              </w:rPr>
            </w:pPr>
            <w:r>
              <w:rPr>
                <w:rFonts w:ascii="Calibri" w:hAnsi="Calibri"/>
                <w:szCs w:val="22"/>
              </w:rPr>
              <w:t>Ustawa z dnia 29 września 1994 r. o rachunkowości (DZ. U. z 2013r., poz. 330, z późn. zm.);</w:t>
            </w:r>
          </w:p>
          <w:p w:rsidR="005A17EF" w:rsidRDefault="00FD26CA" w:rsidP="007B2B8D">
            <w:pPr>
              <w:pStyle w:val="Akapitzlist"/>
              <w:numPr>
                <w:ilvl w:val="0"/>
                <w:numId w:val="2"/>
              </w:numPr>
              <w:spacing w:before="120" w:after="120" w:line="240" w:lineRule="auto"/>
              <w:jc w:val="both"/>
              <w:rPr>
                <w:rFonts w:ascii="Calibri" w:hAnsi="Calibri"/>
                <w:szCs w:val="22"/>
              </w:rPr>
            </w:pPr>
            <w:r>
              <w:rPr>
                <w:rFonts w:ascii="Calibri" w:hAnsi="Calibri"/>
                <w:szCs w:val="22"/>
              </w:rPr>
              <w:t>Ustawa z dnia 14 czerwca 1960 r. Kodeks postępowania administracyjnego (Dz. U. z 2013 r. poz. 267, z późn. zm.);</w:t>
            </w:r>
          </w:p>
          <w:p w:rsidR="005A17EF" w:rsidRDefault="00FD26CA" w:rsidP="007B2B8D">
            <w:pPr>
              <w:pStyle w:val="Akapitzlist"/>
              <w:numPr>
                <w:ilvl w:val="0"/>
                <w:numId w:val="2"/>
              </w:numPr>
              <w:spacing w:before="120" w:after="120" w:line="240" w:lineRule="auto"/>
              <w:jc w:val="both"/>
              <w:rPr>
                <w:rFonts w:ascii="Calibri" w:hAnsi="Calibri"/>
                <w:szCs w:val="22"/>
              </w:rPr>
            </w:pPr>
            <w:r>
              <w:rPr>
                <w:rFonts w:ascii="Calibri" w:hAnsi="Calibri"/>
                <w:szCs w:val="22"/>
              </w:rPr>
              <w:t>Ustawa z dnia 6 września 2001 r. o dostępie do informacji publicznej (Dz. U. z 2014 r., poz. 782, z późn. zm.);</w:t>
            </w:r>
          </w:p>
          <w:p w:rsidR="005A17EF" w:rsidRDefault="00FD26CA" w:rsidP="007B2B8D">
            <w:pPr>
              <w:pStyle w:val="Akapitzlist"/>
              <w:numPr>
                <w:ilvl w:val="0"/>
                <w:numId w:val="2"/>
              </w:numPr>
              <w:spacing w:before="120" w:after="120" w:line="240" w:lineRule="auto"/>
              <w:jc w:val="both"/>
              <w:rPr>
                <w:rFonts w:ascii="Calibri" w:hAnsi="Calibri"/>
                <w:szCs w:val="22"/>
              </w:rPr>
            </w:pPr>
            <w:r>
              <w:rPr>
                <w:rFonts w:ascii="Calibri" w:hAnsi="Calibri"/>
                <w:szCs w:val="22"/>
              </w:rPr>
              <w:t>Ustawa z dnia 30 sierpnia 2002 r. – Prawo o postępowaniu przed sądami administracyjnymi (Dz. U. z 2012 r. poz. 270, z późn. zm.);</w:t>
            </w:r>
          </w:p>
          <w:p w:rsidR="005A17EF" w:rsidRDefault="00FD26CA" w:rsidP="007B2B8D">
            <w:pPr>
              <w:pStyle w:val="Akapitzlist"/>
              <w:numPr>
                <w:ilvl w:val="0"/>
                <w:numId w:val="2"/>
              </w:numPr>
              <w:spacing w:before="120" w:after="120" w:line="240" w:lineRule="auto"/>
              <w:jc w:val="both"/>
              <w:rPr>
                <w:rFonts w:ascii="Calibri" w:hAnsi="Calibri"/>
                <w:szCs w:val="22"/>
              </w:rPr>
            </w:pPr>
            <w:r>
              <w:rPr>
                <w:rFonts w:ascii="Calibri" w:hAnsi="Calibri"/>
                <w:szCs w:val="22"/>
              </w:rPr>
              <w:t>Ustawa z dnia 11 lipca 2014 r. o zasadach realizacji programów w zakresie polityki spójności finansowanych w perspektywie finansowej 2014–2020 (Dz. U z 2014 r. poz. 1146, z późn. zm.);</w:t>
            </w:r>
          </w:p>
          <w:p w:rsidR="005A17EF" w:rsidRDefault="00FD26CA" w:rsidP="007B2B8D">
            <w:pPr>
              <w:pStyle w:val="Akapitzlist"/>
              <w:numPr>
                <w:ilvl w:val="0"/>
                <w:numId w:val="2"/>
              </w:numPr>
              <w:spacing w:before="120" w:after="120" w:line="240" w:lineRule="auto"/>
              <w:jc w:val="both"/>
              <w:rPr>
                <w:rFonts w:ascii="Calibri" w:hAnsi="Calibri"/>
                <w:szCs w:val="22"/>
              </w:rPr>
            </w:pPr>
            <w:r>
              <w:rPr>
                <w:rFonts w:ascii="Calibri" w:hAnsi="Calibri"/>
                <w:szCs w:val="22"/>
              </w:rPr>
              <w:t>Ustawa z dnia 30 kwietnia 2004 r. o postępowaniu w sprawach dotyczących pomocy publicznej (Dz. U. z 2007 r. Nr 59, poz. 404, z późn. zm.);</w:t>
            </w:r>
          </w:p>
          <w:p w:rsidR="005A17EF" w:rsidRDefault="00FD26CA" w:rsidP="007B2B8D">
            <w:pPr>
              <w:pStyle w:val="Akapitzlist"/>
              <w:numPr>
                <w:ilvl w:val="0"/>
                <w:numId w:val="2"/>
              </w:numPr>
              <w:spacing w:before="120" w:after="120" w:line="240" w:lineRule="auto"/>
              <w:jc w:val="both"/>
              <w:rPr>
                <w:rFonts w:ascii="Calibri" w:hAnsi="Calibri"/>
                <w:szCs w:val="22"/>
              </w:rPr>
            </w:pPr>
            <w:r>
              <w:rPr>
                <w:rFonts w:ascii="Calibri" w:hAnsi="Calibri"/>
                <w:szCs w:val="22"/>
              </w:rPr>
              <w:t>Ustawa z dnia 22 września 2006 r. o przejrzystości stosunków finansowych pomiędzy organami  publicznymi  a  przedsiębiorcami  publicznymi  oraz  przejrzystości  finansowej  niektórych przedsiębiorców  (Dz.  U.  Nr  191,  poz.  1411,  z  późn. zm.);</w:t>
            </w:r>
          </w:p>
          <w:p w:rsidR="005A17EF" w:rsidRDefault="00FD26CA" w:rsidP="007B2B8D">
            <w:pPr>
              <w:pStyle w:val="Akapitzlist"/>
              <w:numPr>
                <w:ilvl w:val="0"/>
                <w:numId w:val="2"/>
              </w:numPr>
              <w:spacing w:before="120" w:after="120" w:line="240" w:lineRule="auto"/>
              <w:jc w:val="both"/>
              <w:rPr>
                <w:rFonts w:ascii="Calibri" w:hAnsi="Calibri"/>
                <w:szCs w:val="22"/>
              </w:rPr>
            </w:pPr>
            <w:r>
              <w:rPr>
                <w:rFonts w:ascii="Calibri" w:hAnsi="Calibri"/>
                <w:szCs w:val="22"/>
              </w:rPr>
              <w:t>Ustawa z dnia 9 stycznia 2009 r. o koncesji na roboty budowlane lub usługi (Dz. U. z 2015 r., poz. 113);</w:t>
            </w:r>
          </w:p>
          <w:p w:rsidR="005A17EF" w:rsidRDefault="00FD26CA" w:rsidP="007B2B8D">
            <w:pPr>
              <w:pStyle w:val="Akapitzlist"/>
              <w:numPr>
                <w:ilvl w:val="0"/>
                <w:numId w:val="2"/>
              </w:numPr>
              <w:spacing w:before="120" w:after="120" w:line="240" w:lineRule="auto"/>
              <w:jc w:val="both"/>
              <w:rPr>
                <w:rFonts w:ascii="Calibri" w:hAnsi="Calibri"/>
                <w:szCs w:val="22"/>
              </w:rPr>
            </w:pPr>
            <w:r>
              <w:rPr>
                <w:rFonts w:ascii="Calibri" w:hAnsi="Calibri"/>
                <w:szCs w:val="22"/>
              </w:rPr>
              <w:t>Ustawa z dnia 16 kwietnia 2004 r. o ochronie przyrody (Dz.U. z 2004 r. nr 92 poz. 880 z późn. zm.);</w:t>
            </w:r>
          </w:p>
          <w:p w:rsidR="006D7C97" w:rsidRDefault="006D7C97" w:rsidP="007B2B8D">
            <w:pPr>
              <w:pStyle w:val="Akapitzlist"/>
              <w:numPr>
                <w:ilvl w:val="0"/>
                <w:numId w:val="2"/>
              </w:numPr>
              <w:spacing w:before="120" w:after="120" w:line="240" w:lineRule="auto"/>
              <w:jc w:val="both"/>
              <w:rPr>
                <w:rFonts w:ascii="Calibri" w:hAnsi="Calibri"/>
                <w:szCs w:val="22"/>
              </w:rPr>
            </w:pPr>
            <w:r w:rsidRPr="006D7C97">
              <w:rPr>
                <w:rFonts w:ascii="Calibri" w:hAnsi="Calibri"/>
                <w:szCs w:val="22"/>
              </w:rPr>
              <w:t>Ustawa z dnia 3 października 2008 r. o udostępnianiu informacji o środowisku i jego ochronie, udziale społeczeństwa w ochronie środowiska oraz o ocenach oddziaływania na środowisko</w:t>
            </w:r>
            <w:r>
              <w:rPr>
                <w:rFonts w:ascii="Calibri" w:hAnsi="Calibri"/>
                <w:szCs w:val="22"/>
              </w:rPr>
              <w:t xml:space="preserve"> (</w:t>
            </w:r>
            <w:r w:rsidRPr="006D7C97">
              <w:rPr>
                <w:rFonts w:ascii="Calibri" w:hAnsi="Calibri"/>
                <w:szCs w:val="22"/>
              </w:rPr>
              <w:t>Dz.U. 2013,poz. 1235 z późn. zm</w:t>
            </w:r>
            <w:r>
              <w:rPr>
                <w:rFonts w:ascii="Calibri" w:hAnsi="Calibri"/>
                <w:szCs w:val="22"/>
              </w:rPr>
              <w:t>);</w:t>
            </w:r>
          </w:p>
          <w:p w:rsidR="005A17EF" w:rsidRDefault="00FD26CA" w:rsidP="007B2B8D">
            <w:pPr>
              <w:pStyle w:val="Akapitzlist"/>
              <w:numPr>
                <w:ilvl w:val="0"/>
                <w:numId w:val="2"/>
              </w:numPr>
              <w:spacing w:before="120" w:after="120" w:line="240" w:lineRule="auto"/>
              <w:jc w:val="both"/>
              <w:rPr>
                <w:rFonts w:ascii="Calibri" w:hAnsi="Calibri"/>
                <w:szCs w:val="22"/>
              </w:rPr>
            </w:pPr>
            <w:r>
              <w:rPr>
                <w:rFonts w:ascii="Calibri" w:hAnsi="Calibri"/>
                <w:szCs w:val="22"/>
              </w:rPr>
              <w:t>Ustawa z dnia 11 marca 2004 r. o podatku od towarów i usług (t.j. Dz. U. z 2011 r. Nr 177, poz. 1054 z późn. zm.);</w:t>
            </w:r>
          </w:p>
          <w:p w:rsidR="005A17EF" w:rsidRDefault="00FD26CA" w:rsidP="007B2B8D">
            <w:pPr>
              <w:pStyle w:val="Akapitzlist"/>
              <w:numPr>
                <w:ilvl w:val="0"/>
                <w:numId w:val="2"/>
              </w:numPr>
              <w:spacing w:before="120" w:after="120" w:line="240" w:lineRule="auto"/>
              <w:jc w:val="both"/>
              <w:rPr>
                <w:rFonts w:ascii="Calibri" w:hAnsi="Calibri"/>
                <w:szCs w:val="22"/>
              </w:rPr>
            </w:pPr>
            <w:r>
              <w:rPr>
                <w:rFonts w:ascii="Calibri" w:hAnsi="Calibri"/>
                <w:szCs w:val="22"/>
              </w:rPr>
              <w:t>Ustawa z dnia 7 lipca 1994 r. prawo budowlane (Dz.U. 1994 Nr 89 poz. 414 z późn. zm.);</w:t>
            </w:r>
          </w:p>
          <w:p w:rsidR="005A17EF" w:rsidRDefault="00FD26CA" w:rsidP="007B2B8D">
            <w:pPr>
              <w:pStyle w:val="Akapitzlist"/>
              <w:numPr>
                <w:ilvl w:val="0"/>
                <w:numId w:val="2"/>
              </w:numPr>
              <w:spacing w:before="120" w:after="120" w:line="240" w:lineRule="auto"/>
              <w:jc w:val="both"/>
              <w:rPr>
                <w:rFonts w:ascii="Calibri" w:hAnsi="Calibri"/>
                <w:szCs w:val="22"/>
              </w:rPr>
            </w:pPr>
            <w:r>
              <w:rPr>
                <w:rFonts w:ascii="Calibri" w:hAnsi="Calibri"/>
                <w:szCs w:val="22"/>
              </w:rPr>
              <w:t>Ustawa z dnia 21 listopada 2008 r. o wspieraniu termomodernizacji i remontów (tj. Dz.U. 2014 poz. 712 z późn. zm.);</w:t>
            </w:r>
          </w:p>
          <w:p w:rsidR="005A17EF" w:rsidRDefault="00FD26CA" w:rsidP="007B2B8D">
            <w:pPr>
              <w:pStyle w:val="Akapitzlist"/>
              <w:numPr>
                <w:ilvl w:val="0"/>
                <w:numId w:val="2"/>
              </w:numPr>
              <w:spacing w:before="120" w:after="120" w:line="240" w:lineRule="auto"/>
              <w:jc w:val="both"/>
              <w:rPr>
                <w:rFonts w:ascii="Calibri" w:hAnsi="Calibri"/>
                <w:szCs w:val="22"/>
              </w:rPr>
            </w:pPr>
            <w:r>
              <w:rPr>
                <w:rFonts w:ascii="Calibri" w:hAnsi="Calibri"/>
                <w:szCs w:val="22"/>
              </w:rPr>
              <w:t>Ustawa z dnia 15 kwietnia 2011 r. o efektywności energetycznej (Dz. U. z 2011 r. Nr 94, poz. 551 z późn. zm.);</w:t>
            </w:r>
          </w:p>
          <w:p w:rsidR="005A17EF" w:rsidRDefault="00FD26CA" w:rsidP="007B2B8D">
            <w:pPr>
              <w:pStyle w:val="Akapitzlist"/>
              <w:numPr>
                <w:ilvl w:val="0"/>
                <w:numId w:val="2"/>
              </w:numPr>
              <w:spacing w:before="120" w:after="120" w:line="240" w:lineRule="auto"/>
              <w:jc w:val="both"/>
              <w:rPr>
                <w:rFonts w:ascii="Calibri" w:hAnsi="Calibri"/>
                <w:szCs w:val="22"/>
              </w:rPr>
            </w:pPr>
            <w:r>
              <w:rPr>
                <w:rFonts w:ascii="Calibri" w:hAnsi="Calibri"/>
                <w:szCs w:val="22"/>
              </w:rPr>
              <w:t>Ustawa z dnia 19 grudnia 2008 r. o partnerstwie publiczno-prywatnym (Dz. U. z 2009 r. Nr 19, poz. 100 z późn. zm.);</w:t>
            </w:r>
          </w:p>
          <w:p w:rsidR="005A17EF" w:rsidRDefault="00FD26CA" w:rsidP="007B2B8D">
            <w:pPr>
              <w:pStyle w:val="Akapitzlist"/>
              <w:numPr>
                <w:ilvl w:val="0"/>
                <w:numId w:val="2"/>
              </w:numPr>
              <w:spacing w:before="120" w:after="120" w:line="240" w:lineRule="auto"/>
              <w:jc w:val="both"/>
              <w:rPr>
                <w:rFonts w:ascii="Calibri" w:hAnsi="Calibri" w:cs="Arial"/>
                <w:szCs w:val="22"/>
              </w:rPr>
            </w:pPr>
            <w:r>
              <w:rPr>
                <w:rFonts w:ascii="Calibri" w:hAnsi="Calibri" w:cs="Arial"/>
                <w:szCs w:val="22"/>
              </w:rPr>
              <w:lastRenderedPageBreak/>
              <w:t>Rozporządzenie Ministra Infrastruktury z dnia 12 kwietnia 2002 r. w sprawie warunków technicznych, jakim powinny odpowiadać budynki i ich usytuowanie (Dz. U. z dnia 15 czerwca 2002 r. z poźn. zm.);</w:t>
            </w:r>
          </w:p>
          <w:p w:rsidR="005A17EF" w:rsidRDefault="00FD26CA" w:rsidP="007B2B8D">
            <w:pPr>
              <w:pStyle w:val="Akapitzlist"/>
              <w:numPr>
                <w:ilvl w:val="0"/>
                <w:numId w:val="2"/>
              </w:numPr>
              <w:spacing w:before="120" w:after="120" w:line="240" w:lineRule="auto"/>
              <w:jc w:val="both"/>
              <w:rPr>
                <w:rFonts w:ascii="Calibri" w:hAnsi="Calibri"/>
                <w:szCs w:val="22"/>
              </w:rPr>
            </w:pPr>
            <w:r>
              <w:rPr>
                <w:rFonts w:ascii="Calibri" w:hAnsi="Calibri"/>
                <w:szCs w:val="22"/>
              </w:rPr>
              <w:t>Rozporządzenie Ministra Infrastruktury i Rozwoju z dnia 28 sierpnia 2015 r. w sprawie udzielania pomocy na inwestycje wspierające efektywność energetyczną w ramach regionalnych programów operacyjnych na lata 2014–2020 (Dz.U z 2015 r. poz. 1363);</w:t>
            </w:r>
          </w:p>
          <w:p w:rsidR="0096255E" w:rsidRDefault="0096255E" w:rsidP="007B2B8D">
            <w:pPr>
              <w:pStyle w:val="Akapitzlist"/>
              <w:numPr>
                <w:ilvl w:val="0"/>
                <w:numId w:val="2"/>
              </w:numPr>
              <w:spacing w:before="120" w:after="120" w:line="240" w:lineRule="auto"/>
              <w:jc w:val="both"/>
              <w:rPr>
                <w:rFonts w:ascii="Calibri" w:hAnsi="Calibri"/>
                <w:szCs w:val="22"/>
              </w:rPr>
            </w:pPr>
            <w:r w:rsidRPr="0096255E">
              <w:rPr>
                <w:rFonts w:ascii="Calibri" w:hAnsi="Calibri"/>
                <w:szCs w:val="22"/>
              </w:rPr>
              <w:t>Rozporządzenie Ministra infrastruktury i Rozwoju z dnia 5 listopada 2015 r. w sprawie udzielania pomocy na realizację inwestycji służących podniesieniu poziomu ochrony środowiska w ramach regionalnych programów operacyjnych na lata 2014–2020</w:t>
            </w:r>
            <w:r>
              <w:rPr>
                <w:rFonts w:ascii="Calibri" w:hAnsi="Calibri"/>
                <w:szCs w:val="22"/>
              </w:rPr>
              <w:t>;</w:t>
            </w:r>
          </w:p>
          <w:p w:rsidR="00C667E6" w:rsidRDefault="00C667E6" w:rsidP="007B2B8D">
            <w:pPr>
              <w:pStyle w:val="Akapitzlist"/>
              <w:numPr>
                <w:ilvl w:val="0"/>
                <w:numId w:val="2"/>
              </w:numPr>
              <w:spacing w:before="120" w:after="120" w:line="240" w:lineRule="auto"/>
              <w:jc w:val="both"/>
              <w:rPr>
                <w:rFonts w:ascii="Calibri" w:hAnsi="Calibri"/>
                <w:szCs w:val="22"/>
              </w:rPr>
            </w:pPr>
            <w:r w:rsidRPr="00C667E6">
              <w:rPr>
                <w:rFonts w:ascii="Calibri" w:hAnsi="Calibri"/>
                <w:szCs w:val="22"/>
              </w:rPr>
              <w:t>Ministra Infrastruktury i Rozwoju z dnia 3 września 2015 r. w sprawie udzielania pomocy na inwestycje w układy wysokosprawnej kogeneracji oraz na propagowanie energii ze źródeł odnawialnych w ramach regionalnych programów operacyjnych na lata 2014–2020;</w:t>
            </w:r>
          </w:p>
          <w:p w:rsidR="005A17EF" w:rsidRDefault="00FD26CA" w:rsidP="007B2B8D">
            <w:pPr>
              <w:numPr>
                <w:ilvl w:val="0"/>
                <w:numId w:val="2"/>
              </w:numPr>
              <w:spacing w:before="120" w:after="120" w:line="240" w:lineRule="auto"/>
              <w:jc w:val="both"/>
              <w:rPr>
                <w:rStyle w:val="h2"/>
              </w:rPr>
            </w:pPr>
            <w:r>
              <w:rPr>
                <w:rStyle w:val="h2"/>
              </w:rPr>
              <w:t>Rozporządzenie Ministra Infrastruktury i Rozwoju z dnia 19 marca 2015 r. w sprawie udzielania pomocy de minimis w ramach regionalnych programów operacyjnych na lata 2014–2020;</w:t>
            </w:r>
          </w:p>
          <w:p w:rsidR="005A17EF" w:rsidRDefault="00FD26CA" w:rsidP="007B2B8D">
            <w:pPr>
              <w:pStyle w:val="Akapitzlist"/>
              <w:numPr>
                <w:ilvl w:val="0"/>
                <w:numId w:val="2"/>
              </w:numPr>
              <w:spacing w:before="120" w:after="120" w:line="240" w:lineRule="auto"/>
              <w:jc w:val="both"/>
              <w:rPr>
                <w:rFonts w:ascii="Calibri" w:hAnsi="Calibri"/>
                <w:szCs w:val="22"/>
              </w:rPr>
            </w:pPr>
            <w:r>
              <w:rPr>
                <w:rFonts w:ascii="Calibri" w:hAnsi="Calibri"/>
                <w:szCs w:val="22"/>
              </w:rPr>
              <w:t>Strategia Rozwoju Województwa Dolnośląskiego 2020;</w:t>
            </w:r>
          </w:p>
          <w:p w:rsidR="005A17EF" w:rsidRDefault="00FD26CA" w:rsidP="007B2B8D">
            <w:pPr>
              <w:pStyle w:val="Akapitzlist"/>
              <w:numPr>
                <w:ilvl w:val="0"/>
                <w:numId w:val="2"/>
              </w:numPr>
              <w:spacing w:before="120" w:after="120" w:line="240" w:lineRule="auto"/>
              <w:jc w:val="both"/>
              <w:rPr>
                <w:rFonts w:ascii="Calibri" w:hAnsi="Calibri"/>
                <w:szCs w:val="22"/>
              </w:rPr>
            </w:pPr>
            <w:r>
              <w:rPr>
                <w:rFonts w:ascii="Calibri" w:hAnsi="Calibri"/>
                <w:szCs w:val="22"/>
              </w:rPr>
              <w:t>Regionalny Program Operacyjny Województwa Dolnośląskiego 2014-2020 przyjęty przez Komisję Europejską 18 grudnia 2014 r.;</w:t>
            </w:r>
          </w:p>
          <w:p w:rsidR="005A17EF" w:rsidRDefault="00FD26CA" w:rsidP="007B2B8D">
            <w:pPr>
              <w:pStyle w:val="Akapitzlist"/>
              <w:numPr>
                <w:ilvl w:val="0"/>
                <w:numId w:val="2"/>
              </w:numPr>
              <w:spacing w:before="120" w:after="120" w:line="240" w:lineRule="auto"/>
              <w:jc w:val="both"/>
              <w:rPr>
                <w:rFonts w:ascii="Calibri" w:hAnsi="Calibri"/>
                <w:szCs w:val="22"/>
              </w:rPr>
            </w:pPr>
            <w:r>
              <w:rPr>
                <w:rFonts w:ascii="Calibri" w:hAnsi="Calibri"/>
                <w:szCs w:val="22"/>
              </w:rPr>
              <w:t xml:space="preserve">Szczegółowy opis osi priorytetowych Regionalnego Programu Operacyjnego Województwa Dolnośląskiego 2014-2020 z dnia </w:t>
            </w:r>
            <w:r w:rsidR="00FB4D4B">
              <w:rPr>
                <w:rFonts w:ascii="Calibri" w:hAnsi="Calibri"/>
                <w:szCs w:val="22"/>
              </w:rPr>
              <w:t>25 stycznia</w:t>
            </w:r>
            <w:r>
              <w:rPr>
                <w:rFonts w:ascii="Calibri" w:hAnsi="Calibri"/>
                <w:szCs w:val="22"/>
              </w:rPr>
              <w:t xml:space="preserve"> 2016 r.;</w:t>
            </w:r>
          </w:p>
          <w:p w:rsidR="005A17EF" w:rsidRDefault="00FD26CA" w:rsidP="007B2B8D">
            <w:pPr>
              <w:pStyle w:val="Akapitzlist"/>
              <w:numPr>
                <w:ilvl w:val="0"/>
                <w:numId w:val="2"/>
              </w:numPr>
              <w:spacing w:before="120" w:after="120" w:line="240" w:lineRule="auto"/>
              <w:jc w:val="both"/>
              <w:rPr>
                <w:rFonts w:ascii="Calibri" w:hAnsi="Calibri"/>
                <w:szCs w:val="22"/>
              </w:rPr>
            </w:pPr>
            <w:r>
              <w:rPr>
                <w:rFonts w:ascii="Calibri" w:hAnsi="Calibri"/>
                <w:szCs w:val="22"/>
              </w:rPr>
              <w:t>Kryteria wyboru projektów w ramach Regionalnego Programu Operacyjnego Województwa Dolnośląskiego 2014-2020, zatwierdzone uchwałą nr 2/15 z dnia 6 maja 2015 r. Komitetu Monitorującego RPO WD 2014-2020 z późniejszymi zmianami;</w:t>
            </w:r>
          </w:p>
          <w:p w:rsidR="005A17EF" w:rsidRDefault="00FD26CA" w:rsidP="007B2B8D">
            <w:pPr>
              <w:pStyle w:val="Akapitzlist"/>
              <w:numPr>
                <w:ilvl w:val="0"/>
                <w:numId w:val="2"/>
              </w:numPr>
              <w:spacing w:before="120" w:after="120" w:line="240" w:lineRule="auto"/>
              <w:jc w:val="both"/>
              <w:rPr>
                <w:rFonts w:ascii="Calibri" w:hAnsi="Calibri"/>
                <w:szCs w:val="22"/>
              </w:rPr>
            </w:pPr>
            <w:r>
              <w:rPr>
                <w:rFonts w:ascii="Calibri" w:hAnsi="Calibri"/>
                <w:szCs w:val="22"/>
              </w:rPr>
              <w:t>Wytyczne Ministra Infrastruktury i Rozwoju z dnia 31 marca 2015 r. w zakresie trybów wyboru projektów na lata 2014-2020;</w:t>
            </w:r>
          </w:p>
          <w:p w:rsidR="005A17EF" w:rsidRDefault="00FD26CA" w:rsidP="007B2B8D">
            <w:pPr>
              <w:pStyle w:val="Akapitzlist"/>
              <w:numPr>
                <w:ilvl w:val="0"/>
                <w:numId w:val="2"/>
              </w:numPr>
              <w:spacing w:before="120" w:after="120" w:line="240" w:lineRule="auto"/>
              <w:jc w:val="both"/>
              <w:rPr>
                <w:rFonts w:ascii="Calibri" w:hAnsi="Calibri"/>
                <w:szCs w:val="22"/>
              </w:rPr>
            </w:pPr>
            <w:r>
              <w:rPr>
                <w:rFonts w:ascii="Calibri" w:hAnsi="Calibri"/>
                <w:szCs w:val="22"/>
              </w:rPr>
              <w:t>Wytyczne Ministra Infrastruktury i Rozwoju z dnia 10 kwietnia 2015 r. w zakresie kwalifikowalności wydatków w ramach Europejskiego Funduszu Rozwoju Regionalnego, Europejskiego Funduszu Społecznego oraz Funduszu Spójności na lata 2014-2020;</w:t>
            </w:r>
          </w:p>
          <w:p w:rsidR="005A17EF" w:rsidRDefault="00FD26CA" w:rsidP="007B2B8D">
            <w:pPr>
              <w:pStyle w:val="Akapitzlist"/>
              <w:numPr>
                <w:ilvl w:val="0"/>
                <w:numId w:val="2"/>
              </w:numPr>
              <w:spacing w:before="120" w:after="120" w:line="240" w:lineRule="auto"/>
              <w:jc w:val="both"/>
              <w:rPr>
                <w:rFonts w:ascii="Calibri" w:hAnsi="Calibri"/>
                <w:szCs w:val="22"/>
              </w:rPr>
            </w:pPr>
            <w:r>
              <w:rPr>
                <w:rFonts w:ascii="Calibri" w:hAnsi="Calibri"/>
                <w:szCs w:val="22"/>
              </w:rPr>
              <w:t>Wytyczne Ministra Infrastruktury i Rozwoju z dnia 8 maja 2015 r. w zakresie realizacji zasady równości szans i niedyskryminacji, w tym dostępności dla osób z niepełnosprawnościami oraz zasady równości szans kobiet i mężczyzn w ramach funduszy unijnych na lata 2014-2020;</w:t>
            </w:r>
          </w:p>
          <w:p w:rsidR="005A17EF" w:rsidRDefault="00FD26CA" w:rsidP="007B2B8D">
            <w:pPr>
              <w:pStyle w:val="Akapitzlist"/>
              <w:numPr>
                <w:ilvl w:val="0"/>
                <w:numId w:val="2"/>
              </w:numPr>
              <w:spacing w:before="120" w:after="120" w:line="240" w:lineRule="auto"/>
              <w:jc w:val="both"/>
              <w:rPr>
                <w:rFonts w:ascii="Calibri" w:hAnsi="Calibri"/>
                <w:szCs w:val="22"/>
              </w:rPr>
            </w:pPr>
            <w:r>
              <w:rPr>
                <w:rFonts w:ascii="Calibri" w:hAnsi="Calibri"/>
                <w:szCs w:val="22"/>
              </w:rPr>
              <w:t xml:space="preserve">Wytyczne Ministra Infrastruktury i Rozwoju z dnia 3 marca 2015 r. </w:t>
            </w:r>
            <w:r>
              <w:rPr>
                <w:rFonts w:ascii="Calibri" w:hAnsi="Calibri"/>
                <w:szCs w:val="22"/>
              </w:rPr>
              <w:lastRenderedPageBreak/>
              <w:t>w zakresie warunków gromadzenia i przekazywania danych w postaci elektronicznej na lata 2014-2020;</w:t>
            </w:r>
          </w:p>
          <w:p w:rsidR="005A17EF" w:rsidRDefault="00FD26CA" w:rsidP="007B2B8D">
            <w:pPr>
              <w:pStyle w:val="Akapitzlist"/>
              <w:numPr>
                <w:ilvl w:val="0"/>
                <w:numId w:val="2"/>
              </w:numPr>
              <w:spacing w:before="120" w:after="120" w:line="240" w:lineRule="auto"/>
              <w:jc w:val="both"/>
              <w:rPr>
                <w:rFonts w:ascii="Calibri" w:hAnsi="Calibri"/>
                <w:szCs w:val="22"/>
              </w:rPr>
            </w:pPr>
            <w:r>
              <w:rPr>
                <w:rFonts w:ascii="Calibri" w:hAnsi="Calibri"/>
                <w:szCs w:val="22"/>
              </w:rPr>
              <w:t xml:space="preserve">Wytyczne Ministra Infrastruktury i Rozwoju z dnia 30 kwietnia 2015 r. w zakresie informacji i promocji programów operacyjnych polityki spójności na lata 2014-2020; </w:t>
            </w:r>
          </w:p>
          <w:p w:rsidR="005A17EF" w:rsidRDefault="00FD26CA" w:rsidP="007B2B8D">
            <w:pPr>
              <w:pStyle w:val="Akapitzlist"/>
              <w:numPr>
                <w:ilvl w:val="0"/>
                <w:numId w:val="2"/>
              </w:numPr>
              <w:spacing w:before="120" w:after="120" w:line="240" w:lineRule="auto"/>
              <w:jc w:val="both"/>
              <w:rPr>
                <w:rFonts w:ascii="Calibri" w:hAnsi="Calibri"/>
                <w:szCs w:val="22"/>
              </w:rPr>
            </w:pPr>
            <w:r>
              <w:rPr>
                <w:rFonts w:ascii="Calibri" w:hAnsi="Calibri"/>
                <w:szCs w:val="22"/>
              </w:rPr>
              <w:t>Wytyczne Ministra Infrastruktury i Rozwoju w zakresie  dokumentowania postępowania w sprawie oceny oddziaływania na środowisko dla przedsięwzięć współfinansowanych z krajowych  lub regionalnych programów operacyjnych;</w:t>
            </w:r>
          </w:p>
          <w:p w:rsidR="005A17EF" w:rsidRDefault="00FD26CA" w:rsidP="007B2B8D">
            <w:pPr>
              <w:pStyle w:val="Akapitzlist"/>
              <w:numPr>
                <w:ilvl w:val="0"/>
                <w:numId w:val="2"/>
              </w:numPr>
              <w:spacing w:before="120" w:after="120" w:line="240" w:lineRule="auto"/>
              <w:jc w:val="both"/>
              <w:rPr>
                <w:rFonts w:ascii="Calibri" w:hAnsi="Calibri"/>
                <w:szCs w:val="22"/>
              </w:rPr>
            </w:pPr>
            <w:r>
              <w:rPr>
                <w:rFonts w:ascii="Calibri" w:hAnsi="Calibri"/>
                <w:szCs w:val="22"/>
              </w:rPr>
              <w:t>Wytyczne Ministra Infrastruktury i Rozwoju w zakresie zagadnień związanych z przygotowaniem projektów inwestycyjnych, w tym projektów generujących dochód i projektów hybrydowych na lata 2014-2020.</w:t>
            </w:r>
          </w:p>
        </w:tc>
      </w:tr>
      <w:tr w:rsidR="005A17EF" w:rsidTr="00E86DB9">
        <w:tc>
          <w:tcPr>
            <w:tcW w:w="5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FD26CA" w:rsidP="007B2B8D">
            <w:pPr>
              <w:spacing w:after="0" w:line="240" w:lineRule="auto"/>
              <w:rPr>
                <w:b/>
                <w:bCs/>
                <w:color w:val="000000"/>
              </w:rPr>
            </w:pPr>
            <w:r>
              <w:rPr>
                <w:b/>
                <w:bCs/>
                <w:color w:val="000000"/>
              </w:rPr>
              <w:lastRenderedPageBreak/>
              <w:t xml:space="preserve">4. </w:t>
            </w:r>
          </w:p>
        </w:tc>
        <w:tc>
          <w:tcPr>
            <w:tcW w:w="22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FD26CA" w:rsidP="007B2B8D">
            <w:pPr>
              <w:spacing w:after="0" w:line="240" w:lineRule="auto"/>
              <w:rPr>
                <w:b/>
                <w:bCs/>
                <w:color w:val="000000"/>
              </w:rPr>
            </w:pPr>
            <w:r>
              <w:rPr>
                <w:b/>
                <w:bCs/>
                <w:color w:val="000000"/>
              </w:rPr>
              <w:t xml:space="preserve">Przedmiot konkursu, w tym typy projektów podlegających dofinansowaniu: </w:t>
            </w:r>
          </w:p>
        </w:tc>
        <w:tc>
          <w:tcPr>
            <w:tcW w:w="68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FD26CA" w:rsidP="007B2B8D">
            <w:pPr>
              <w:spacing w:after="0" w:line="240" w:lineRule="auto"/>
              <w:jc w:val="both"/>
              <w:rPr>
                <w:color w:val="000000"/>
              </w:rPr>
            </w:pPr>
            <w:r>
              <w:rPr>
                <w:color w:val="000000"/>
              </w:rPr>
              <w:t xml:space="preserve">Przedmiotem konkursu jest typ projektu określony dla działania 3.3 </w:t>
            </w:r>
            <w:r>
              <w:rPr>
                <w:rFonts w:cs="Arial"/>
              </w:rPr>
              <w:t>Efektywność energetyczna w budynkach użyteczności publicznej i sektorze mieszkaniowym</w:t>
            </w:r>
            <w:r>
              <w:rPr>
                <w:color w:val="000000"/>
              </w:rPr>
              <w:t xml:space="preserve"> w osi priorytetowej 3 Gospodarka niskoemisyjna w trybie konkursowym, tj.:</w:t>
            </w:r>
          </w:p>
          <w:p w:rsidR="005A17EF" w:rsidRDefault="005A17EF" w:rsidP="007B2B8D">
            <w:pPr>
              <w:spacing w:after="0" w:line="240" w:lineRule="auto"/>
              <w:jc w:val="both"/>
              <w:rPr>
                <w:color w:val="000000"/>
              </w:rPr>
            </w:pPr>
          </w:p>
          <w:p w:rsidR="005A17EF" w:rsidRPr="00CD012A" w:rsidRDefault="00FD26CA" w:rsidP="007B2B8D">
            <w:pPr>
              <w:pStyle w:val="Default"/>
              <w:spacing w:line="240" w:lineRule="auto"/>
              <w:jc w:val="both"/>
              <w:rPr>
                <w:rFonts w:cs="Arial"/>
                <w:color w:val="auto"/>
                <w:sz w:val="22"/>
                <w:szCs w:val="22"/>
              </w:rPr>
            </w:pPr>
            <w:r>
              <w:rPr>
                <w:rFonts w:cs="Arial"/>
                <w:color w:val="00000A"/>
                <w:sz w:val="22"/>
                <w:szCs w:val="22"/>
              </w:rPr>
              <w:t>Typ 3.3 A Projekty związane z kompleksową modernizacją energetyczną b</w:t>
            </w:r>
            <w:r w:rsidR="009040DB">
              <w:rPr>
                <w:rFonts w:cs="Arial"/>
                <w:color w:val="00000A"/>
                <w:sz w:val="22"/>
                <w:szCs w:val="22"/>
              </w:rPr>
              <w:t xml:space="preserve">udynków użyteczności publicznej </w:t>
            </w:r>
            <w:r w:rsidR="009040DB" w:rsidRPr="00CD012A">
              <w:rPr>
                <w:rFonts w:cs="Arial"/>
                <w:color w:val="auto"/>
                <w:sz w:val="22"/>
                <w:szCs w:val="22"/>
              </w:rPr>
              <w:t>dotyczące m.in.:</w:t>
            </w:r>
          </w:p>
          <w:p w:rsidR="00B32277" w:rsidRPr="00CD012A" w:rsidRDefault="009040DB" w:rsidP="007B2B8D">
            <w:pPr>
              <w:pStyle w:val="Default"/>
              <w:numPr>
                <w:ilvl w:val="0"/>
                <w:numId w:val="22"/>
              </w:numPr>
              <w:spacing w:line="240" w:lineRule="auto"/>
              <w:ind w:left="395" w:hanging="387"/>
              <w:jc w:val="both"/>
              <w:rPr>
                <w:rFonts w:cs="Arial"/>
                <w:color w:val="auto"/>
                <w:sz w:val="22"/>
                <w:szCs w:val="22"/>
              </w:rPr>
            </w:pPr>
            <w:r w:rsidRPr="00CD012A">
              <w:rPr>
                <w:rFonts w:cs="Arial"/>
                <w:color w:val="auto"/>
                <w:sz w:val="22"/>
                <w:szCs w:val="22"/>
              </w:rPr>
              <w:t>ocieplen</w:t>
            </w:r>
            <w:r w:rsidR="00EB17ED" w:rsidRPr="00CD012A">
              <w:rPr>
                <w:rFonts w:cs="Arial"/>
                <w:color w:val="auto"/>
                <w:sz w:val="22"/>
                <w:szCs w:val="22"/>
              </w:rPr>
              <w:t>ia (termomodernizacji) obiektów;</w:t>
            </w:r>
          </w:p>
          <w:p w:rsidR="00EB17ED" w:rsidRPr="00CD012A" w:rsidRDefault="00EB17ED" w:rsidP="007B2B8D">
            <w:pPr>
              <w:pStyle w:val="Default"/>
              <w:numPr>
                <w:ilvl w:val="0"/>
                <w:numId w:val="22"/>
              </w:numPr>
              <w:spacing w:line="240" w:lineRule="auto"/>
              <w:ind w:left="395" w:hanging="387"/>
              <w:jc w:val="both"/>
              <w:rPr>
                <w:rFonts w:cs="Arial"/>
                <w:color w:val="auto"/>
                <w:sz w:val="22"/>
                <w:szCs w:val="22"/>
              </w:rPr>
            </w:pPr>
            <w:r w:rsidRPr="00CD012A">
              <w:rPr>
                <w:rFonts w:cs="Arial"/>
                <w:color w:val="auto"/>
                <w:sz w:val="22"/>
                <w:szCs w:val="22"/>
              </w:rPr>
              <w:t>modernizacji systemów grzewczych;</w:t>
            </w:r>
          </w:p>
          <w:p w:rsidR="00EB17ED" w:rsidRPr="00CD012A" w:rsidRDefault="00074019" w:rsidP="007B2B8D">
            <w:pPr>
              <w:pStyle w:val="Default"/>
              <w:numPr>
                <w:ilvl w:val="0"/>
                <w:numId w:val="22"/>
              </w:numPr>
              <w:spacing w:line="240" w:lineRule="auto"/>
              <w:ind w:left="395" w:hanging="387"/>
              <w:jc w:val="both"/>
              <w:rPr>
                <w:rFonts w:cs="Arial"/>
                <w:color w:val="auto"/>
                <w:sz w:val="22"/>
                <w:szCs w:val="22"/>
              </w:rPr>
            </w:pPr>
            <w:r w:rsidRPr="00CD012A">
              <w:rPr>
                <w:rFonts w:cs="Arial"/>
                <w:color w:val="auto"/>
                <w:sz w:val="22"/>
                <w:szCs w:val="22"/>
              </w:rPr>
              <w:t>modernizacja przyłącza do sieci ciepłowniczej;</w:t>
            </w:r>
          </w:p>
          <w:p w:rsidR="00074019" w:rsidRPr="00CD012A" w:rsidRDefault="00074019" w:rsidP="007B2B8D">
            <w:pPr>
              <w:pStyle w:val="Default"/>
              <w:numPr>
                <w:ilvl w:val="0"/>
                <w:numId w:val="22"/>
              </w:numPr>
              <w:spacing w:line="240" w:lineRule="auto"/>
              <w:ind w:left="395" w:hanging="387"/>
              <w:jc w:val="both"/>
              <w:rPr>
                <w:rFonts w:cs="Arial"/>
                <w:color w:val="auto"/>
                <w:sz w:val="22"/>
                <w:szCs w:val="22"/>
              </w:rPr>
            </w:pPr>
            <w:r w:rsidRPr="00CD012A">
              <w:rPr>
                <w:rFonts w:cs="Arial"/>
                <w:color w:val="auto"/>
                <w:sz w:val="22"/>
                <w:szCs w:val="22"/>
              </w:rPr>
              <w:t>modernizacji systemów wentylacji;</w:t>
            </w:r>
          </w:p>
          <w:p w:rsidR="00074019" w:rsidRPr="00CD012A" w:rsidRDefault="00074019" w:rsidP="007B2B8D">
            <w:pPr>
              <w:pStyle w:val="Default"/>
              <w:numPr>
                <w:ilvl w:val="0"/>
                <w:numId w:val="22"/>
              </w:numPr>
              <w:spacing w:line="240" w:lineRule="auto"/>
              <w:ind w:left="395" w:hanging="387"/>
              <w:jc w:val="both"/>
              <w:rPr>
                <w:rFonts w:cs="Arial"/>
                <w:color w:val="auto"/>
                <w:sz w:val="22"/>
                <w:szCs w:val="22"/>
              </w:rPr>
            </w:pPr>
            <w:r w:rsidRPr="00CD012A">
              <w:rPr>
                <w:rFonts w:cs="Arial"/>
                <w:color w:val="auto"/>
                <w:sz w:val="22"/>
                <w:szCs w:val="22"/>
              </w:rPr>
              <w:t>instalacji OZE;</w:t>
            </w:r>
          </w:p>
          <w:p w:rsidR="00625B6D" w:rsidRPr="00CD012A" w:rsidRDefault="00074019" w:rsidP="007B2B8D">
            <w:pPr>
              <w:pStyle w:val="Default"/>
              <w:numPr>
                <w:ilvl w:val="0"/>
                <w:numId w:val="22"/>
              </w:numPr>
              <w:spacing w:line="240" w:lineRule="auto"/>
              <w:ind w:left="395" w:hanging="387"/>
              <w:jc w:val="both"/>
              <w:rPr>
                <w:rFonts w:cs="Arial"/>
                <w:color w:val="auto"/>
                <w:sz w:val="22"/>
                <w:szCs w:val="22"/>
              </w:rPr>
            </w:pPr>
            <w:r w:rsidRPr="00CD012A">
              <w:rPr>
                <w:rFonts w:cs="Arial"/>
                <w:color w:val="auto"/>
                <w:sz w:val="22"/>
                <w:szCs w:val="22"/>
              </w:rPr>
              <w:t>instalacja systemów monitoringu i zarządzania energią cieplną i elektryczną;</w:t>
            </w:r>
          </w:p>
          <w:p w:rsidR="00074019" w:rsidRPr="00CD012A" w:rsidRDefault="00074019" w:rsidP="007B2B8D">
            <w:pPr>
              <w:pStyle w:val="Default"/>
              <w:numPr>
                <w:ilvl w:val="0"/>
                <w:numId w:val="22"/>
              </w:numPr>
              <w:spacing w:line="240" w:lineRule="auto"/>
              <w:ind w:left="395" w:hanging="387"/>
              <w:jc w:val="both"/>
              <w:rPr>
                <w:rFonts w:cs="Arial"/>
                <w:color w:val="auto"/>
                <w:sz w:val="22"/>
                <w:szCs w:val="22"/>
              </w:rPr>
            </w:pPr>
            <w:r w:rsidRPr="00CD012A">
              <w:rPr>
                <w:rFonts w:cs="Arial"/>
                <w:color w:val="auto"/>
                <w:sz w:val="22"/>
                <w:szCs w:val="22"/>
              </w:rPr>
              <w:t>wymiana oświetlenia i urządzeń elektrycznych w budynku</w:t>
            </w:r>
            <w:r w:rsidR="00625B6D" w:rsidRPr="00CD012A">
              <w:rPr>
                <w:rFonts w:cs="Arial"/>
                <w:color w:val="auto"/>
                <w:sz w:val="22"/>
                <w:szCs w:val="22"/>
              </w:rPr>
              <w:t xml:space="preserve"> (jako element uzupełniający w projekcie);</w:t>
            </w:r>
          </w:p>
          <w:p w:rsidR="00EB17ED" w:rsidRDefault="00EB17ED" w:rsidP="007B2B8D">
            <w:pPr>
              <w:pStyle w:val="Default"/>
              <w:spacing w:after="240" w:line="240" w:lineRule="auto"/>
              <w:jc w:val="both"/>
              <w:rPr>
                <w:ins w:id="2" w:author="Filip  Baranowski" w:date="2016-04-28T15:48:00Z"/>
                <w:rFonts w:cs="Arial"/>
                <w:color w:val="auto"/>
                <w:sz w:val="22"/>
                <w:szCs w:val="22"/>
              </w:rPr>
            </w:pPr>
            <w:r w:rsidRPr="00CD012A">
              <w:rPr>
                <w:rFonts w:cs="Arial"/>
                <w:color w:val="auto"/>
                <w:sz w:val="22"/>
                <w:szCs w:val="22"/>
              </w:rPr>
              <w:t>Szczegółowy opis możliwego do realizacji zakresu</w:t>
            </w:r>
            <w:r w:rsidR="00074019" w:rsidRPr="00CD012A">
              <w:rPr>
                <w:rFonts w:cs="Arial"/>
                <w:color w:val="auto"/>
                <w:sz w:val="22"/>
                <w:szCs w:val="22"/>
              </w:rPr>
              <w:t xml:space="preserve"> projektu</w:t>
            </w:r>
            <w:r w:rsidRPr="00CD012A">
              <w:rPr>
                <w:rFonts w:cs="Arial"/>
                <w:color w:val="auto"/>
                <w:sz w:val="22"/>
                <w:szCs w:val="22"/>
              </w:rPr>
              <w:t xml:space="preserve"> znajduje się w SzOOP.</w:t>
            </w:r>
          </w:p>
          <w:p w:rsidR="00217179" w:rsidRPr="00D54F77" w:rsidRDefault="00217179" w:rsidP="00217179">
            <w:pPr>
              <w:pStyle w:val="xl33"/>
              <w:spacing w:after="0"/>
              <w:jc w:val="both"/>
              <w:rPr>
                <w:ins w:id="3" w:author="Filip  Baranowski" w:date="2016-04-28T15:48:00Z"/>
                <w:rFonts w:ascii="Calibri" w:hAnsi="Calibri" w:cs="Arial"/>
                <w:sz w:val="22"/>
                <w:szCs w:val="22"/>
              </w:rPr>
            </w:pPr>
            <w:bookmarkStart w:id="4" w:name="_GoBack"/>
            <w:ins w:id="5" w:author="Filip  Baranowski" w:date="2016-04-28T15:48:00Z">
              <w:r w:rsidRPr="00D54F77">
                <w:rPr>
                  <w:rFonts w:ascii="Calibri" w:hAnsi="Calibri" w:cs="Arial"/>
                  <w:sz w:val="22"/>
                  <w:szCs w:val="22"/>
                </w:rPr>
                <w:t xml:space="preserve">Kryterium merytoryczne specyficzne „Wymiana źródła ciepła” ma charakter obligatoryjny i projekt, którego dotyczy, powinien je spełnić lub zostanie odrzucony. Oznacza to, że kryterium nie dotyczy projektów nie uwzględniających wymiany źródła ciepła. </w:t>
              </w:r>
            </w:ins>
          </w:p>
          <w:p w:rsidR="00217179" w:rsidRPr="00163933" w:rsidRDefault="00217179" w:rsidP="00217179">
            <w:pPr>
              <w:pStyle w:val="xl33"/>
              <w:spacing w:after="0"/>
              <w:jc w:val="both"/>
              <w:rPr>
                <w:ins w:id="6" w:author="Filip  Baranowski" w:date="2016-04-28T15:48:00Z"/>
                <w:rFonts w:ascii="Calibri" w:hAnsi="Calibri" w:cs="Arial"/>
                <w:sz w:val="22"/>
                <w:szCs w:val="22"/>
              </w:rPr>
            </w:pPr>
            <w:ins w:id="7" w:author="Filip  Baranowski" w:date="2016-04-28T15:48:00Z">
              <w:r w:rsidRPr="00D54F77">
                <w:rPr>
                  <w:rFonts w:ascii="Calibri" w:hAnsi="Calibri" w:cs="Arial"/>
                  <w:sz w:val="22"/>
                  <w:szCs w:val="22"/>
                </w:rPr>
                <w:t xml:space="preserve">W przypadku projektów uwzględniających wymianę źródła ciepła, projekt musi spełniać kryterium, tzn. dotyczyć wymiany źródła ciepła wyłącznie na źródła wspierane (podłączenie do sieci ciepłowniczej – o ile jest technicznie możliwe i ekonomicznie uzasadnione, jeśli nie – źródło oparte o OZE – o ile wynika </w:t>
              </w:r>
              <w:bookmarkEnd w:id="4"/>
              <w:r w:rsidRPr="00163933">
                <w:rPr>
                  <w:rFonts w:ascii="Calibri" w:hAnsi="Calibri" w:cs="Arial"/>
                  <w:sz w:val="22"/>
                  <w:szCs w:val="22"/>
                </w:rPr>
                <w:t xml:space="preserve">z audytu, jeśli nie – kocioł spalający biomasę lub paliwa gazowe – o ile spełnione są szczegółowe wymagania opisane w kryterium). </w:t>
              </w:r>
            </w:ins>
          </w:p>
          <w:p w:rsidR="00217179" w:rsidRPr="00163933" w:rsidRDefault="00217179" w:rsidP="00217179">
            <w:pPr>
              <w:pStyle w:val="xl33"/>
              <w:spacing w:after="0"/>
              <w:jc w:val="both"/>
              <w:rPr>
                <w:ins w:id="8" w:author="Filip  Baranowski" w:date="2016-04-28T15:48:00Z"/>
                <w:rFonts w:ascii="Calibri" w:hAnsi="Calibri" w:cs="Arial"/>
                <w:sz w:val="22"/>
                <w:szCs w:val="22"/>
              </w:rPr>
            </w:pPr>
            <w:ins w:id="9" w:author="Filip  Baranowski" w:date="2016-04-28T15:48:00Z">
              <w:r w:rsidRPr="00163933">
                <w:rPr>
                  <w:rFonts w:ascii="Calibri" w:hAnsi="Calibri" w:cs="Arial"/>
                  <w:sz w:val="22"/>
                  <w:szCs w:val="22"/>
                </w:rPr>
                <w:t xml:space="preserve">Jeśli wnioskodawca ma zamiar wymienić źródło ciepła na nie wspierane (np. kotły węglowe czy olejowe) to inwestycja ta powinna być realizowana poza projektem, nawet jeśli jest uzasadniona w audycie energetycznym. Oznacza to, że efekt związany z wymianą źródła ciepła, taki jak wpływ na </w:t>
              </w:r>
              <w:r w:rsidRPr="00163933">
                <w:rPr>
                  <w:rFonts w:ascii="Calibri" w:hAnsi="Calibri" w:cs="Arial"/>
                  <w:sz w:val="22"/>
                  <w:szCs w:val="22"/>
                </w:rPr>
                <w:lastRenderedPageBreak/>
                <w:t>osiągnięcie wskaźników, redukcja emisji CO2 nie może być brana pod uwagę w projekcie, ponieważ IZ RPO nie powinna w żaden sposób zachęcać do korzystania ze źródeł energii opartych o paliwa inne niż biomasa i paliwa gazowe.</w:t>
              </w:r>
            </w:ins>
          </w:p>
          <w:p w:rsidR="00217179" w:rsidRPr="00163933" w:rsidRDefault="00217179" w:rsidP="00217179">
            <w:pPr>
              <w:pStyle w:val="xl33"/>
              <w:spacing w:after="0"/>
              <w:jc w:val="both"/>
              <w:rPr>
                <w:ins w:id="10" w:author="Filip  Baranowski" w:date="2016-04-28T15:48:00Z"/>
                <w:rFonts w:ascii="Calibri" w:hAnsi="Calibri" w:cs="Arial"/>
                <w:sz w:val="22"/>
                <w:szCs w:val="22"/>
              </w:rPr>
            </w:pPr>
            <w:ins w:id="11" w:author="Filip  Baranowski" w:date="2016-04-28T15:48:00Z">
              <w:r w:rsidRPr="00163933">
                <w:rPr>
                  <w:rFonts w:ascii="Calibri" w:hAnsi="Calibri" w:cs="Arial"/>
                  <w:sz w:val="22"/>
                  <w:szCs w:val="22"/>
                </w:rPr>
                <w:t>Jednocześnie należy mieć na uwadze, że również wymiana instalacji ogrzewania, która jest zoptymalizowana pod konkretne źródło ciepła (nie wspierane) i tworzy wraz z tym źródłem ciepła kompletny system ogrzewania nie może być przedmiotem projektu.</w:t>
              </w:r>
            </w:ins>
          </w:p>
          <w:p w:rsidR="00217179" w:rsidRPr="00CD012A" w:rsidDel="00217179" w:rsidRDefault="00217179" w:rsidP="007B2B8D">
            <w:pPr>
              <w:pStyle w:val="Default"/>
              <w:spacing w:after="240" w:line="240" w:lineRule="auto"/>
              <w:jc w:val="both"/>
              <w:rPr>
                <w:del w:id="12" w:author="Filip  Baranowski" w:date="2016-04-28T15:48:00Z"/>
                <w:rFonts w:cs="Arial"/>
                <w:color w:val="auto"/>
                <w:sz w:val="22"/>
                <w:szCs w:val="22"/>
              </w:rPr>
            </w:pPr>
          </w:p>
          <w:p w:rsidR="005A17EF" w:rsidRDefault="00FD26CA" w:rsidP="007B2B8D">
            <w:pPr>
              <w:pStyle w:val="Default"/>
              <w:spacing w:line="240" w:lineRule="auto"/>
              <w:jc w:val="both"/>
              <w:rPr>
                <w:rFonts w:cs="Arial"/>
                <w:color w:val="00000A"/>
                <w:sz w:val="22"/>
                <w:szCs w:val="22"/>
              </w:rPr>
            </w:pPr>
            <w:r>
              <w:rPr>
                <w:rFonts w:cs="Arial"/>
                <w:color w:val="00000A"/>
                <w:sz w:val="22"/>
                <w:szCs w:val="22"/>
              </w:rPr>
              <w:t>Budynki użyteczności publicznej - zgodnie z definicją ujętą w Rozporządzeniu Ministra Infrastruktury z dnia 12 kwietnia 2002 r. w sprawie warunków technicznych, jakim powinny odpowiadać budynki i ich usytuowanie (Dz. U. z dnia 15 czerwca 2002 r. z poźn. zm.). Jeśli budynek zamieszkania zbiorowego spełnia jednocześnie definicję budynku użyteczności publicznej, również może być przedmiotem projektu.</w:t>
            </w:r>
          </w:p>
          <w:p w:rsidR="005A17EF" w:rsidRDefault="005A17EF" w:rsidP="007B2B8D">
            <w:pPr>
              <w:pStyle w:val="Default"/>
              <w:spacing w:line="240" w:lineRule="auto"/>
              <w:jc w:val="both"/>
              <w:rPr>
                <w:rFonts w:cs="Arial"/>
                <w:color w:val="00000A"/>
                <w:sz w:val="22"/>
                <w:szCs w:val="22"/>
              </w:rPr>
            </w:pPr>
          </w:p>
          <w:p w:rsidR="00CD4030" w:rsidRDefault="00CD4030" w:rsidP="007B2B8D">
            <w:pPr>
              <w:pStyle w:val="Default"/>
              <w:spacing w:line="240" w:lineRule="auto"/>
              <w:jc w:val="both"/>
              <w:rPr>
                <w:rFonts w:cs="Arial"/>
                <w:color w:val="auto"/>
                <w:sz w:val="22"/>
                <w:szCs w:val="22"/>
              </w:rPr>
            </w:pPr>
            <w:r w:rsidRPr="00307FCA">
              <w:rPr>
                <w:rFonts w:cs="Arial"/>
                <w:color w:val="auto"/>
                <w:sz w:val="22"/>
                <w:szCs w:val="22"/>
              </w:rPr>
              <w:t xml:space="preserve">Projekt powinien wynikać z właściwego gminnego </w:t>
            </w:r>
            <w:r w:rsidR="00AF7C30">
              <w:rPr>
                <w:rFonts w:cs="Arial"/>
                <w:color w:val="auto"/>
                <w:sz w:val="22"/>
                <w:szCs w:val="22"/>
              </w:rPr>
              <w:t>Planu Gospodarki Niskoemisyjnej.</w:t>
            </w:r>
          </w:p>
          <w:p w:rsidR="00E254E5" w:rsidRPr="00CD012A" w:rsidRDefault="00E254E5" w:rsidP="007B2B8D">
            <w:pPr>
              <w:pStyle w:val="Default"/>
              <w:spacing w:before="240" w:line="240" w:lineRule="auto"/>
              <w:jc w:val="both"/>
              <w:rPr>
                <w:rFonts w:cs="Arial"/>
                <w:color w:val="auto"/>
                <w:sz w:val="22"/>
                <w:szCs w:val="22"/>
              </w:rPr>
            </w:pPr>
            <w:r w:rsidRPr="00CD012A">
              <w:rPr>
                <w:rFonts w:cs="Arial"/>
                <w:color w:val="auto"/>
                <w:sz w:val="22"/>
                <w:szCs w:val="22"/>
              </w:rPr>
              <w:t xml:space="preserve">W obszarze ochrony zdrowia projekty z zakresu termomodernizacji mogą dotyczyć tylko obiektów, których funkcjonowanie będzie uzasadnione </w:t>
            </w:r>
            <w:r w:rsidR="00CD012A" w:rsidRPr="00CD012A">
              <w:rPr>
                <w:rFonts w:cs="Arial"/>
                <w:color w:val="auto"/>
                <w:sz w:val="22"/>
                <w:szCs w:val="22"/>
              </w:rPr>
              <w:br/>
            </w:r>
            <w:r w:rsidRPr="00CD012A">
              <w:rPr>
                <w:rFonts w:cs="Arial"/>
                <w:color w:val="auto"/>
                <w:sz w:val="22"/>
                <w:szCs w:val="22"/>
              </w:rPr>
              <w:t>w kontekście map potrzeb opracowanych przez Ministerstwo Zdrowia.</w:t>
            </w:r>
          </w:p>
          <w:p w:rsidR="00A53D89" w:rsidRDefault="00A53D89" w:rsidP="007B2B8D">
            <w:pPr>
              <w:pStyle w:val="Default"/>
              <w:spacing w:before="240" w:line="240" w:lineRule="auto"/>
              <w:jc w:val="both"/>
              <w:rPr>
                <w:rFonts w:cs="Arial"/>
                <w:color w:val="00000A"/>
                <w:sz w:val="22"/>
                <w:szCs w:val="22"/>
              </w:rPr>
            </w:pPr>
            <w:r w:rsidRPr="00A53D89">
              <w:rPr>
                <w:rFonts w:cs="Arial"/>
                <w:color w:val="00000A"/>
                <w:sz w:val="22"/>
                <w:szCs w:val="22"/>
              </w:rPr>
              <w:t>Powyższe zasady zgodności z mapą potrzeb zdrowotnych nie dotyczą obiektów POZ i AOS zlokalizowanych w budynkach użyteczności publicznej pozostających własnością gminy. W tym przypadku dopuszczalność realizacji wsparcia z zakresu termomodernizacji będzie oceniana w kontekście realizacji celu publicznego i zgodnie z właściwością beneficjenta.</w:t>
            </w:r>
          </w:p>
          <w:p w:rsidR="005A17EF" w:rsidRDefault="00FD26CA" w:rsidP="007B2B8D">
            <w:pPr>
              <w:pStyle w:val="Default"/>
              <w:spacing w:before="240" w:line="240" w:lineRule="auto"/>
              <w:jc w:val="both"/>
              <w:rPr>
                <w:rFonts w:cs="Arial"/>
                <w:color w:val="00000A"/>
                <w:sz w:val="22"/>
                <w:szCs w:val="22"/>
              </w:rPr>
            </w:pPr>
            <w:r>
              <w:rPr>
                <w:rFonts w:cs="Arial"/>
                <w:color w:val="00000A"/>
                <w:sz w:val="22"/>
                <w:szCs w:val="22"/>
              </w:rPr>
              <w:t>Kategorią interwencji dla niniejszego konkursu jest kategoria 013 Renowacja infrastruktury publicznej dla celów efektywności energetycznej, projekty demonstracyjne i środki wsparcia.</w:t>
            </w:r>
          </w:p>
        </w:tc>
      </w:tr>
      <w:tr w:rsidR="005A17EF" w:rsidTr="00E86DB9">
        <w:tc>
          <w:tcPr>
            <w:tcW w:w="5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FD26CA" w:rsidP="007B2B8D">
            <w:pPr>
              <w:spacing w:after="0" w:line="240" w:lineRule="auto"/>
              <w:rPr>
                <w:b/>
                <w:bCs/>
                <w:color w:val="000000"/>
              </w:rPr>
            </w:pPr>
            <w:r>
              <w:rPr>
                <w:b/>
                <w:bCs/>
                <w:color w:val="000000"/>
              </w:rPr>
              <w:lastRenderedPageBreak/>
              <w:t xml:space="preserve">5. </w:t>
            </w:r>
          </w:p>
        </w:tc>
        <w:tc>
          <w:tcPr>
            <w:tcW w:w="22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FD26CA" w:rsidP="007B2B8D">
            <w:pPr>
              <w:spacing w:after="0" w:line="240" w:lineRule="auto"/>
              <w:rPr>
                <w:b/>
                <w:bCs/>
                <w:color w:val="000000"/>
              </w:rPr>
            </w:pPr>
            <w:r>
              <w:rPr>
                <w:b/>
                <w:bCs/>
                <w:color w:val="000000"/>
              </w:rPr>
              <w:t xml:space="preserve">Typy beneficjentów: </w:t>
            </w:r>
          </w:p>
        </w:tc>
        <w:tc>
          <w:tcPr>
            <w:tcW w:w="68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FD26CA" w:rsidP="007B2B8D">
            <w:pPr>
              <w:spacing w:after="0" w:line="240" w:lineRule="auto"/>
              <w:jc w:val="both"/>
              <w:rPr>
                <w:color w:val="000000"/>
              </w:rPr>
            </w:pPr>
            <w:r>
              <w:rPr>
                <w:color w:val="000000"/>
              </w:rPr>
              <w:t xml:space="preserve">O dofinansowanie w ramach konkursu mogą ubiegać się następujące typy beneficjentów: </w:t>
            </w:r>
          </w:p>
          <w:p w:rsidR="005A17EF" w:rsidRDefault="00FD26CA" w:rsidP="007B2B8D">
            <w:pPr>
              <w:pStyle w:val="Akapitzlist"/>
              <w:numPr>
                <w:ilvl w:val="0"/>
                <w:numId w:val="1"/>
              </w:numPr>
              <w:spacing w:line="240" w:lineRule="auto"/>
              <w:contextualSpacing/>
              <w:jc w:val="both"/>
              <w:rPr>
                <w:rFonts w:ascii="Calibri" w:eastAsia="TTE1ABE920t00" w:hAnsi="Calibri" w:cs="Arial"/>
              </w:rPr>
            </w:pPr>
            <w:r>
              <w:rPr>
                <w:rFonts w:ascii="Calibri" w:eastAsia="TTE1ABE920t00" w:hAnsi="Calibri" w:cs="Arial"/>
              </w:rPr>
              <w:t xml:space="preserve">jednostki samorządu terytorialnego, ich związki i stowarzyszenia; </w:t>
            </w:r>
          </w:p>
          <w:p w:rsidR="005A17EF" w:rsidRDefault="00FD26CA" w:rsidP="007B2B8D">
            <w:pPr>
              <w:pStyle w:val="Akapitzlist"/>
              <w:numPr>
                <w:ilvl w:val="0"/>
                <w:numId w:val="1"/>
              </w:numPr>
              <w:spacing w:line="240" w:lineRule="auto"/>
              <w:contextualSpacing/>
              <w:jc w:val="both"/>
              <w:rPr>
                <w:rFonts w:ascii="Calibri" w:eastAsia="TTE1ABE920t00" w:hAnsi="Calibri" w:cs="Arial"/>
              </w:rPr>
            </w:pPr>
            <w:r>
              <w:rPr>
                <w:rFonts w:ascii="Calibri" w:eastAsia="TTE1ABE920t00" w:hAnsi="Calibri" w:cs="Arial"/>
              </w:rPr>
              <w:t xml:space="preserve">podmioty publiczne, których właścicielem jest JST lub dla których podmiotem założycielskim jest JST; </w:t>
            </w:r>
          </w:p>
          <w:p w:rsidR="005A17EF" w:rsidRDefault="00FD26CA" w:rsidP="007B2B8D">
            <w:pPr>
              <w:pStyle w:val="Akapitzlist"/>
              <w:numPr>
                <w:ilvl w:val="0"/>
                <w:numId w:val="1"/>
              </w:numPr>
              <w:spacing w:line="240" w:lineRule="auto"/>
              <w:contextualSpacing/>
              <w:jc w:val="both"/>
              <w:rPr>
                <w:rFonts w:ascii="Calibri" w:eastAsia="TTE1ABE920t00" w:hAnsi="Calibri" w:cs="Arial"/>
              </w:rPr>
            </w:pPr>
            <w:r>
              <w:rPr>
                <w:rFonts w:ascii="Calibri" w:eastAsia="TTE1ABE920t00" w:hAnsi="Calibri" w:cs="Arial"/>
              </w:rPr>
              <w:t xml:space="preserve">jednostki organizacyjne JST; </w:t>
            </w:r>
          </w:p>
          <w:p w:rsidR="005A17EF" w:rsidRDefault="00FD26CA" w:rsidP="007B2B8D">
            <w:pPr>
              <w:pStyle w:val="Akapitzlist"/>
              <w:numPr>
                <w:ilvl w:val="0"/>
                <w:numId w:val="1"/>
              </w:numPr>
              <w:spacing w:line="240" w:lineRule="auto"/>
              <w:contextualSpacing/>
              <w:jc w:val="both"/>
              <w:rPr>
                <w:rFonts w:ascii="Calibri" w:eastAsia="TTE1ABE920t00" w:hAnsi="Calibri" w:cs="Arial"/>
              </w:rPr>
            </w:pPr>
            <w:r>
              <w:rPr>
                <w:rFonts w:ascii="Calibri" w:eastAsia="TTE1ABE920t00" w:hAnsi="Calibri" w:cs="Arial"/>
              </w:rPr>
              <w:t xml:space="preserve">spółdzielnie mieszkaniowe i wspólnoty mieszkaniowe; </w:t>
            </w:r>
          </w:p>
          <w:p w:rsidR="005A17EF" w:rsidRDefault="00FD26CA" w:rsidP="007B2B8D">
            <w:pPr>
              <w:pStyle w:val="Akapitzlist"/>
              <w:numPr>
                <w:ilvl w:val="0"/>
                <w:numId w:val="1"/>
              </w:numPr>
              <w:spacing w:line="240" w:lineRule="auto"/>
              <w:contextualSpacing/>
              <w:jc w:val="both"/>
              <w:rPr>
                <w:rFonts w:ascii="Calibri" w:eastAsia="TTE1ABE920t00" w:hAnsi="Calibri" w:cs="Arial"/>
              </w:rPr>
            </w:pPr>
            <w:r>
              <w:rPr>
                <w:rFonts w:ascii="Calibri" w:eastAsia="TTE1ABE920t00" w:hAnsi="Calibri" w:cs="Arial"/>
              </w:rPr>
              <w:t>towarzystwa budownictwa społecznego;</w:t>
            </w:r>
          </w:p>
          <w:p w:rsidR="005A17EF" w:rsidRDefault="00FD26CA" w:rsidP="007B2B8D">
            <w:pPr>
              <w:pStyle w:val="Akapitzlist"/>
              <w:numPr>
                <w:ilvl w:val="0"/>
                <w:numId w:val="1"/>
              </w:numPr>
              <w:spacing w:line="240" w:lineRule="auto"/>
              <w:contextualSpacing/>
              <w:jc w:val="both"/>
              <w:rPr>
                <w:rFonts w:ascii="Calibri" w:eastAsia="TTE1ABE920t00" w:hAnsi="Calibri" w:cs="Arial"/>
              </w:rPr>
            </w:pPr>
            <w:r>
              <w:rPr>
                <w:rFonts w:ascii="Calibri" w:eastAsia="TTE1ABE920t00" w:hAnsi="Calibri" w:cs="Arial"/>
              </w:rPr>
              <w:t xml:space="preserve">organizacje pozarządowe; </w:t>
            </w:r>
          </w:p>
          <w:p w:rsidR="005A17EF" w:rsidRDefault="00FD26CA" w:rsidP="007B2B8D">
            <w:pPr>
              <w:pStyle w:val="Akapitzlist"/>
              <w:numPr>
                <w:ilvl w:val="0"/>
                <w:numId w:val="1"/>
              </w:numPr>
              <w:spacing w:line="240" w:lineRule="auto"/>
              <w:contextualSpacing/>
              <w:jc w:val="both"/>
              <w:rPr>
                <w:rFonts w:ascii="Calibri" w:eastAsia="TTE1ABE920t00" w:hAnsi="Calibri" w:cs="Arial"/>
              </w:rPr>
            </w:pPr>
            <w:r>
              <w:rPr>
                <w:rFonts w:ascii="Calibri" w:eastAsia="TTE1ABE920t00" w:hAnsi="Calibri" w:cs="Arial"/>
              </w:rPr>
              <w:t xml:space="preserve">PGL Lasy Państwowe i jego jednostki organizacyjne; </w:t>
            </w:r>
          </w:p>
          <w:p w:rsidR="005A17EF" w:rsidRDefault="00FD26CA" w:rsidP="007B2B8D">
            <w:pPr>
              <w:pStyle w:val="Akapitzlist"/>
              <w:numPr>
                <w:ilvl w:val="0"/>
                <w:numId w:val="1"/>
              </w:numPr>
              <w:spacing w:line="240" w:lineRule="auto"/>
              <w:contextualSpacing/>
              <w:jc w:val="both"/>
              <w:rPr>
                <w:rFonts w:ascii="Calibri" w:eastAsia="TTE1ABE920t00" w:hAnsi="Calibri" w:cs="Arial"/>
              </w:rPr>
            </w:pPr>
            <w:r>
              <w:rPr>
                <w:rFonts w:ascii="Calibri" w:eastAsia="TTE1ABE920t00" w:hAnsi="Calibri" w:cs="Arial"/>
              </w:rPr>
              <w:t>kościoły, związki wyznaniowe oraz osoby prawne kościołów i związków wyznaniowych.</w:t>
            </w:r>
          </w:p>
          <w:p w:rsidR="005A17EF" w:rsidRDefault="005A17EF" w:rsidP="007B2B8D">
            <w:pPr>
              <w:pStyle w:val="Akapitzlist"/>
              <w:spacing w:before="0" w:line="240" w:lineRule="auto"/>
              <w:ind w:left="360"/>
              <w:contextualSpacing/>
              <w:jc w:val="both"/>
              <w:rPr>
                <w:rFonts w:eastAsia="TTE1ABE920t00" w:cs="Arial"/>
              </w:rPr>
            </w:pPr>
          </w:p>
          <w:p w:rsidR="005A17EF" w:rsidRDefault="00FD26CA" w:rsidP="007B2B8D">
            <w:pPr>
              <w:pStyle w:val="Akapitzlist"/>
              <w:spacing w:before="0" w:line="240" w:lineRule="auto"/>
              <w:ind w:left="33"/>
              <w:contextualSpacing/>
              <w:jc w:val="both"/>
              <w:rPr>
                <w:rFonts w:ascii="Calibri" w:eastAsia="TTE1ABE920t00" w:hAnsi="Calibri" w:cs="Arial"/>
              </w:rPr>
            </w:pPr>
            <w:r>
              <w:rPr>
                <w:rFonts w:ascii="Calibri" w:eastAsia="TTE1ABE920t00" w:hAnsi="Calibri" w:cs="Arial"/>
              </w:rPr>
              <w:t xml:space="preserve">Do identyfikacji podmiotu publicznego należy stosować definicję zapisaną </w:t>
            </w:r>
            <w:r>
              <w:rPr>
                <w:rFonts w:ascii="Calibri" w:eastAsia="TTE1ABE920t00" w:hAnsi="Calibri" w:cs="Arial"/>
              </w:rPr>
              <w:br/>
              <w:t xml:space="preserve">w ustawie z dnia 19 grudnia 2008 r. o partnerstwie publiczno-prywatnym. </w:t>
            </w:r>
            <w:r>
              <w:rPr>
                <w:rFonts w:ascii="Calibri" w:eastAsia="TTE1ABE920t00" w:hAnsi="Calibri" w:cs="Arial"/>
              </w:rPr>
              <w:lastRenderedPageBreak/>
              <w:t>Podmioty publiczne mogą realizować projekt w zakresie budynków użyteczności publicznej.</w:t>
            </w:r>
          </w:p>
          <w:p w:rsidR="005C4E26" w:rsidRDefault="005C4E26" w:rsidP="007B2B8D">
            <w:pPr>
              <w:pStyle w:val="Akapitzlist"/>
              <w:spacing w:before="0" w:line="240" w:lineRule="auto"/>
              <w:ind w:left="33"/>
              <w:contextualSpacing/>
              <w:jc w:val="both"/>
              <w:rPr>
                <w:rFonts w:ascii="Calibri" w:eastAsia="TTE1ABE920t00" w:hAnsi="Calibri" w:cs="Arial"/>
              </w:rPr>
            </w:pPr>
          </w:p>
        </w:tc>
      </w:tr>
      <w:tr w:rsidR="005A17EF" w:rsidTr="00E86DB9">
        <w:tc>
          <w:tcPr>
            <w:tcW w:w="5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FD26CA" w:rsidP="007B2B8D">
            <w:pPr>
              <w:spacing w:after="0" w:line="240" w:lineRule="auto"/>
              <w:rPr>
                <w:b/>
                <w:bCs/>
              </w:rPr>
            </w:pPr>
            <w:r>
              <w:rPr>
                <w:b/>
                <w:bCs/>
              </w:rPr>
              <w:lastRenderedPageBreak/>
              <w:t>6.</w:t>
            </w:r>
          </w:p>
        </w:tc>
        <w:tc>
          <w:tcPr>
            <w:tcW w:w="22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FD26CA" w:rsidP="007B2B8D">
            <w:pPr>
              <w:pStyle w:val="Default"/>
              <w:spacing w:line="240" w:lineRule="auto"/>
              <w:rPr>
                <w:b/>
                <w:bCs/>
                <w:color w:val="00000A"/>
                <w:sz w:val="22"/>
                <w:szCs w:val="22"/>
              </w:rPr>
            </w:pPr>
            <w:r>
              <w:rPr>
                <w:b/>
                <w:bCs/>
                <w:color w:val="00000A"/>
                <w:sz w:val="22"/>
                <w:szCs w:val="22"/>
              </w:rPr>
              <w:t xml:space="preserve">Kwota przeznaczona na dofinansowanie projektów w konkursie: </w:t>
            </w:r>
          </w:p>
          <w:p w:rsidR="005A17EF" w:rsidRDefault="005A17EF" w:rsidP="007B2B8D">
            <w:pPr>
              <w:spacing w:after="0" w:line="240" w:lineRule="auto"/>
              <w:rPr>
                <w:b/>
                <w:bCs/>
              </w:rPr>
            </w:pPr>
          </w:p>
        </w:tc>
        <w:tc>
          <w:tcPr>
            <w:tcW w:w="68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FD26CA" w:rsidP="007B2B8D">
            <w:pPr>
              <w:spacing w:after="0" w:line="240" w:lineRule="auto"/>
              <w:jc w:val="both"/>
            </w:pPr>
            <w:r>
              <w:t>Konkurs będzie miał charakter horyzontalny:</w:t>
            </w:r>
          </w:p>
          <w:p w:rsidR="005A17EF" w:rsidRDefault="005A17EF" w:rsidP="007B2B8D">
            <w:pPr>
              <w:spacing w:after="0" w:line="240" w:lineRule="auto"/>
              <w:jc w:val="both"/>
            </w:pPr>
          </w:p>
          <w:p w:rsidR="005A17EF" w:rsidRDefault="00FD26CA" w:rsidP="007B2B8D">
            <w:pPr>
              <w:spacing w:after="0" w:line="240" w:lineRule="auto"/>
              <w:jc w:val="both"/>
              <w:rPr>
                <w:b/>
              </w:rPr>
            </w:pPr>
            <w:r>
              <w:t xml:space="preserve">ogółem alokacja przeznaczona na konkurs wynosi </w:t>
            </w:r>
            <w:r>
              <w:rPr>
                <w:b/>
              </w:rPr>
              <w:t>7 457 381 EUR</w:t>
            </w:r>
            <w:r>
              <w:t xml:space="preserve"> tj. </w:t>
            </w:r>
            <w:r w:rsidRPr="00565CB6">
              <w:rPr>
                <w:b/>
              </w:rPr>
              <w:t>31 619 295,44</w:t>
            </w:r>
            <w:r>
              <w:t xml:space="preserve"> </w:t>
            </w:r>
            <w:r>
              <w:rPr>
                <w:b/>
              </w:rPr>
              <w:t>PLN</w:t>
            </w:r>
          </w:p>
          <w:p w:rsidR="005C4E26" w:rsidRDefault="005C4E26" w:rsidP="007B2B8D">
            <w:pPr>
              <w:spacing w:after="0" w:line="240" w:lineRule="auto"/>
              <w:jc w:val="both"/>
              <w:rPr>
                <w:b/>
              </w:rPr>
            </w:pPr>
          </w:p>
          <w:p w:rsidR="005A17EF" w:rsidRDefault="00FD26CA" w:rsidP="007B2B8D">
            <w:pPr>
              <w:spacing w:after="0" w:line="240" w:lineRule="auto"/>
              <w:jc w:val="both"/>
              <w:rPr>
                <w:rFonts w:cs="MS Sans Serif"/>
              </w:rPr>
            </w:pPr>
            <w:r>
              <w:rPr>
                <w:rFonts w:cs="MS Sans Serif"/>
              </w:rPr>
              <w:t xml:space="preserve">Alokacja przeliczona po kursie Europejskiego Banku Centralnego (EBC) obowiązującym w styczniu 2016 r.,  </w:t>
            </w:r>
            <w:r w:rsidRPr="00FA50DB">
              <w:rPr>
                <w:rFonts w:cs="MS Sans Serif"/>
                <w:b/>
              </w:rPr>
              <w:t>1 EUR = 4,2400 PLN</w:t>
            </w:r>
            <w:r>
              <w:rPr>
                <w:rFonts w:cs="MS Sans Serif"/>
              </w:rPr>
              <w:t xml:space="preserve">. </w:t>
            </w:r>
          </w:p>
          <w:p w:rsidR="005A17EF" w:rsidRDefault="005A17EF" w:rsidP="007B2B8D">
            <w:pPr>
              <w:spacing w:after="0" w:line="240" w:lineRule="auto"/>
              <w:jc w:val="both"/>
              <w:rPr>
                <w:rFonts w:cs="MS Sans Serif"/>
              </w:rPr>
            </w:pPr>
          </w:p>
          <w:p w:rsidR="005A17EF" w:rsidRDefault="00FD26CA" w:rsidP="007B2B8D">
            <w:pPr>
              <w:spacing w:after="0" w:line="240" w:lineRule="auto"/>
              <w:jc w:val="both"/>
            </w:pPr>
            <w:r>
              <w:t xml:space="preserve">Ze względu na kurs euro limit dostępnych środków może ulec zmianie. Z tego powodu dokładna kwota dofinansowania zostanie określona na etapie wyboru projektów przez Zarząd Województwa Dolnośląskiego. </w:t>
            </w:r>
          </w:p>
          <w:p w:rsidR="005A17EF" w:rsidRDefault="005A17EF" w:rsidP="007B2B8D">
            <w:pPr>
              <w:spacing w:after="0" w:line="240" w:lineRule="auto"/>
              <w:jc w:val="both"/>
            </w:pPr>
          </w:p>
        </w:tc>
      </w:tr>
      <w:tr w:rsidR="005A17EF" w:rsidTr="00E86DB9">
        <w:tc>
          <w:tcPr>
            <w:tcW w:w="5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FD26CA" w:rsidP="007B2B8D">
            <w:pPr>
              <w:spacing w:after="0" w:line="240" w:lineRule="auto"/>
              <w:rPr>
                <w:b/>
                <w:bCs/>
              </w:rPr>
            </w:pPr>
            <w:r>
              <w:rPr>
                <w:b/>
                <w:bCs/>
              </w:rPr>
              <w:t>7.</w:t>
            </w:r>
          </w:p>
        </w:tc>
        <w:tc>
          <w:tcPr>
            <w:tcW w:w="22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FD26CA" w:rsidP="007B2B8D">
            <w:pPr>
              <w:pStyle w:val="Default"/>
              <w:spacing w:line="240" w:lineRule="auto"/>
              <w:rPr>
                <w:b/>
                <w:bCs/>
                <w:color w:val="00000A"/>
                <w:sz w:val="22"/>
                <w:szCs w:val="22"/>
              </w:rPr>
            </w:pPr>
            <w:r>
              <w:rPr>
                <w:b/>
                <w:bCs/>
                <w:color w:val="00000A"/>
                <w:sz w:val="22"/>
                <w:szCs w:val="22"/>
              </w:rPr>
              <w:t>Minimalna wartość projektu:</w:t>
            </w:r>
          </w:p>
        </w:tc>
        <w:tc>
          <w:tcPr>
            <w:tcW w:w="68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FD26CA" w:rsidP="007B2B8D">
            <w:pPr>
              <w:spacing w:after="0" w:line="240" w:lineRule="auto"/>
              <w:jc w:val="both"/>
            </w:pPr>
            <w:r>
              <w:t>Minimalna</w:t>
            </w:r>
            <w:r w:rsidR="00A55CBD">
              <w:t xml:space="preserve"> </w:t>
            </w:r>
            <w:r w:rsidR="00A55CBD" w:rsidRPr="009A2DAA">
              <w:rPr>
                <w:color w:val="auto"/>
              </w:rPr>
              <w:t>całkowita</w:t>
            </w:r>
            <w:r>
              <w:t xml:space="preserve"> wartość projektu: 50 000 PLN</w:t>
            </w:r>
          </w:p>
        </w:tc>
      </w:tr>
      <w:tr w:rsidR="005A17EF" w:rsidTr="00E86DB9">
        <w:tc>
          <w:tcPr>
            <w:tcW w:w="5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FD26CA" w:rsidP="007B2B8D">
            <w:pPr>
              <w:spacing w:after="0" w:line="240" w:lineRule="auto"/>
              <w:rPr>
                <w:b/>
                <w:bCs/>
              </w:rPr>
            </w:pPr>
            <w:r>
              <w:rPr>
                <w:b/>
                <w:bCs/>
              </w:rPr>
              <w:t xml:space="preserve">8. </w:t>
            </w:r>
          </w:p>
        </w:tc>
        <w:tc>
          <w:tcPr>
            <w:tcW w:w="22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FD26CA" w:rsidP="007B2B8D">
            <w:pPr>
              <w:pStyle w:val="Default"/>
              <w:spacing w:line="240" w:lineRule="auto"/>
              <w:rPr>
                <w:b/>
                <w:bCs/>
                <w:color w:val="00000A"/>
                <w:sz w:val="22"/>
                <w:szCs w:val="22"/>
              </w:rPr>
            </w:pPr>
            <w:r>
              <w:rPr>
                <w:b/>
                <w:bCs/>
                <w:color w:val="00000A"/>
                <w:sz w:val="22"/>
                <w:szCs w:val="22"/>
              </w:rPr>
              <w:t>Maksymalna wartość projektu:</w:t>
            </w:r>
          </w:p>
        </w:tc>
        <w:tc>
          <w:tcPr>
            <w:tcW w:w="68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FD26CA" w:rsidP="007B2B8D">
            <w:pPr>
              <w:spacing w:after="0" w:line="240" w:lineRule="auto"/>
              <w:jc w:val="both"/>
            </w:pPr>
            <w:r>
              <w:t>Nie dotyczy</w:t>
            </w:r>
          </w:p>
        </w:tc>
      </w:tr>
      <w:tr w:rsidR="005A17EF" w:rsidTr="00E86DB9">
        <w:tc>
          <w:tcPr>
            <w:tcW w:w="5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FD26CA" w:rsidP="007B2B8D">
            <w:pPr>
              <w:spacing w:after="0" w:line="240" w:lineRule="auto"/>
              <w:rPr>
                <w:b/>
                <w:bCs/>
              </w:rPr>
            </w:pPr>
            <w:r>
              <w:rPr>
                <w:b/>
                <w:bCs/>
              </w:rPr>
              <w:t>9.</w:t>
            </w:r>
          </w:p>
        </w:tc>
        <w:tc>
          <w:tcPr>
            <w:tcW w:w="22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FD26CA" w:rsidP="007B2B8D">
            <w:pPr>
              <w:pStyle w:val="Default"/>
              <w:spacing w:line="240" w:lineRule="auto"/>
              <w:rPr>
                <w:b/>
                <w:bCs/>
                <w:color w:val="00000A"/>
                <w:sz w:val="22"/>
                <w:szCs w:val="22"/>
              </w:rPr>
            </w:pPr>
            <w:r>
              <w:rPr>
                <w:b/>
                <w:bCs/>
                <w:color w:val="00000A"/>
                <w:sz w:val="22"/>
                <w:szCs w:val="22"/>
              </w:rPr>
              <w:t xml:space="preserve">Pomoc publiczna i pomoc de minimis (rodzaj i przeznaczenie pomocy, unijna lub krajowa podstawa prawna): </w:t>
            </w:r>
          </w:p>
          <w:p w:rsidR="005A17EF" w:rsidRDefault="005A17EF" w:rsidP="007B2B8D">
            <w:pPr>
              <w:spacing w:after="0" w:line="240" w:lineRule="auto"/>
              <w:rPr>
                <w:b/>
                <w:bCs/>
              </w:rPr>
            </w:pPr>
          </w:p>
        </w:tc>
        <w:tc>
          <w:tcPr>
            <w:tcW w:w="68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FD26CA" w:rsidP="007B2B8D">
            <w:pPr>
              <w:spacing w:before="120" w:after="120" w:line="240" w:lineRule="auto"/>
              <w:jc w:val="both"/>
              <w:rPr>
                <w:rFonts w:eastAsia="Times New Roman" w:cs="Arial"/>
                <w:bCs/>
                <w:lang w:eastAsia="pl-PL"/>
              </w:rPr>
            </w:pPr>
            <w:r>
              <w:rPr>
                <w:rFonts w:cs="Arial"/>
              </w:rPr>
              <w:t>Przed wypełnieniem wniosku należy przeanalizować projekt pod kątem wystąpienia pomocy publicznej</w:t>
            </w:r>
            <w:r>
              <w:rPr>
                <w:rFonts w:eastAsia="Times New Roman" w:cs="Arial"/>
                <w:bCs/>
                <w:lang w:eastAsia="pl-PL"/>
              </w:rPr>
              <w:t xml:space="preserve">. </w:t>
            </w:r>
          </w:p>
          <w:p w:rsidR="005A17EF" w:rsidRDefault="00FD26CA" w:rsidP="007B2B8D">
            <w:pPr>
              <w:spacing w:before="280" w:after="280" w:line="240" w:lineRule="auto"/>
              <w:jc w:val="both"/>
              <w:rPr>
                <w:rFonts w:eastAsia="Times New Roman" w:cs="Times New Roman"/>
                <w:lang w:eastAsia="pl-PL"/>
              </w:rPr>
            </w:pPr>
            <w:r>
              <w:rPr>
                <w:rFonts w:eastAsia="Times New Roman" w:cs="Times New Roman"/>
                <w:lang w:eastAsia="pl-PL"/>
              </w:rPr>
              <w:t>Pomocą publiczną jest wszelka pomoc, która kumulatywnie spełnia następujące przesłanki:</w:t>
            </w:r>
          </w:p>
          <w:p w:rsidR="005A17EF" w:rsidRDefault="00FD26CA" w:rsidP="007B2B8D">
            <w:pPr>
              <w:numPr>
                <w:ilvl w:val="0"/>
                <w:numId w:val="12"/>
              </w:numPr>
              <w:spacing w:before="280" w:after="0" w:line="240" w:lineRule="auto"/>
              <w:jc w:val="both"/>
              <w:rPr>
                <w:rFonts w:eastAsia="Times New Roman" w:cs="Times New Roman"/>
                <w:lang w:eastAsia="pl-PL"/>
              </w:rPr>
            </w:pPr>
            <w:r>
              <w:rPr>
                <w:rFonts w:eastAsia="Times New Roman" w:cs="Times New Roman"/>
                <w:lang w:eastAsia="pl-PL"/>
              </w:rPr>
              <w:t>beneficjentem wsparcia jest przedsiębiorca w rozumieniu funkcjonalnym;</w:t>
            </w:r>
          </w:p>
          <w:p w:rsidR="005A17EF" w:rsidRDefault="00FD26CA" w:rsidP="007B2B8D">
            <w:pPr>
              <w:numPr>
                <w:ilvl w:val="0"/>
                <w:numId w:val="12"/>
              </w:numPr>
              <w:spacing w:after="0" w:line="240" w:lineRule="auto"/>
              <w:jc w:val="both"/>
              <w:rPr>
                <w:rFonts w:eastAsia="Times New Roman" w:cs="Times New Roman"/>
                <w:lang w:eastAsia="pl-PL"/>
              </w:rPr>
            </w:pPr>
            <w:r>
              <w:rPr>
                <w:rFonts w:eastAsia="Times New Roman" w:cs="Times New Roman"/>
                <w:lang w:eastAsia="pl-PL"/>
              </w:rPr>
              <w:t xml:space="preserve">jest udzielona za pośrednictwem lub ze źródeł państwowych </w:t>
            </w:r>
            <w:r>
              <w:rPr>
                <w:rFonts w:eastAsia="Times New Roman" w:cs="Times New Roman"/>
                <w:lang w:eastAsia="pl-PL"/>
              </w:rPr>
              <w:br/>
              <w:t>w jakiejkolwiek formie;</w:t>
            </w:r>
          </w:p>
          <w:p w:rsidR="005A17EF" w:rsidRDefault="00FD26CA" w:rsidP="007B2B8D">
            <w:pPr>
              <w:numPr>
                <w:ilvl w:val="0"/>
                <w:numId w:val="12"/>
              </w:numPr>
              <w:spacing w:after="0" w:line="240" w:lineRule="auto"/>
              <w:jc w:val="both"/>
            </w:pPr>
            <w:r>
              <w:rPr>
                <w:rFonts w:eastAsia="Times New Roman" w:cs="Times New Roman"/>
                <w:lang w:eastAsia="pl-PL"/>
              </w:rPr>
              <w:t>stanowi korzyść dla beneficjenta oraz jest selektywna</w:t>
            </w:r>
            <w:r>
              <w:t xml:space="preserve"> tj. uprzywilejowuje niektórych przedsiębiorców lub produkcję niektórych towarów;</w:t>
            </w:r>
          </w:p>
          <w:p w:rsidR="005A17EF" w:rsidRDefault="00FD26CA" w:rsidP="007B2B8D">
            <w:pPr>
              <w:numPr>
                <w:ilvl w:val="0"/>
                <w:numId w:val="12"/>
              </w:numPr>
              <w:spacing w:after="0" w:line="240" w:lineRule="auto"/>
              <w:jc w:val="both"/>
              <w:rPr>
                <w:rFonts w:eastAsia="Times New Roman" w:cs="Times New Roman"/>
                <w:lang w:eastAsia="pl-PL"/>
              </w:rPr>
            </w:pPr>
            <w:r>
              <w:rPr>
                <w:rFonts w:eastAsia="Times New Roman" w:cs="Times New Roman"/>
                <w:lang w:eastAsia="pl-PL"/>
              </w:rPr>
              <w:t>zakłóca lub grozi zakłóceniem konkurencji poprzez sprzyjanie niektórym przedsiębiorcom;</w:t>
            </w:r>
          </w:p>
          <w:p w:rsidR="005A17EF" w:rsidRDefault="00FD26CA" w:rsidP="007B2B8D">
            <w:pPr>
              <w:numPr>
                <w:ilvl w:val="0"/>
                <w:numId w:val="12"/>
              </w:numPr>
              <w:spacing w:after="280" w:line="240" w:lineRule="auto"/>
              <w:jc w:val="both"/>
              <w:rPr>
                <w:rFonts w:eastAsia="Times New Roman" w:cs="Times New Roman"/>
                <w:lang w:eastAsia="pl-PL"/>
              </w:rPr>
            </w:pPr>
            <w:r>
              <w:rPr>
                <w:rFonts w:eastAsia="Times New Roman" w:cs="Times New Roman"/>
                <w:lang w:eastAsia="pl-PL"/>
              </w:rPr>
              <w:t>oraz wpływa na wymianę handlową pomiędzy Państwami Członkowskimi Unii Europejskiej.</w:t>
            </w:r>
          </w:p>
          <w:p w:rsidR="005A17EF" w:rsidRDefault="00FD26CA" w:rsidP="007B2B8D">
            <w:pPr>
              <w:spacing w:before="40" w:after="40" w:line="240" w:lineRule="auto"/>
              <w:jc w:val="both"/>
            </w:pPr>
            <w:r>
              <w:t>W przypadku stwierdzenia przez wnioskodawcę występowania pomocy publicznej w projekcie, zastosowanie znajdą</w:t>
            </w:r>
            <w:r>
              <w:rPr>
                <w:rFonts w:cs="Arial"/>
              </w:rPr>
              <w:t xml:space="preserve"> właściwe przepisy prawa wspólnotowego i krajowego dotyczące zasad udzielania tej pomocy</w:t>
            </w:r>
            <w:r>
              <w:t xml:space="preserve">: </w:t>
            </w:r>
          </w:p>
          <w:p w:rsidR="005A17EF" w:rsidRDefault="00FD26CA" w:rsidP="007B2B8D">
            <w:pPr>
              <w:pStyle w:val="Akapitzlist"/>
              <w:numPr>
                <w:ilvl w:val="0"/>
                <w:numId w:val="13"/>
              </w:numPr>
              <w:spacing w:before="120" w:after="120" w:line="240" w:lineRule="auto"/>
              <w:ind w:left="459"/>
              <w:jc w:val="both"/>
              <w:rPr>
                <w:rFonts w:ascii="Calibri" w:hAnsi="Calibri"/>
                <w:szCs w:val="22"/>
              </w:rPr>
            </w:pPr>
            <w:r>
              <w:rPr>
                <w:rFonts w:ascii="Calibri" w:hAnsi="Calibri"/>
                <w:szCs w:val="22"/>
              </w:rPr>
              <w:t>Rozporządzenia Komisji (UE) nr 651/2014 z 17 czerwca 2014 roku uznające niektóre rodzaje pomocy za zgodne z rynkiem wewnętrznym w zastosowaniu art. 107 i 108 Traktatu;</w:t>
            </w:r>
          </w:p>
          <w:p w:rsidR="005A17EF" w:rsidRDefault="00FD26CA" w:rsidP="007B2B8D">
            <w:pPr>
              <w:pStyle w:val="Akapitzlist"/>
              <w:numPr>
                <w:ilvl w:val="0"/>
                <w:numId w:val="13"/>
              </w:numPr>
              <w:spacing w:before="120" w:after="120" w:line="240" w:lineRule="auto"/>
              <w:ind w:left="459"/>
              <w:jc w:val="both"/>
              <w:rPr>
                <w:rFonts w:ascii="Calibri" w:hAnsi="Calibri"/>
                <w:szCs w:val="22"/>
              </w:rPr>
            </w:pPr>
            <w:r>
              <w:rPr>
                <w:rFonts w:ascii="Calibri" w:hAnsi="Calibri"/>
                <w:szCs w:val="22"/>
              </w:rPr>
              <w:t>Rozporządzenie Ministra Infrastruktury i Rozwoju z dnia 28 sierpnia 2015 r. w sprawie udzielania pomocy na inwestycje wspierające efektywność energetyczną w ramach regionalnych programów operacyjnych na lata 2014–2020 (Dz.U z 2015 r. poz. 1363)</w:t>
            </w:r>
            <w:r w:rsidR="00F758CB">
              <w:rPr>
                <w:rFonts w:ascii="Calibri" w:hAnsi="Calibri"/>
                <w:szCs w:val="22"/>
              </w:rPr>
              <w:t xml:space="preserve"> – wydane na podstawie GBER</w:t>
            </w:r>
            <w:r w:rsidR="0090435E">
              <w:rPr>
                <w:rFonts w:ascii="Calibri" w:hAnsi="Calibri"/>
                <w:szCs w:val="22"/>
              </w:rPr>
              <w:t>;</w:t>
            </w:r>
          </w:p>
          <w:p w:rsidR="000317D2" w:rsidRDefault="0090435E" w:rsidP="007B2B8D">
            <w:pPr>
              <w:pStyle w:val="Akapitzlist"/>
              <w:numPr>
                <w:ilvl w:val="0"/>
                <w:numId w:val="13"/>
              </w:numPr>
              <w:spacing w:before="120" w:after="120" w:line="240" w:lineRule="auto"/>
              <w:ind w:left="395"/>
              <w:jc w:val="both"/>
              <w:rPr>
                <w:rFonts w:ascii="Calibri" w:hAnsi="Calibri"/>
                <w:szCs w:val="22"/>
              </w:rPr>
            </w:pPr>
            <w:r w:rsidRPr="0090435E">
              <w:rPr>
                <w:rFonts w:ascii="Calibri" w:hAnsi="Calibri"/>
                <w:szCs w:val="22"/>
              </w:rPr>
              <w:lastRenderedPageBreak/>
              <w:t>Rozporządzenie Ministra infrastruktury i Rozwoju z dnia 5 listopada 2015 r. w sprawie udzielania pomocy na realizację inwestycji służących podniesieniu poziomu ochrony środowiska w ramach regionalnych programów operacyjnych na lata 2014–2020</w:t>
            </w:r>
            <w:r>
              <w:rPr>
                <w:rFonts w:ascii="Calibri" w:hAnsi="Calibri"/>
                <w:szCs w:val="22"/>
              </w:rPr>
              <w:t xml:space="preserve"> – wydane na podstawie GBER</w:t>
            </w:r>
            <w:r w:rsidRPr="0090435E">
              <w:rPr>
                <w:rFonts w:ascii="Calibri" w:hAnsi="Calibri"/>
                <w:szCs w:val="22"/>
              </w:rPr>
              <w:t>;</w:t>
            </w:r>
          </w:p>
          <w:p w:rsidR="0090435E" w:rsidRPr="000317D2" w:rsidRDefault="0090435E" w:rsidP="007B2B8D">
            <w:pPr>
              <w:pStyle w:val="Akapitzlist"/>
              <w:numPr>
                <w:ilvl w:val="0"/>
                <w:numId w:val="13"/>
              </w:numPr>
              <w:spacing w:before="120" w:after="120" w:line="240" w:lineRule="auto"/>
              <w:ind w:left="395"/>
              <w:jc w:val="both"/>
              <w:rPr>
                <w:rFonts w:ascii="Calibri" w:hAnsi="Calibri"/>
                <w:szCs w:val="22"/>
              </w:rPr>
            </w:pPr>
            <w:r w:rsidRPr="000317D2">
              <w:rPr>
                <w:rFonts w:ascii="Calibri" w:hAnsi="Calibri"/>
                <w:szCs w:val="22"/>
              </w:rPr>
              <w:t>Rozporządzenie Ministra Infrastruktury i Rozwoju z dnia 3 września 2015 r. w sprawie udzielania pomocy na inwestycje w układy wysokosprawnej kogeneracji oraz na propagowanie energii ze źródeł odnawialnych w ramach regionalnych programów operacyjnych na lata 2014–2020 – wydane na podstawie GBER.</w:t>
            </w:r>
          </w:p>
          <w:p w:rsidR="005A17EF" w:rsidRDefault="00FD26CA" w:rsidP="007B2B8D">
            <w:pPr>
              <w:spacing w:before="120" w:after="120" w:line="240" w:lineRule="auto"/>
              <w:jc w:val="both"/>
            </w:pPr>
            <w:r>
              <w:t xml:space="preserve">Jako alternatywę dopuszcza się także </w:t>
            </w:r>
            <w:r>
              <w:rPr>
                <w:rFonts w:eastAsia="TimesNewRoman" w:cs="TimesNewRoman,Bold"/>
                <w:bCs/>
              </w:rPr>
              <w:t xml:space="preserve">możliwość zastosowania  przepisów o </w:t>
            </w:r>
            <w:r>
              <w:t>pomocy de minimis</w:t>
            </w:r>
            <w:r w:rsidR="00EC2278">
              <w:t xml:space="preserve"> (wybór schematu należy do Wnioskodawcy):</w:t>
            </w:r>
          </w:p>
          <w:p w:rsidR="005A17EF" w:rsidRDefault="00FD26CA" w:rsidP="007B2B8D">
            <w:pPr>
              <w:pStyle w:val="Akapitzlist"/>
              <w:numPr>
                <w:ilvl w:val="0"/>
                <w:numId w:val="13"/>
              </w:numPr>
              <w:spacing w:before="120" w:after="120" w:line="240" w:lineRule="auto"/>
              <w:ind w:left="395"/>
              <w:jc w:val="both"/>
              <w:rPr>
                <w:rFonts w:ascii="Calibri" w:hAnsi="Calibri"/>
                <w:szCs w:val="22"/>
              </w:rPr>
            </w:pPr>
            <w:r>
              <w:rPr>
                <w:rFonts w:ascii="Calibri" w:hAnsi="Calibri"/>
                <w:szCs w:val="22"/>
              </w:rPr>
              <w:t>Rozporządzenie Komisji (UE) nr 1407/2013 z dnia 18 grudnia 2013 r. w sprawie stosowania art. 107 i 108 Traktatu o funkcjonowaniu Unii Europejskiej do pomocy de minimis;</w:t>
            </w:r>
          </w:p>
          <w:p w:rsidR="005A17EF" w:rsidRDefault="00FD26CA" w:rsidP="007B2B8D">
            <w:pPr>
              <w:numPr>
                <w:ilvl w:val="0"/>
                <w:numId w:val="13"/>
              </w:numPr>
              <w:spacing w:before="120" w:after="120" w:line="240" w:lineRule="auto"/>
              <w:ind w:left="395"/>
              <w:jc w:val="both"/>
              <w:rPr>
                <w:rStyle w:val="h2"/>
              </w:rPr>
            </w:pPr>
            <w:r>
              <w:rPr>
                <w:rStyle w:val="h2"/>
              </w:rPr>
              <w:t>Rozporządzenie Ministra Infrastruktury i Rozwoju z dnia 19 marca 2015 r. w sprawie udzielania pomocy de minimis w ramach regionalnych programów operacyjnych na lata 2014–2020</w:t>
            </w:r>
            <w:r w:rsidR="00F758CB">
              <w:rPr>
                <w:rStyle w:val="h2"/>
              </w:rPr>
              <w:t xml:space="preserve"> – wydane na podstawie rozporządzenia </w:t>
            </w:r>
            <w:r w:rsidR="00B81F65">
              <w:rPr>
                <w:rStyle w:val="h2"/>
              </w:rPr>
              <w:t>Komisji</w:t>
            </w:r>
            <w:r w:rsidR="00F061DC">
              <w:rPr>
                <w:rStyle w:val="h2"/>
              </w:rPr>
              <w:t>.</w:t>
            </w:r>
          </w:p>
          <w:p w:rsidR="00F061DC" w:rsidRDefault="00F061DC" w:rsidP="007B2B8D">
            <w:pPr>
              <w:spacing w:before="120" w:after="120" w:line="240" w:lineRule="auto"/>
              <w:jc w:val="both"/>
            </w:pPr>
            <w:r>
              <w:t xml:space="preserve">Istnieje możliwość realizacji projektów „mieszanych”, tzn. objętych w części pomocą publiczną (tj. w zakresie w jakim dot. działalności gospodarczej wnioskodawcy), a w części wsparciem niestanowiącym pomocy (tj. w zakresie prowadzonej działalności niegospodarczej). </w:t>
            </w:r>
          </w:p>
          <w:p w:rsidR="00F061DC" w:rsidRDefault="00F061DC" w:rsidP="007B2B8D">
            <w:pPr>
              <w:spacing w:before="120" w:after="120" w:line="240" w:lineRule="auto"/>
              <w:jc w:val="both"/>
            </w:pPr>
            <w:r>
              <w:t xml:space="preserve">Dotyczy to wyłącznie takich projektów, gdzie istnieje możliwość wyodrębnienia elementów projektu przyporządkowanych do działalności gospodarczej i niegospodarczej wnioskodawcy. </w:t>
            </w:r>
          </w:p>
          <w:p w:rsidR="00F061DC" w:rsidRDefault="00F061DC" w:rsidP="007B2B8D">
            <w:pPr>
              <w:spacing w:before="120" w:after="120" w:line="240" w:lineRule="auto"/>
              <w:jc w:val="both"/>
            </w:pPr>
            <w:r>
              <w:t xml:space="preserve">W powyższym przypadku należy pamiętać o konieczności prowadzenia rozdzielnej rachunkowości dla działalności gospodarczej i niegospodarczej – przez cały okres realizacji projektu i okres trwałości. </w:t>
            </w:r>
          </w:p>
          <w:p w:rsidR="00F061DC" w:rsidRDefault="00F061DC" w:rsidP="007B2B8D">
            <w:pPr>
              <w:spacing w:before="120" w:after="120" w:line="240" w:lineRule="auto"/>
              <w:jc w:val="both"/>
            </w:pPr>
            <w:r>
              <w:t xml:space="preserve">Konsekwencją niedochowania powyższych warunków w okresie trwałości projektu może być częściowy lub całkowity zwrot dofinansowania. </w:t>
            </w:r>
          </w:p>
          <w:p w:rsidR="004C5F4B" w:rsidRDefault="004C5F4B" w:rsidP="007B2B8D">
            <w:pPr>
              <w:spacing w:before="120" w:after="120" w:line="240" w:lineRule="auto"/>
              <w:jc w:val="both"/>
            </w:pPr>
            <w:r>
              <w:t xml:space="preserve">Przykładem projektu częściowo objętego regułami pomocy publicznej może być: </w:t>
            </w:r>
          </w:p>
          <w:p w:rsidR="004C5F4B" w:rsidRPr="004C5F4B" w:rsidRDefault="004C5F4B" w:rsidP="007B2B8D">
            <w:pPr>
              <w:pStyle w:val="Akapitzlist"/>
              <w:numPr>
                <w:ilvl w:val="0"/>
                <w:numId w:val="18"/>
              </w:numPr>
              <w:spacing w:before="120" w:after="120" w:line="240" w:lineRule="auto"/>
              <w:jc w:val="both"/>
              <w:rPr>
                <w:rFonts w:asciiTheme="minorHAnsi" w:hAnsiTheme="minorHAnsi"/>
              </w:rPr>
            </w:pPr>
            <w:r w:rsidRPr="004C5F4B">
              <w:rPr>
                <w:rFonts w:asciiTheme="minorHAnsi" w:hAnsiTheme="minorHAnsi"/>
              </w:rPr>
              <w:t>termomodernizacja budynku użyteczności publicznej, w którym nie jest prowadzona działalność gospodarcza (część projektu nie objęta pomocą publiczną) ale przewidziano montaż instalacji fotowoltaicznej on-grid czyli podłączonej do sieci energetycznej (część projektu objęta pomocą publiczną</w:t>
            </w:r>
            <w:r>
              <w:rPr>
                <w:rFonts w:asciiTheme="minorHAnsi" w:hAnsiTheme="minorHAnsi"/>
              </w:rPr>
              <w:t>,</w:t>
            </w:r>
            <w:r w:rsidRPr="004C5F4B">
              <w:rPr>
                <w:rFonts w:asciiTheme="minorHAnsi" w:hAnsiTheme="minorHAnsi"/>
              </w:rPr>
              <w:t xml:space="preserve"> lub</w:t>
            </w:r>
          </w:p>
          <w:p w:rsidR="004C5F4B" w:rsidRDefault="004C5F4B" w:rsidP="007B2B8D">
            <w:pPr>
              <w:pStyle w:val="Akapitzlist"/>
              <w:numPr>
                <w:ilvl w:val="0"/>
                <w:numId w:val="18"/>
              </w:numPr>
              <w:spacing w:before="120" w:after="120" w:line="240" w:lineRule="auto"/>
              <w:jc w:val="both"/>
            </w:pPr>
            <w:r w:rsidRPr="004C5F4B">
              <w:rPr>
                <w:rFonts w:asciiTheme="minorHAnsi" w:hAnsiTheme="minorHAnsi"/>
              </w:rPr>
              <w:t>termomodernizacja budynku użyteczności publicznej, w którym</w:t>
            </w:r>
            <w:r>
              <w:rPr>
                <w:rFonts w:asciiTheme="minorHAnsi" w:hAnsiTheme="minorHAnsi"/>
              </w:rPr>
              <w:t xml:space="preserve"> np. część pomieszczeń jest wynajmowana </w:t>
            </w:r>
            <w:r w:rsidR="00B867CA">
              <w:rPr>
                <w:rFonts w:asciiTheme="minorHAnsi" w:hAnsiTheme="minorHAnsi"/>
              </w:rPr>
              <w:t xml:space="preserve">(część objęta pomocą publiczną) </w:t>
            </w:r>
            <w:r>
              <w:rPr>
                <w:rFonts w:asciiTheme="minorHAnsi" w:hAnsiTheme="minorHAnsi"/>
              </w:rPr>
              <w:t xml:space="preserve">– w tym przypadku </w:t>
            </w:r>
            <w:r w:rsidR="00DC6346">
              <w:rPr>
                <w:rFonts w:asciiTheme="minorHAnsi" w:hAnsiTheme="minorHAnsi"/>
              </w:rPr>
              <w:t xml:space="preserve">należy przypisać koszty termomodernizacji do </w:t>
            </w:r>
            <w:r>
              <w:rPr>
                <w:rFonts w:asciiTheme="minorHAnsi" w:hAnsiTheme="minorHAnsi"/>
              </w:rPr>
              <w:t xml:space="preserve"> </w:t>
            </w:r>
            <w:r w:rsidR="00B867CA">
              <w:rPr>
                <w:rFonts w:asciiTheme="minorHAnsi" w:hAnsiTheme="minorHAnsi"/>
              </w:rPr>
              <w:t>proporcjonalnie do obu części budynku, np. na podstawie powierzchni pomieszczeń.</w:t>
            </w:r>
          </w:p>
          <w:p w:rsidR="00F061DC" w:rsidRPr="00995A1A" w:rsidRDefault="00B31434" w:rsidP="007B2B8D">
            <w:pPr>
              <w:spacing w:before="120" w:after="120" w:line="240" w:lineRule="auto"/>
              <w:jc w:val="both"/>
              <w:rPr>
                <w:color w:val="auto"/>
              </w:rPr>
            </w:pPr>
            <w:r>
              <w:t xml:space="preserve">W przypadku zastosowania zapisów Rozporządzenia Komisji (UE) nr 651/2014 z 17 czerwca 2014 roku uznające niektóre rodzaje pomocy za </w:t>
            </w:r>
            <w:r>
              <w:lastRenderedPageBreak/>
              <w:t>zgodne z rynkiem wewnętrznym w zastosowaniu art. 107 i 108 Traktatu,  konieczne jest spełnienie wszystkich warunków określonych w  tym rozpor</w:t>
            </w:r>
            <w:r w:rsidR="00995A1A">
              <w:t xml:space="preserve">ządzeniu, np.  „efektu zachęty” </w:t>
            </w:r>
            <w:r w:rsidR="00995A1A" w:rsidRPr="00995A1A">
              <w:rPr>
                <w:color w:val="auto"/>
              </w:rPr>
              <w:t>(czyli rozpoczęcie realizacji projektu po złożeniu wniosku o dofinansowanie).</w:t>
            </w:r>
          </w:p>
          <w:p w:rsidR="009D0459" w:rsidRPr="00995A1A" w:rsidRDefault="009D0459" w:rsidP="007B2B8D">
            <w:pPr>
              <w:spacing w:before="120" w:after="120" w:line="240" w:lineRule="auto"/>
              <w:jc w:val="both"/>
              <w:rPr>
                <w:color w:val="auto"/>
              </w:rPr>
            </w:pPr>
            <w:r w:rsidRPr="00995A1A">
              <w:rPr>
                <w:color w:val="auto"/>
              </w:rPr>
              <w:t xml:space="preserve">W przypadku projektów „mieszanych” konieczność spełnienia „efektu zachęty” oznacza rozpoczęcie realizacji </w:t>
            </w:r>
            <w:r w:rsidRPr="00995A1A">
              <w:rPr>
                <w:b/>
                <w:color w:val="auto"/>
              </w:rPr>
              <w:t>c</w:t>
            </w:r>
            <w:r w:rsidR="0068512B">
              <w:rPr>
                <w:b/>
                <w:color w:val="auto"/>
              </w:rPr>
              <w:t xml:space="preserve">zęści </w:t>
            </w:r>
            <w:r w:rsidRPr="00995A1A">
              <w:rPr>
                <w:b/>
                <w:color w:val="auto"/>
              </w:rPr>
              <w:t>projektu</w:t>
            </w:r>
            <w:r w:rsidRPr="00995A1A">
              <w:rPr>
                <w:color w:val="auto"/>
              </w:rPr>
              <w:t xml:space="preserve"> </w:t>
            </w:r>
            <w:r w:rsidR="00F53EFC">
              <w:rPr>
                <w:color w:val="auto"/>
              </w:rPr>
              <w:t xml:space="preserve">objętej pomocą publiczną </w:t>
            </w:r>
            <w:r w:rsidRPr="00995A1A">
              <w:rPr>
                <w:color w:val="auto"/>
              </w:rPr>
              <w:t>po złożeniu wniosku o dofinansowanie.</w:t>
            </w:r>
          </w:p>
          <w:p w:rsidR="005A17EF" w:rsidRPr="00C242B1" w:rsidRDefault="00FD26CA" w:rsidP="007B2B8D">
            <w:pPr>
              <w:spacing w:before="120" w:after="120" w:line="240" w:lineRule="auto"/>
              <w:jc w:val="both"/>
              <w:rPr>
                <w:rFonts w:eastAsia="Times New Roman" w:cs="Arial"/>
                <w:bCs/>
                <w:color w:val="auto"/>
                <w:u w:val="single"/>
                <w:lang w:eastAsia="pl-PL"/>
              </w:rPr>
            </w:pPr>
            <w:r w:rsidRPr="00C242B1">
              <w:rPr>
                <w:rFonts w:eastAsia="Times New Roman" w:cs="Arial"/>
                <w:bCs/>
                <w:color w:val="auto"/>
                <w:u w:val="single"/>
                <w:lang w:eastAsia="pl-PL"/>
              </w:rPr>
              <w:t xml:space="preserve">Wszystkie ww. regulacje dotyczące pomocy publicznej dostępne są na stronie </w:t>
            </w:r>
            <w:hyperlink r:id="rId11">
              <w:r w:rsidRPr="00C242B1">
                <w:rPr>
                  <w:rStyle w:val="czeinternetowe"/>
                  <w:rFonts w:eastAsia="Times New Roman" w:cs="Arial"/>
                  <w:bCs/>
                  <w:color w:val="auto"/>
                  <w:lang w:eastAsia="pl-PL"/>
                </w:rPr>
                <w:t>www.funduszeeuropejskie.gov.pl</w:t>
              </w:r>
            </w:hyperlink>
            <w:r w:rsidRPr="00C242B1">
              <w:rPr>
                <w:rFonts w:eastAsia="Times New Roman" w:cs="Arial"/>
                <w:bCs/>
                <w:color w:val="auto"/>
                <w:u w:val="single"/>
                <w:lang w:eastAsia="pl-PL"/>
              </w:rPr>
              <w:t xml:space="preserve">. </w:t>
            </w:r>
          </w:p>
        </w:tc>
      </w:tr>
      <w:tr w:rsidR="005A17EF" w:rsidTr="00E86DB9">
        <w:tc>
          <w:tcPr>
            <w:tcW w:w="5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FD26CA" w:rsidP="007B2B8D">
            <w:pPr>
              <w:spacing w:after="0" w:line="240" w:lineRule="auto"/>
              <w:rPr>
                <w:b/>
                <w:bCs/>
              </w:rPr>
            </w:pPr>
            <w:r>
              <w:rPr>
                <w:b/>
                <w:bCs/>
              </w:rPr>
              <w:lastRenderedPageBreak/>
              <w:t>10.</w:t>
            </w:r>
          </w:p>
        </w:tc>
        <w:tc>
          <w:tcPr>
            <w:tcW w:w="22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FD26CA" w:rsidP="007B2B8D">
            <w:pPr>
              <w:pStyle w:val="Default"/>
              <w:spacing w:line="240" w:lineRule="auto"/>
              <w:rPr>
                <w:b/>
                <w:bCs/>
                <w:color w:val="00000A"/>
                <w:sz w:val="22"/>
                <w:szCs w:val="22"/>
              </w:rPr>
            </w:pPr>
            <w:r>
              <w:rPr>
                <w:b/>
                <w:bCs/>
                <w:color w:val="00000A"/>
                <w:sz w:val="22"/>
                <w:szCs w:val="22"/>
              </w:rPr>
              <w:t xml:space="preserve">Warunki stosowania </w:t>
            </w:r>
          </w:p>
          <w:p w:rsidR="005A17EF" w:rsidRDefault="00FD26CA" w:rsidP="007B2B8D">
            <w:pPr>
              <w:pStyle w:val="Default"/>
              <w:spacing w:line="240" w:lineRule="auto"/>
              <w:rPr>
                <w:b/>
                <w:bCs/>
                <w:color w:val="00000A"/>
                <w:sz w:val="22"/>
                <w:szCs w:val="22"/>
              </w:rPr>
            </w:pPr>
            <w:r>
              <w:rPr>
                <w:b/>
                <w:bCs/>
                <w:color w:val="00000A"/>
                <w:sz w:val="22"/>
                <w:szCs w:val="22"/>
              </w:rPr>
              <w:t xml:space="preserve">uproszczonych form </w:t>
            </w:r>
          </w:p>
          <w:p w:rsidR="005A17EF" w:rsidRDefault="00FD26CA" w:rsidP="007B2B8D">
            <w:pPr>
              <w:spacing w:after="0" w:line="240" w:lineRule="auto"/>
              <w:rPr>
                <w:b/>
                <w:bCs/>
              </w:rPr>
            </w:pPr>
            <w:r>
              <w:rPr>
                <w:b/>
                <w:bCs/>
              </w:rPr>
              <w:t>rozliczania wydatków</w:t>
            </w:r>
            <w:r>
              <w:t xml:space="preserve"> </w:t>
            </w:r>
            <w:r>
              <w:rPr>
                <w:b/>
                <w:bCs/>
              </w:rPr>
              <w:t xml:space="preserve">i planowany zakres systemu zaliczek: </w:t>
            </w:r>
          </w:p>
        </w:tc>
        <w:tc>
          <w:tcPr>
            <w:tcW w:w="68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FD26CA" w:rsidP="007B2B8D">
            <w:pPr>
              <w:spacing w:after="0" w:line="240" w:lineRule="auto"/>
              <w:jc w:val="both"/>
            </w:pPr>
            <w:r>
              <w:t xml:space="preserve">Nie ma możliwości stosowania uproszczonych form rozliczania wydatków. </w:t>
            </w:r>
          </w:p>
          <w:p w:rsidR="005A17EF" w:rsidRDefault="00FD26CA" w:rsidP="007B2B8D">
            <w:pPr>
              <w:spacing w:after="0" w:line="240" w:lineRule="auto"/>
            </w:pPr>
            <w:r>
              <w:t>Wysokość zaliczek:</w:t>
            </w:r>
          </w:p>
          <w:p w:rsidR="005A17EF" w:rsidRDefault="00FD26CA" w:rsidP="007B2B8D">
            <w:pPr>
              <w:pStyle w:val="Akapitzlist"/>
              <w:numPr>
                <w:ilvl w:val="0"/>
                <w:numId w:val="11"/>
              </w:numPr>
              <w:spacing w:line="240" w:lineRule="auto"/>
              <w:jc w:val="both"/>
              <w:rPr>
                <w:rFonts w:ascii="Calibri" w:hAnsi="Calibri" w:cs="Calibri"/>
              </w:rPr>
            </w:pPr>
            <w:r>
              <w:rPr>
                <w:rFonts w:ascii="Calibri" w:hAnsi="Calibri" w:cs="Calibri"/>
              </w:rPr>
              <w:t>do 40% przyznanej kwoty dofinansowania, wszyscy beneficjenci RPO WD otrzymujący dofinansowanie z EFRR, z zastrzeżeniem pkt. 2),</w:t>
            </w:r>
          </w:p>
          <w:p w:rsidR="005A17EF" w:rsidRDefault="00FD26CA" w:rsidP="007B2B8D">
            <w:pPr>
              <w:pStyle w:val="Akapitzlist"/>
              <w:numPr>
                <w:ilvl w:val="0"/>
                <w:numId w:val="11"/>
              </w:numPr>
              <w:spacing w:line="240" w:lineRule="auto"/>
              <w:jc w:val="both"/>
              <w:rPr>
                <w:rFonts w:ascii="Calibri" w:hAnsi="Calibri" w:cs="Calibri"/>
              </w:rPr>
            </w:pPr>
            <w:r>
              <w:rPr>
                <w:rFonts w:ascii="Calibri" w:hAnsi="Calibri" w:cs="Calibri"/>
              </w:rPr>
              <w:t xml:space="preserve">do 100% przyznanej kwoty dofinansowania w przypadku realizacji projektu przez: </w:t>
            </w:r>
          </w:p>
          <w:p w:rsidR="005A17EF" w:rsidRDefault="00FD26CA" w:rsidP="007B2B8D">
            <w:pPr>
              <w:pStyle w:val="Akapitzlist"/>
              <w:numPr>
                <w:ilvl w:val="0"/>
                <w:numId w:val="3"/>
              </w:numPr>
              <w:spacing w:before="0" w:line="240" w:lineRule="auto"/>
              <w:jc w:val="both"/>
              <w:rPr>
                <w:rFonts w:ascii="Calibri" w:hAnsi="Calibri" w:cs="Calibri"/>
              </w:rPr>
            </w:pPr>
            <w:r>
              <w:rPr>
                <w:rFonts w:ascii="Calibri" w:hAnsi="Calibri" w:cs="Calibri"/>
              </w:rPr>
              <w:t>Województwo Dolnośląskie (dotyczy projektu własnego i realizacji zadania z zakresu administracji rządowej, określonego przepisami prawa),</w:t>
            </w:r>
          </w:p>
          <w:p w:rsidR="005A17EF" w:rsidRDefault="00FD26CA" w:rsidP="007B2B8D">
            <w:pPr>
              <w:pStyle w:val="Akapitzlist"/>
              <w:numPr>
                <w:ilvl w:val="0"/>
                <w:numId w:val="3"/>
              </w:numPr>
              <w:spacing w:before="0" w:line="240" w:lineRule="auto"/>
              <w:jc w:val="both"/>
              <w:rPr>
                <w:rFonts w:ascii="Calibri" w:hAnsi="Calibri" w:cs="Calibri"/>
              </w:rPr>
            </w:pPr>
            <w:r>
              <w:rPr>
                <w:rFonts w:ascii="Calibri" w:hAnsi="Calibri" w:cs="Calibri"/>
              </w:rPr>
              <w:t>podmiot, dla którego Województwo Dolnośląskie jest organem założycielskim, organizatorem lub współorganizatorem, lub w którym posiada udziały bądź akcje, pod warunkiem, że projekt n</w:t>
            </w:r>
            <w:r w:rsidR="001E4B05">
              <w:rPr>
                <w:rFonts w:ascii="Calibri" w:hAnsi="Calibri" w:cs="Calibri"/>
              </w:rPr>
              <w:t>ie jest objęty pomocą publiczną,</w:t>
            </w:r>
          </w:p>
          <w:p w:rsidR="001E4B05" w:rsidRDefault="001E4B05" w:rsidP="007B2B8D">
            <w:pPr>
              <w:pStyle w:val="Akapitzlist"/>
              <w:numPr>
                <w:ilvl w:val="0"/>
                <w:numId w:val="3"/>
              </w:numPr>
              <w:spacing w:before="0" w:line="240" w:lineRule="auto"/>
              <w:jc w:val="both"/>
              <w:rPr>
                <w:rFonts w:ascii="Calibri" w:hAnsi="Calibri" w:cs="Calibri"/>
              </w:rPr>
            </w:pPr>
            <w:r w:rsidRPr="00C52BEB">
              <w:rPr>
                <w:rFonts w:asciiTheme="minorHAnsi" w:hAnsiTheme="minorHAnsi" w:cs="Arial"/>
                <w:szCs w:val="22"/>
              </w:rPr>
              <w:t>podmiot leczniczy (zgodnie z definicją zawartą w art. 4 Ustawy z dnia 15 kwietnia 2011</w:t>
            </w:r>
            <w:r>
              <w:rPr>
                <w:rFonts w:asciiTheme="minorHAnsi" w:hAnsiTheme="minorHAnsi" w:cs="Arial"/>
                <w:szCs w:val="22"/>
              </w:rPr>
              <w:t> </w:t>
            </w:r>
            <w:r w:rsidRPr="00C52BEB">
              <w:rPr>
                <w:rFonts w:asciiTheme="minorHAnsi" w:hAnsiTheme="minorHAnsi" w:cs="Arial"/>
                <w:szCs w:val="22"/>
              </w:rPr>
              <w:t>r. o działalności leczniczej) działający w</w:t>
            </w:r>
            <w:r>
              <w:rPr>
                <w:rFonts w:asciiTheme="minorHAnsi" w:hAnsiTheme="minorHAnsi" w:cs="Arial"/>
                <w:szCs w:val="22"/>
              </w:rPr>
              <w:t> </w:t>
            </w:r>
            <w:r w:rsidRPr="00C52BEB">
              <w:rPr>
                <w:rFonts w:asciiTheme="minorHAnsi" w:hAnsiTheme="minorHAnsi" w:cs="Arial"/>
                <w:szCs w:val="22"/>
              </w:rPr>
              <w:t>publicznym systemie ochrony zdrowia, który uzyskał pozytywną opinię Departamentu Zdrowia i Promocji UMWD.</w:t>
            </w:r>
          </w:p>
        </w:tc>
      </w:tr>
      <w:tr w:rsidR="005A17EF" w:rsidTr="00E86DB9">
        <w:tc>
          <w:tcPr>
            <w:tcW w:w="5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FD26CA" w:rsidP="007B2B8D">
            <w:pPr>
              <w:spacing w:after="0" w:line="240" w:lineRule="auto"/>
              <w:rPr>
                <w:b/>
                <w:bCs/>
              </w:rPr>
            </w:pPr>
            <w:r>
              <w:rPr>
                <w:b/>
                <w:bCs/>
              </w:rPr>
              <w:t>11.</w:t>
            </w:r>
          </w:p>
        </w:tc>
        <w:tc>
          <w:tcPr>
            <w:tcW w:w="22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FD26CA" w:rsidP="007B2B8D">
            <w:pPr>
              <w:pStyle w:val="Default"/>
              <w:spacing w:line="240" w:lineRule="auto"/>
              <w:rPr>
                <w:b/>
                <w:bCs/>
                <w:color w:val="00000A"/>
                <w:sz w:val="22"/>
                <w:szCs w:val="22"/>
              </w:rPr>
            </w:pPr>
            <w:r>
              <w:rPr>
                <w:b/>
                <w:bCs/>
                <w:color w:val="00000A"/>
                <w:sz w:val="22"/>
                <w:szCs w:val="22"/>
              </w:rPr>
              <w:t>Warunki uwzględniania dochodu w projekcie:</w:t>
            </w:r>
          </w:p>
        </w:tc>
        <w:tc>
          <w:tcPr>
            <w:tcW w:w="68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307FCA" w:rsidP="007B2B8D">
            <w:pPr>
              <w:spacing w:after="0" w:line="240" w:lineRule="auto"/>
              <w:jc w:val="both"/>
            </w:pPr>
            <w:r>
              <w:t>Z</w:t>
            </w:r>
            <w:r w:rsidR="00FD26CA">
              <w:t>godnie z Wytycznymi w zakresie zagadnień związanych z przygotowaniem projektów inwestycyjnych, w tym projektów generujących dochód i projektów hybrydowych na lata 2014-2020</w:t>
            </w:r>
            <w:r>
              <w:t xml:space="preserve"> – luka finansowa</w:t>
            </w:r>
            <w:r w:rsidR="00FD26CA">
              <w:t>.</w:t>
            </w:r>
          </w:p>
        </w:tc>
      </w:tr>
      <w:tr w:rsidR="005A17EF" w:rsidTr="00E86DB9">
        <w:tc>
          <w:tcPr>
            <w:tcW w:w="5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FD26CA" w:rsidP="007B2B8D">
            <w:pPr>
              <w:spacing w:after="0" w:line="240" w:lineRule="auto"/>
              <w:rPr>
                <w:b/>
                <w:bCs/>
              </w:rPr>
            </w:pPr>
            <w:r>
              <w:rPr>
                <w:b/>
                <w:bCs/>
              </w:rPr>
              <w:t>12.</w:t>
            </w:r>
          </w:p>
        </w:tc>
        <w:tc>
          <w:tcPr>
            <w:tcW w:w="22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FD26CA" w:rsidP="007B2B8D">
            <w:pPr>
              <w:pStyle w:val="Default"/>
              <w:spacing w:line="240" w:lineRule="auto"/>
              <w:rPr>
                <w:b/>
                <w:bCs/>
                <w:color w:val="00000A"/>
                <w:sz w:val="22"/>
                <w:szCs w:val="22"/>
              </w:rPr>
            </w:pPr>
            <w:r>
              <w:rPr>
                <w:b/>
                <w:bCs/>
                <w:color w:val="00000A"/>
                <w:sz w:val="22"/>
                <w:szCs w:val="22"/>
              </w:rPr>
              <w:t xml:space="preserve">Maksymalny dopuszczalny poziom dofinansowania projektu lub maksymalna dopuszczalna kwota do dofinansowania projektu: </w:t>
            </w:r>
          </w:p>
          <w:p w:rsidR="005A17EF" w:rsidRDefault="005A17EF" w:rsidP="007B2B8D">
            <w:pPr>
              <w:spacing w:after="0" w:line="240" w:lineRule="auto"/>
              <w:rPr>
                <w:b/>
                <w:bCs/>
              </w:rPr>
            </w:pPr>
          </w:p>
        </w:tc>
        <w:tc>
          <w:tcPr>
            <w:tcW w:w="68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FD26CA" w:rsidP="007B2B8D">
            <w:pPr>
              <w:spacing w:after="0" w:line="240" w:lineRule="auto"/>
              <w:jc w:val="both"/>
            </w:pPr>
            <w:r>
              <w:t xml:space="preserve">Maksymalny poziom dofinansowania UE na poziomie projektu wynosi: </w:t>
            </w:r>
          </w:p>
          <w:p w:rsidR="005A17EF" w:rsidRDefault="00FD26CA" w:rsidP="007B2B8D">
            <w:pPr>
              <w:pStyle w:val="Akapitzlist"/>
              <w:numPr>
                <w:ilvl w:val="0"/>
                <w:numId w:val="4"/>
              </w:numPr>
              <w:spacing w:before="0" w:line="240" w:lineRule="auto"/>
              <w:jc w:val="both"/>
              <w:rPr>
                <w:rFonts w:ascii="Calibri" w:hAnsi="Calibri" w:cs="Calibri"/>
              </w:rPr>
            </w:pPr>
            <w:r>
              <w:rPr>
                <w:rFonts w:ascii="Calibri" w:hAnsi="Calibri" w:cs="Calibri"/>
              </w:rPr>
              <w:t>w przypadku projektów nie generujących dochodu oraz nie objętych regułami pomocy publicznej – 85%;</w:t>
            </w:r>
          </w:p>
          <w:p w:rsidR="005A17EF" w:rsidRDefault="00FD26CA" w:rsidP="007B2B8D">
            <w:pPr>
              <w:pStyle w:val="Akapitzlist"/>
              <w:numPr>
                <w:ilvl w:val="0"/>
                <w:numId w:val="4"/>
              </w:numPr>
              <w:spacing w:before="0" w:line="240" w:lineRule="auto"/>
              <w:jc w:val="both"/>
              <w:rPr>
                <w:rFonts w:ascii="Calibri" w:hAnsi="Calibri" w:cs="Calibri"/>
              </w:rPr>
            </w:pPr>
            <w:r>
              <w:rPr>
                <w:rFonts w:ascii="Calibri" w:hAnsi="Calibri" w:cs="Calibri"/>
              </w:rPr>
              <w:t>w przypadku projektów nieobjętych regułami pomocy publicznej ale generujących dochód – zgodnie z wyliczeniami luki finansowej ale nie więcej niż 85%;</w:t>
            </w:r>
          </w:p>
          <w:p w:rsidR="005A17EF" w:rsidRDefault="00FD26CA" w:rsidP="007B2B8D">
            <w:pPr>
              <w:pStyle w:val="Akapitzlist"/>
              <w:numPr>
                <w:ilvl w:val="0"/>
                <w:numId w:val="4"/>
              </w:numPr>
              <w:spacing w:before="0" w:line="240" w:lineRule="auto"/>
              <w:jc w:val="both"/>
              <w:rPr>
                <w:rFonts w:ascii="Calibri" w:hAnsi="Calibri" w:cs="Calibri"/>
              </w:rPr>
            </w:pPr>
            <w:r>
              <w:rPr>
                <w:rFonts w:ascii="Calibri" w:hAnsi="Calibri" w:cs="Calibri"/>
              </w:rPr>
              <w:t>w przypadku projektów objętych regułami pomocy publicznej i generujących dochód – w wysokości wynikającej z reguł pomocy publicznej ale nie więcej niż 85%;</w:t>
            </w:r>
          </w:p>
          <w:p w:rsidR="005A17EF" w:rsidRDefault="00FD26CA" w:rsidP="007B2B8D">
            <w:pPr>
              <w:pStyle w:val="Akapitzlist"/>
              <w:numPr>
                <w:ilvl w:val="0"/>
                <w:numId w:val="4"/>
              </w:numPr>
              <w:spacing w:before="0" w:line="240" w:lineRule="auto"/>
              <w:jc w:val="both"/>
              <w:rPr>
                <w:rFonts w:ascii="Calibri" w:hAnsi="Calibri" w:cs="Calibri"/>
              </w:rPr>
            </w:pPr>
            <w:r>
              <w:rPr>
                <w:rFonts w:ascii="Calibri" w:hAnsi="Calibri" w:cs="Calibri"/>
              </w:rPr>
              <w:t>w przypadku projektów objętych regułami pomocy publicznej i nie generującymi dochodu – w wysokości wynikającej z reguł pomocy publicznej ale nie więcej niż 85%.</w:t>
            </w:r>
          </w:p>
          <w:p w:rsidR="005A17EF" w:rsidRDefault="00FD26CA" w:rsidP="007B2B8D">
            <w:pPr>
              <w:spacing w:before="240" w:line="240" w:lineRule="auto"/>
              <w:jc w:val="both"/>
            </w:pPr>
            <w:r>
              <w:t xml:space="preserve">W przypadku projektów częściowo objętych pomocą publiczną powyższe zasady stosuje się do każdej z części, co oznacza, że poziom dofinansowania projektu określa się oddzielnie dla każdej części. W takim przypadku łączny poziom maksymalnego dofinansowania w projekcie </w:t>
            </w:r>
            <w:r>
              <w:lastRenderedPageBreak/>
              <w:t>może być wyższy niż wynikający z reguł pomocy publicznej (ale nie więcej niż 85%).</w:t>
            </w:r>
          </w:p>
          <w:p w:rsidR="00CB0619" w:rsidRDefault="00CB0619" w:rsidP="007B2B8D">
            <w:pPr>
              <w:spacing w:before="240" w:line="240" w:lineRule="auto"/>
              <w:jc w:val="both"/>
            </w:pPr>
            <w:r>
              <w:t>W przypadku pomocy de minimis, maksymalny poziom dofinansowania wyniesie</w:t>
            </w:r>
            <w:r w:rsidR="002127E4">
              <w:t xml:space="preserve"> 85%.</w:t>
            </w:r>
          </w:p>
          <w:p w:rsidR="00CB0619" w:rsidRPr="007D04D0" w:rsidRDefault="00CB0619" w:rsidP="007B2B8D">
            <w:pPr>
              <w:spacing w:before="240" w:line="240" w:lineRule="auto"/>
              <w:jc w:val="both"/>
              <w:rPr>
                <w:color w:val="auto"/>
              </w:rPr>
            </w:pPr>
            <w:r w:rsidRPr="007D04D0">
              <w:rPr>
                <w:color w:val="auto"/>
              </w:rPr>
              <w:t>W przypadku rozporządzenia 651/2014 (GBER), maksymalny poziom dofinansowania należy ustalić:</w:t>
            </w:r>
          </w:p>
          <w:p w:rsidR="00DB6A93" w:rsidRPr="007D04D0" w:rsidRDefault="00DB6A93" w:rsidP="007B2B8D">
            <w:pPr>
              <w:pStyle w:val="Akapitzlist"/>
              <w:numPr>
                <w:ilvl w:val="0"/>
                <w:numId w:val="17"/>
              </w:numPr>
              <w:spacing w:before="0" w:line="240" w:lineRule="auto"/>
              <w:jc w:val="both"/>
              <w:rPr>
                <w:rFonts w:asciiTheme="minorHAnsi" w:hAnsiTheme="minorHAnsi"/>
                <w:color w:val="auto"/>
              </w:rPr>
            </w:pPr>
            <w:r w:rsidRPr="007D04D0">
              <w:rPr>
                <w:rFonts w:asciiTheme="minorHAnsi" w:hAnsiTheme="minorHAnsi"/>
                <w:color w:val="auto"/>
              </w:rPr>
              <w:t>np. w przypadku wymiany kotła – zgodnie z art. 37 GBER</w:t>
            </w:r>
            <w:r w:rsidR="003767D7" w:rsidRPr="007D04D0">
              <w:rPr>
                <w:rFonts w:asciiTheme="minorHAnsi" w:hAnsiTheme="minorHAnsi"/>
                <w:color w:val="auto"/>
              </w:rPr>
              <w:t xml:space="preserve"> (i właściwym rozporządzeniem krajowym)</w:t>
            </w:r>
            <w:r w:rsidRPr="007D04D0">
              <w:rPr>
                <w:rFonts w:asciiTheme="minorHAnsi" w:hAnsiTheme="minorHAnsi"/>
                <w:color w:val="auto"/>
              </w:rPr>
              <w:t>;</w:t>
            </w:r>
          </w:p>
          <w:p w:rsidR="00DB6A93" w:rsidRPr="007D04D0" w:rsidRDefault="00DB6A93" w:rsidP="007B2B8D">
            <w:pPr>
              <w:pStyle w:val="Akapitzlist"/>
              <w:numPr>
                <w:ilvl w:val="0"/>
                <w:numId w:val="17"/>
              </w:numPr>
              <w:spacing w:before="0" w:line="240" w:lineRule="auto"/>
              <w:jc w:val="both"/>
              <w:rPr>
                <w:rFonts w:asciiTheme="minorHAnsi" w:hAnsiTheme="minorHAnsi"/>
                <w:color w:val="auto"/>
              </w:rPr>
            </w:pPr>
            <w:r w:rsidRPr="007D04D0">
              <w:rPr>
                <w:rFonts w:asciiTheme="minorHAnsi" w:hAnsiTheme="minorHAnsi"/>
                <w:color w:val="auto"/>
              </w:rPr>
              <w:t>np. w przypadku termomodernizacji – zgodnie z art. 38 GBER</w:t>
            </w:r>
            <w:r w:rsidR="003767D7" w:rsidRPr="007D04D0">
              <w:rPr>
                <w:rFonts w:asciiTheme="minorHAnsi" w:hAnsiTheme="minorHAnsi"/>
                <w:color w:val="auto"/>
              </w:rPr>
              <w:t xml:space="preserve"> i właściwym rozporządzeniem krajowym</w:t>
            </w:r>
            <w:r w:rsidRPr="007D04D0">
              <w:rPr>
                <w:rFonts w:asciiTheme="minorHAnsi" w:hAnsiTheme="minorHAnsi"/>
                <w:color w:val="auto"/>
              </w:rPr>
              <w:t>;</w:t>
            </w:r>
          </w:p>
          <w:p w:rsidR="00CB0619" w:rsidRPr="007D04D0" w:rsidRDefault="00DB6A93" w:rsidP="007B2B8D">
            <w:pPr>
              <w:pStyle w:val="Akapitzlist"/>
              <w:numPr>
                <w:ilvl w:val="0"/>
                <w:numId w:val="17"/>
              </w:numPr>
              <w:spacing w:before="0" w:line="240" w:lineRule="auto"/>
              <w:jc w:val="both"/>
              <w:rPr>
                <w:rFonts w:asciiTheme="minorHAnsi" w:hAnsiTheme="minorHAnsi"/>
                <w:color w:val="auto"/>
              </w:rPr>
            </w:pPr>
            <w:r w:rsidRPr="007D04D0">
              <w:rPr>
                <w:rFonts w:asciiTheme="minorHAnsi" w:hAnsiTheme="minorHAnsi"/>
                <w:color w:val="auto"/>
              </w:rPr>
              <w:t>np. w przypadku instalacji fotowoltaicznej on-grid – zgodnie z art. 41 GBER</w:t>
            </w:r>
            <w:r w:rsidR="003767D7" w:rsidRPr="007D04D0">
              <w:rPr>
                <w:rFonts w:asciiTheme="minorHAnsi" w:hAnsiTheme="minorHAnsi"/>
                <w:color w:val="auto"/>
              </w:rPr>
              <w:t xml:space="preserve"> i właściwym rozporządzeniem krajowym</w:t>
            </w:r>
            <w:r w:rsidRPr="007D04D0">
              <w:rPr>
                <w:rFonts w:asciiTheme="minorHAnsi" w:hAnsiTheme="minorHAnsi"/>
                <w:color w:val="auto"/>
              </w:rPr>
              <w:t xml:space="preserve">. </w:t>
            </w:r>
          </w:p>
          <w:p w:rsidR="004C5F4B" w:rsidRDefault="002127E4" w:rsidP="007B2B8D">
            <w:pPr>
              <w:spacing w:line="240" w:lineRule="auto"/>
              <w:jc w:val="both"/>
              <w:rPr>
                <w:rFonts w:asciiTheme="minorHAnsi" w:hAnsiTheme="minorHAnsi"/>
                <w:color w:val="auto"/>
              </w:rPr>
            </w:pPr>
            <w:r w:rsidRPr="007D04D0">
              <w:rPr>
                <w:rFonts w:asciiTheme="minorHAnsi" w:hAnsiTheme="minorHAnsi"/>
                <w:color w:val="auto"/>
              </w:rPr>
              <w:t xml:space="preserve">Ostateczna wartość dofinansowania uzależniona będzie </w:t>
            </w:r>
            <w:r w:rsidR="004E72BB" w:rsidRPr="007D04D0">
              <w:rPr>
                <w:rFonts w:asciiTheme="minorHAnsi" w:hAnsiTheme="minorHAnsi"/>
                <w:color w:val="auto"/>
              </w:rPr>
              <w:t xml:space="preserve">od zakresu projektu oraz </w:t>
            </w:r>
            <w:r w:rsidRPr="007D04D0">
              <w:rPr>
                <w:rFonts w:asciiTheme="minorHAnsi" w:hAnsiTheme="minorHAnsi"/>
                <w:color w:val="auto"/>
              </w:rPr>
              <w:t xml:space="preserve">od </w:t>
            </w:r>
            <w:r w:rsidR="004E72BB" w:rsidRPr="007D04D0">
              <w:rPr>
                <w:rFonts w:asciiTheme="minorHAnsi" w:hAnsiTheme="minorHAnsi"/>
                <w:color w:val="auto"/>
              </w:rPr>
              <w:t>statusu</w:t>
            </w:r>
            <w:r w:rsidRPr="007D04D0">
              <w:rPr>
                <w:rFonts w:asciiTheme="minorHAnsi" w:hAnsiTheme="minorHAnsi"/>
                <w:color w:val="auto"/>
              </w:rPr>
              <w:t xml:space="preserve"> przedsiębiorcy </w:t>
            </w:r>
            <w:r w:rsidR="004E72BB" w:rsidRPr="007D04D0">
              <w:rPr>
                <w:rFonts w:asciiTheme="minorHAnsi" w:hAnsiTheme="minorHAnsi"/>
                <w:color w:val="auto"/>
              </w:rPr>
              <w:t>(mały, średni, duży).</w:t>
            </w:r>
          </w:p>
          <w:p w:rsidR="0022534D" w:rsidRDefault="0022534D" w:rsidP="007B2B8D">
            <w:pPr>
              <w:spacing w:line="240" w:lineRule="auto"/>
              <w:jc w:val="both"/>
              <w:rPr>
                <w:rFonts w:asciiTheme="minorHAnsi" w:hAnsiTheme="minorHAnsi"/>
                <w:color w:val="auto"/>
              </w:rPr>
            </w:pPr>
            <w:r>
              <w:rPr>
                <w:rFonts w:asciiTheme="minorHAnsi" w:hAnsiTheme="minorHAnsi"/>
                <w:color w:val="auto"/>
              </w:rPr>
              <w:t>Na podstawie z</w:t>
            </w:r>
            <w:r w:rsidR="0097069C">
              <w:rPr>
                <w:rFonts w:asciiTheme="minorHAnsi" w:hAnsiTheme="minorHAnsi"/>
                <w:color w:val="auto"/>
              </w:rPr>
              <w:t>apisów Kontraktu Terytorialnego, projekty rewitalizacyjne mogą otrzymać do</w:t>
            </w:r>
            <w:r w:rsidR="00ED06E2">
              <w:rPr>
                <w:rFonts w:asciiTheme="minorHAnsi" w:hAnsiTheme="minorHAnsi"/>
                <w:color w:val="auto"/>
              </w:rPr>
              <w:t>datkowy wkład z Budżetu Państwa</w:t>
            </w:r>
            <w:r w:rsidR="00A34E54">
              <w:rPr>
                <w:rFonts w:asciiTheme="minorHAnsi" w:hAnsiTheme="minorHAnsi"/>
                <w:color w:val="auto"/>
              </w:rPr>
              <w:t xml:space="preserve"> tytułem uzupełnienia wkładu krajowego, za wyjątkiem projektów </w:t>
            </w:r>
            <w:r w:rsidR="007C2F7E">
              <w:rPr>
                <w:rFonts w:asciiTheme="minorHAnsi" w:hAnsiTheme="minorHAnsi"/>
                <w:color w:val="auto"/>
              </w:rPr>
              <w:t xml:space="preserve">objętych regułami pomocy publicznej lub projektów generujących dochód w rozumieniu art. 61 rozporządzenia nr 1303/2013. Decyzja o wkładzie z Budżetu Państwa </w:t>
            </w:r>
            <w:r w:rsidR="0015155B">
              <w:rPr>
                <w:rFonts w:asciiTheme="minorHAnsi" w:hAnsiTheme="minorHAnsi"/>
                <w:color w:val="auto"/>
              </w:rPr>
              <w:t>zostanie podjęta na etapie rozstrzygnięcia konkursu.</w:t>
            </w:r>
            <w:r w:rsidR="00660580">
              <w:rPr>
                <w:rFonts w:asciiTheme="minorHAnsi" w:hAnsiTheme="minorHAnsi"/>
                <w:color w:val="auto"/>
              </w:rPr>
              <w:t xml:space="preserve"> </w:t>
            </w:r>
          </w:p>
          <w:p w:rsidR="00660580" w:rsidRPr="002127E4" w:rsidRDefault="00660580" w:rsidP="007B2B8D">
            <w:pPr>
              <w:spacing w:line="240" w:lineRule="auto"/>
              <w:jc w:val="both"/>
              <w:rPr>
                <w:rFonts w:asciiTheme="minorHAnsi" w:hAnsiTheme="minorHAnsi"/>
              </w:rPr>
            </w:pPr>
            <w:r>
              <w:rPr>
                <w:rFonts w:asciiTheme="minorHAnsi" w:hAnsiTheme="minorHAnsi"/>
                <w:color w:val="auto"/>
              </w:rPr>
              <w:t xml:space="preserve">Projekt rewitalizacyjny – projekt ujęty </w:t>
            </w:r>
            <w:r w:rsidRPr="00660580">
              <w:rPr>
                <w:rFonts w:asciiTheme="minorHAnsi" w:hAnsiTheme="minorHAnsi"/>
                <w:color w:val="auto"/>
              </w:rPr>
              <w:t>na liście projektów rewitalizacyjnych w Lokalnym Programie Rewitalizacji/</w:t>
            </w:r>
            <w:r>
              <w:rPr>
                <w:rFonts w:asciiTheme="minorHAnsi" w:hAnsiTheme="minorHAnsi"/>
                <w:color w:val="auto"/>
              </w:rPr>
              <w:t xml:space="preserve"> </w:t>
            </w:r>
            <w:r w:rsidRPr="00660580">
              <w:rPr>
                <w:rFonts w:asciiTheme="minorHAnsi" w:hAnsiTheme="minorHAnsi"/>
                <w:color w:val="auto"/>
              </w:rPr>
              <w:t>dokumencie równoważnym (tzw. lista B) dla danej gminy, ujętym w wykazie prowadzonym przez IZ RPO WD</w:t>
            </w:r>
            <w:r w:rsidR="001C5DC0">
              <w:rPr>
                <w:rFonts w:asciiTheme="minorHAnsi" w:hAnsiTheme="minorHAnsi"/>
                <w:color w:val="auto"/>
              </w:rPr>
              <w:t>.</w:t>
            </w:r>
          </w:p>
        </w:tc>
      </w:tr>
      <w:tr w:rsidR="005A17EF" w:rsidTr="00E86DB9">
        <w:tc>
          <w:tcPr>
            <w:tcW w:w="5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FD26CA" w:rsidP="007B2B8D">
            <w:pPr>
              <w:spacing w:after="0" w:line="240" w:lineRule="auto"/>
              <w:rPr>
                <w:b/>
                <w:bCs/>
              </w:rPr>
            </w:pPr>
            <w:r>
              <w:rPr>
                <w:b/>
                <w:bCs/>
              </w:rPr>
              <w:lastRenderedPageBreak/>
              <w:t>13.</w:t>
            </w:r>
          </w:p>
        </w:tc>
        <w:tc>
          <w:tcPr>
            <w:tcW w:w="22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FD26CA" w:rsidP="007B2B8D">
            <w:pPr>
              <w:pStyle w:val="Default"/>
              <w:spacing w:line="240" w:lineRule="auto"/>
              <w:rPr>
                <w:b/>
                <w:bCs/>
                <w:color w:val="00000A"/>
                <w:sz w:val="22"/>
                <w:szCs w:val="22"/>
              </w:rPr>
            </w:pPr>
            <w:r>
              <w:rPr>
                <w:b/>
                <w:bCs/>
                <w:color w:val="00000A"/>
                <w:sz w:val="22"/>
                <w:szCs w:val="22"/>
              </w:rPr>
              <w:t xml:space="preserve">Minimalny wkład własny beneficjenta jako % wydatków kwalifikowalnych: </w:t>
            </w:r>
          </w:p>
          <w:p w:rsidR="005A17EF" w:rsidRDefault="005A17EF" w:rsidP="007B2B8D">
            <w:pPr>
              <w:pStyle w:val="Default"/>
              <w:spacing w:line="240" w:lineRule="auto"/>
              <w:rPr>
                <w:b/>
                <w:bCs/>
                <w:color w:val="00000A"/>
                <w:sz w:val="22"/>
                <w:szCs w:val="22"/>
              </w:rPr>
            </w:pPr>
          </w:p>
        </w:tc>
        <w:tc>
          <w:tcPr>
            <w:tcW w:w="68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FD26CA" w:rsidP="007B2B8D">
            <w:pPr>
              <w:spacing w:after="0" w:line="240" w:lineRule="auto"/>
              <w:jc w:val="both"/>
            </w:pPr>
            <w:r>
              <w:t xml:space="preserve">Minimalny wkład własny beneficjenta na poziomie projektu wynosi: </w:t>
            </w:r>
          </w:p>
          <w:p w:rsidR="005A17EF" w:rsidRDefault="00FD26CA" w:rsidP="007B2B8D">
            <w:pPr>
              <w:pStyle w:val="Akapitzlist"/>
              <w:numPr>
                <w:ilvl w:val="0"/>
                <w:numId w:val="5"/>
              </w:numPr>
              <w:spacing w:before="0" w:line="240" w:lineRule="auto"/>
              <w:jc w:val="both"/>
              <w:rPr>
                <w:rFonts w:ascii="Calibri" w:hAnsi="Calibri" w:cs="Calibri"/>
              </w:rPr>
            </w:pPr>
            <w:r>
              <w:rPr>
                <w:rFonts w:ascii="Calibri" w:hAnsi="Calibri" w:cs="Calibri"/>
              </w:rPr>
              <w:t>w przypadku projektów nie generujących dochodu oraz nie objętych regułami pomocy publicznej – 15%;</w:t>
            </w:r>
          </w:p>
          <w:p w:rsidR="005A17EF" w:rsidRDefault="00FD26CA" w:rsidP="007B2B8D">
            <w:pPr>
              <w:pStyle w:val="Akapitzlist"/>
              <w:numPr>
                <w:ilvl w:val="0"/>
                <w:numId w:val="5"/>
              </w:numPr>
              <w:spacing w:before="0" w:line="240" w:lineRule="auto"/>
              <w:jc w:val="both"/>
              <w:rPr>
                <w:rFonts w:ascii="Calibri" w:hAnsi="Calibri" w:cs="Calibri"/>
              </w:rPr>
            </w:pPr>
            <w:r>
              <w:rPr>
                <w:rFonts w:ascii="Calibri" w:hAnsi="Calibri" w:cs="Calibri"/>
              </w:rPr>
              <w:t>w przypadku projektów nieobjętych regułami pomocy publicznej ale generujących dochód – zgodnie z wyliczeniami luki finansowej ale nie mniej niż 15%;</w:t>
            </w:r>
          </w:p>
          <w:p w:rsidR="005A17EF" w:rsidRDefault="00FD26CA" w:rsidP="007B2B8D">
            <w:pPr>
              <w:pStyle w:val="Akapitzlist"/>
              <w:numPr>
                <w:ilvl w:val="0"/>
                <w:numId w:val="5"/>
              </w:numPr>
              <w:spacing w:before="0" w:line="240" w:lineRule="auto"/>
              <w:jc w:val="both"/>
              <w:rPr>
                <w:rFonts w:ascii="Calibri" w:hAnsi="Calibri" w:cs="Calibri"/>
              </w:rPr>
            </w:pPr>
            <w:r>
              <w:rPr>
                <w:rFonts w:ascii="Calibri" w:hAnsi="Calibri" w:cs="Calibri"/>
              </w:rPr>
              <w:t>w przypadku projektów objętych regułami pomocy publicznej i generujących dochód – w wysokości wynikającej z reguł pomocy publicznej ale nie mniej niż 15%;</w:t>
            </w:r>
          </w:p>
          <w:p w:rsidR="005A17EF" w:rsidRDefault="00FD26CA" w:rsidP="007B2B8D">
            <w:pPr>
              <w:pStyle w:val="Akapitzlist"/>
              <w:numPr>
                <w:ilvl w:val="0"/>
                <w:numId w:val="5"/>
              </w:numPr>
              <w:spacing w:before="0" w:line="240" w:lineRule="auto"/>
              <w:jc w:val="both"/>
              <w:rPr>
                <w:rFonts w:ascii="Calibri" w:hAnsi="Calibri" w:cs="Calibri"/>
              </w:rPr>
            </w:pPr>
            <w:r>
              <w:rPr>
                <w:rFonts w:ascii="Calibri" w:hAnsi="Calibri" w:cs="Calibri"/>
              </w:rPr>
              <w:t>w przypadku projektów objętych regułami pomocy publicznej i nie generującymi dochodu – w wysokości wynikającej z reguł pomocy publicznej ale nie mniej niż 15%.</w:t>
            </w:r>
          </w:p>
          <w:p w:rsidR="00D74FB7" w:rsidRPr="00C01683" w:rsidRDefault="00180D8B" w:rsidP="007B2B8D">
            <w:pPr>
              <w:spacing w:before="240" w:line="240" w:lineRule="auto"/>
              <w:jc w:val="both"/>
              <w:rPr>
                <w:color w:val="auto"/>
              </w:rPr>
            </w:pPr>
            <w:r w:rsidRPr="008E283D">
              <w:t xml:space="preserve">W przypadku pomocy de minimis, </w:t>
            </w:r>
            <w:r>
              <w:t xml:space="preserve">minimalny wkład własny beneficjenta </w:t>
            </w:r>
            <w:r w:rsidRPr="008E283D">
              <w:t xml:space="preserve">wyniesie </w:t>
            </w:r>
            <w:r>
              <w:t>1</w:t>
            </w:r>
            <w:r w:rsidRPr="008E283D">
              <w:t>5%.</w:t>
            </w:r>
          </w:p>
        </w:tc>
      </w:tr>
      <w:tr w:rsidR="005A17EF" w:rsidTr="00E86DB9">
        <w:tc>
          <w:tcPr>
            <w:tcW w:w="5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FD26CA" w:rsidP="007B2B8D">
            <w:pPr>
              <w:spacing w:after="0" w:line="240" w:lineRule="auto"/>
              <w:rPr>
                <w:b/>
                <w:bCs/>
              </w:rPr>
            </w:pPr>
            <w:r>
              <w:rPr>
                <w:b/>
                <w:bCs/>
              </w:rPr>
              <w:t>14.</w:t>
            </w:r>
          </w:p>
        </w:tc>
        <w:tc>
          <w:tcPr>
            <w:tcW w:w="22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FD26CA" w:rsidP="007B2B8D">
            <w:pPr>
              <w:pStyle w:val="Default"/>
              <w:spacing w:line="240" w:lineRule="auto"/>
              <w:rPr>
                <w:b/>
                <w:bCs/>
                <w:color w:val="00000A"/>
                <w:sz w:val="22"/>
                <w:szCs w:val="22"/>
              </w:rPr>
            </w:pPr>
            <w:r>
              <w:rPr>
                <w:b/>
                <w:bCs/>
                <w:color w:val="00000A"/>
                <w:sz w:val="22"/>
                <w:szCs w:val="22"/>
              </w:rPr>
              <w:t xml:space="preserve">Forma konkursu (informacja na jakie etapy został podzielony konkurs): </w:t>
            </w:r>
          </w:p>
          <w:p w:rsidR="005A17EF" w:rsidRDefault="005A17EF" w:rsidP="007B2B8D">
            <w:pPr>
              <w:pStyle w:val="Default"/>
              <w:spacing w:line="240" w:lineRule="auto"/>
              <w:rPr>
                <w:b/>
                <w:bCs/>
                <w:color w:val="00000A"/>
                <w:sz w:val="22"/>
                <w:szCs w:val="22"/>
              </w:rPr>
            </w:pPr>
          </w:p>
        </w:tc>
        <w:tc>
          <w:tcPr>
            <w:tcW w:w="68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FD26CA" w:rsidP="007B2B8D">
            <w:pPr>
              <w:spacing w:before="120" w:line="240" w:lineRule="auto"/>
              <w:ind w:left="33"/>
              <w:jc w:val="both"/>
            </w:pPr>
            <w:r>
              <w:t>Konkurs jest postepowaniem służącym wybraniu projektów do dofinansowania, zgodnie z art. 39 ust. 2 ustawy wdrożeniowej. Procedury związane z wyborem projektów do dofinansowania obejmują okres od momentu zgłoszenia projektu do dofinansowania do jego wybrania do dofinansowania lub odrzucenia</w:t>
            </w:r>
            <w:r w:rsidR="008D0EC7">
              <w:t xml:space="preserve"> (</w:t>
            </w:r>
            <w:r w:rsidR="008D0EC7">
              <w:rPr>
                <w:color w:val="0D0D0D"/>
              </w:rPr>
              <w:t xml:space="preserve">przez odrzucenie projektu należy </w:t>
            </w:r>
            <w:r w:rsidR="008D0EC7">
              <w:rPr>
                <w:color w:val="0D0D0D"/>
              </w:rPr>
              <w:lastRenderedPageBreak/>
              <w:t>rozumieć jego negatywną ocenę w rozumieniu art. 53 ust 2 ustawy)</w:t>
            </w:r>
            <w:r>
              <w:t>.</w:t>
            </w:r>
          </w:p>
          <w:p w:rsidR="005A17EF" w:rsidRDefault="00FD26CA" w:rsidP="007B2B8D">
            <w:pPr>
              <w:spacing w:before="120" w:line="240" w:lineRule="auto"/>
              <w:ind w:left="709" w:hanging="709"/>
              <w:jc w:val="both"/>
            </w:pPr>
            <w:r>
              <w:t>Wobec powyższego konkurs składa się z etapu:</w:t>
            </w:r>
          </w:p>
          <w:p w:rsidR="005A17EF" w:rsidRDefault="00FD26CA" w:rsidP="007B2B8D">
            <w:pPr>
              <w:pStyle w:val="Akapitzlist"/>
              <w:numPr>
                <w:ilvl w:val="0"/>
                <w:numId w:val="9"/>
              </w:numPr>
              <w:spacing w:line="240" w:lineRule="auto"/>
              <w:jc w:val="both"/>
              <w:rPr>
                <w:rFonts w:ascii="Calibri" w:hAnsi="Calibri" w:cs="Calibri"/>
              </w:rPr>
            </w:pPr>
            <w:r>
              <w:rPr>
                <w:rFonts w:ascii="Calibri" w:hAnsi="Calibri" w:cs="Calibri"/>
              </w:rPr>
              <w:t xml:space="preserve">Naboru wniosków o dofinansowanie czyli składania wniosków </w:t>
            </w:r>
            <w:r>
              <w:rPr>
                <w:rFonts w:ascii="Calibri" w:hAnsi="Calibri" w:cs="Calibri"/>
              </w:rPr>
              <w:br/>
              <w:t>o dofinasowanie – termin składania wniosków nie może być krótszy niż 7 dni licząc od dnia rozpoczęcia naboru wniosków o dofinansowanie projektów;</w:t>
            </w:r>
          </w:p>
          <w:p w:rsidR="005A17EF" w:rsidRDefault="00FD26CA" w:rsidP="007B2B8D">
            <w:pPr>
              <w:pStyle w:val="Akapitzlist"/>
              <w:numPr>
                <w:ilvl w:val="0"/>
                <w:numId w:val="9"/>
              </w:numPr>
              <w:spacing w:line="240" w:lineRule="auto"/>
              <w:jc w:val="both"/>
              <w:rPr>
                <w:rFonts w:ascii="Calibri" w:hAnsi="Calibri" w:cs="Calibri"/>
              </w:rPr>
            </w:pPr>
            <w:r>
              <w:rPr>
                <w:rFonts w:ascii="Calibri" w:hAnsi="Calibri" w:cs="Calibri"/>
              </w:rPr>
              <w:t>Etapu weryfikacji technicznej, w trakcie której sprawdzeniu podlega:</w:t>
            </w:r>
          </w:p>
          <w:p w:rsidR="005A17EF" w:rsidRDefault="00FD26CA" w:rsidP="007B2B8D">
            <w:pPr>
              <w:pStyle w:val="Akapitzlist"/>
              <w:numPr>
                <w:ilvl w:val="0"/>
                <w:numId w:val="10"/>
              </w:numPr>
              <w:spacing w:before="0" w:line="240" w:lineRule="auto"/>
              <w:ind w:left="1167"/>
              <w:jc w:val="both"/>
              <w:rPr>
                <w:rFonts w:ascii="Calibri" w:hAnsi="Calibri" w:cs="Calibri"/>
              </w:rPr>
            </w:pPr>
            <w:r>
              <w:rPr>
                <w:rFonts w:ascii="Calibri" w:hAnsi="Calibri" w:cs="Calibri"/>
              </w:rPr>
              <w:t>kompletność wypełnienia formularza wniosku (czy wymagane pola zostały wypełnione),</w:t>
            </w:r>
          </w:p>
          <w:p w:rsidR="00F028D8" w:rsidRPr="00F028D8" w:rsidRDefault="00FD26CA" w:rsidP="007B2B8D">
            <w:pPr>
              <w:pStyle w:val="Akapitzlist"/>
              <w:numPr>
                <w:ilvl w:val="0"/>
                <w:numId w:val="10"/>
              </w:numPr>
              <w:spacing w:before="0" w:line="240" w:lineRule="auto"/>
              <w:ind w:left="1167"/>
              <w:jc w:val="both"/>
              <w:rPr>
                <w:rFonts w:ascii="Calibri" w:hAnsi="Calibri" w:cs="Calibri"/>
              </w:rPr>
            </w:pPr>
            <w:r>
              <w:rPr>
                <w:rFonts w:ascii="Calibri" w:hAnsi="Calibri" w:cs="Calibri"/>
              </w:rPr>
              <w:t>kompletność załączników (czy wszystkie załączniki zostały załączone),</w:t>
            </w:r>
            <w:r w:rsidR="00F028D8">
              <w:rPr>
                <w:rFonts w:ascii="Calibri" w:hAnsi="Calibri" w:cs="Calibri"/>
                <w:color w:val="FF0000"/>
              </w:rPr>
              <w:t xml:space="preserve"> </w:t>
            </w:r>
          </w:p>
          <w:p w:rsidR="005A17EF" w:rsidRPr="0054302A" w:rsidRDefault="00F028D8" w:rsidP="007B2B8D">
            <w:pPr>
              <w:pStyle w:val="Akapitzlist"/>
              <w:numPr>
                <w:ilvl w:val="0"/>
                <w:numId w:val="10"/>
              </w:numPr>
              <w:spacing w:before="0" w:line="240" w:lineRule="auto"/>
              <w:ind w:left="1167"/>
              <w:jc w:val="both"/>
              <w:rPr>
                <w:rFonts w:ascii="Calibri" w:hAnsi="Calibri" w:cs="Calibri"/>
                <w:color w:val="auto"/>
              </w:rPr>
            </w:pPr>
            <w:r w:rsidRPr="0054302A">
              <w:rPr>
                <w:rFonts w:ascii="Calibri" w:hAnsi="Calibri" w:cs="Calibri"/>
                <w:color w:val="auto"/>
              </w:rPr>
              <w:t>czytelność załączonych skanów,</w:t>
            </w:r>
          </w:p>
          <w:p w:rsidR="00D2674A" w:rsidRPr="00F028D8" w:rsidRDefault="00D2674A" w:rsidP="00F028D8">
            <w:pPr>
              <w:pStyle w:val="Akapitzlist"/>
              <w:numPr>
                <w:ilvl w:val="0"/>
                <w:numId w:val="10"/>
              </w:numPr>
              <w:spacing w:before="0" w:after="240" w:line="240" w:lineRule="auto"/>
              <w:ind w:left="1167"/>
              <w:jc w:val="both"/>
              <w:rPr>
                <w:rFonts w:ascii="Calibri" w:hAnsi="Calibri" w:cs="Calibri"/>
              </w:rPr>
            </w:pPr>
            <w:r>
              <w:rPr>
                <w:rFonts w:ascii="Calibri" w:hAnsi="Calibri" w:cs="Calibri"/>
              </w:rPr>
              <w:t>kompletność podpisów i pieczęci</w:t>
            </w:r>
            <w:r w:rsidR="00F028D8">
              <w:rPr>
                <w:rFonts w:ascii="Calibri" w:hAnsi="Calibri" w:cs="Calibri"/>
              </w:rPr>
              <w:t>.</w:t>
            </w:r>
          </w:p>
          <w:p w:rsidR="005A17EF" w:rsidRDefault="00FD26CA" w:rsidP="007B2B8D">
            <w:pPr>
              <w:spacing w:line="240" w:lineRule="auto"/>
              <w:jc w:val="both"/>
            </w:pPr>
            <w:r>
              <w:t xml:space="preserve">Zgodnie z art. 43 ustawy wdrożeniowej, weryfikacja techniczna nie stanowi etapu oceny wniosków, w związku z czym </w:t>
            </w:r>
            <w:r>
              <w:rPr>
                <w:rFonts w:cs="Arial"/>
              </w:rPr>
              <w:t>wnioskodawcy, w przypadku pozostawienia jego wniosku o dofinansowanie bez rozpatr</w:t>
            </w:r>
            <w:r w:rsidR="00BE5C10">
              <w:rPr>
                <w:rFonts w:cs="Arial"/>
              </w:rPr>
              <w:t xml:space="preserve">zenia, nie przysługuje protest </w:t>
            </w:r>
            <w:r>
              <w:rPr>
                <w:rFonts w:cs="Arial"/>
              </w:rPr>
              <w:t xml:space="preserve">w rozumieniu rozdziału 15 ustawy </w:t>
            </w:r>
            <w:r>
              <w:t xml:space="preserve">– trwa ona 7 dni od dnia zakończenia naboru); </w:t>
            </w:r>
          </w:p>
          <w:p w:rsidR="005A17EF" w:rsidRDefault="00FD26CA" w:rsidP="007B2B8D">
            <w:pPr>
              <w:pStyle w:val="Akapitzlist"/>
              <w:numPr>
                <w:ilvl w:val="0"/>
                <w:numId w:val="9"/>
              </w:numPr>
              <w:spacing w:after="120" w:line="240" w:lineRule="auto"/>
              <w:jc w:val="both"/>
              <w:rPr>
                <w:rFonts w:ascii="Calibri" w:hAnsi="Calibri" w:cs="Calibri"/>
              </w:rPr>
            </w:pPr>
            <w:r>
              <w:rPr>
                <w:rFonts w:ascii="Calibri" w:hAnsi="Calibri" w:cs="Calibri"/>
              </w:rPr>
              <w:t xml:space="preserve">I-go etapu oceny  – ocena formalna (obligatoryjna) - dokonywana przez 2 pracowników IOK; </w:t>
            </w:r>
          </w:p>
          <w:p w:rsidR="005A17EF" w:rsidRPr="000B21F6" w:rsidRDefault="00FD26CA" w:rsidP="007B2B8D">
            <w:pPr>
              <w:pStyle w:val="Akapitzlist"/>
              <w:numPr>
                <w:ilvl w:val="0"/>
                <w:numId w:val="6"/>
              </w:numPr>
              <w:spacing w:before="0" w:after="120" w:line="240" w:lineRule="auto"/>
              <w:ind w:left="1167"/>
              <w:jc w:val="both"/>
              <w:rPr>
                <w:rFonts w:ascii="Calibri" w:hAnsi="Calibri" w:cs="Calibri"/>
                <w:color w:val="auto"/>
              </w:rPr>
            </w:pPr>
            <w:r w:rsidRPr="000B21F6">
              <w:rPr>
                <w:rFonts w:ascii="Calibri" w:hAnsi="Calibri" w:cs="Calibri"/>
                <w:color w:val="auto"/>
              </w:rPr>
              <w:t>I etap oceny formalnej (ocena kryteriów formalnych ogólnych i specyficznych – jeśli dotyczą naboru) – do 10 dni;</w:t>
            </w:r>
          </w:p>
          <w:p w:rsidR="005A17EF" w:rsidRPr="000B21F6" w:rsidRDefault="00FD26CA" w:rsidP="007B2B8D">
            <w:pPr>
              <w:pStyle w:val="Akapitzlist"/>
              <w:numPr>
                <w:ilvl w:val="0"/>
                <w:numId w:val="6"/>
              </w:numPr>
              <w:spacing w:before="0" w:after="120" w:line="240" w:lineRule="auto"/>
              <w:ind w:left="1167"/>
              <w:jc w:val="both"/>
              <w:rPr>
                <w:rFonts w:ascii="Calibri" w:hAnsi="Calibri" w:cs="Calibri"/>
                <w:color w:val="auto"/>
              </w:rPr>
            </w:pPr>
            <w:r w:rsidRPr="000B21F6">
              <w:rPr>
                <w:rFonts w:ascii="Calibri" w:hAnsi="Calibri" w:cs="Calibri"/>
                <w:color w:val="auto"/>
              </w:rPr>
              <w:t>II etap oceny formalnej (ocena kryteriów formalnych ogólnych i specyficznych – jeśli dotyczą naboru) - do 10 dni;</w:t>
            </w:r>
          </w:p>
          <w:p w:rsidR="005A17EF" w:rsidRDefault="00FD26CA" w:rsidP="007B2B8D">
            <w:pPr>
              <w:pStyle w:val="Akapitzlist"/>
              <w:numPr>
                <w:ilvl w:val="0"/>
                <w:numId w:val="9"/>
              </w:numPr>
              <w:spacing w:before="0" w:after="120" w:line="240" w:lineRule="auto"/>
              <w:jc w:val="both"/>
              <w:rPr>
                <w:rFonts w:ascii="Calibri" w:hAnsi="Calibri" w:cs="Calibri"/>
              </w:rPr>
            </w:pPr>
            <w:r>
              <w:rPr>
                <w:rFonts w:ascii="Calibri" w:hAnsi="Calibri" w:cs="Calibri"/>
              </w:rPr>
              <w:t xml:space="preserve">II-go etapu oceny  – ocena merytoryczna (obligatoryjna): </w:t>
            </w:r>
          </w:p>
          <w:p w:rsidR="005A17EF" w:rsidRDefault="00FD26CA" w:rsidP="007B2B8D">
            <w:pPr>
              <w:tabs>
                <w:tab w:val="left" w:pos="1309"/>
              </w:tabs>
              <w:spacing w:after="120" w:line="240" w:lineRule="auto"/>
              <w:ind w:left="884"/>
              <w:jc w:val="both"/>
            </w:pPr>
            <w:r>
              <w:t>•</w:t>
            </w:r>
            <w:r>
              <w:tab/>
              <w:t xml:space="preserve">I sekcja: ocena ekonomiczno – finansowa oraz dziedzinowa (w tym OOŚ) dokonywana przez 2 ekspertów z dziedziny „Analiza finansowo-ekonomiczna” oraz 2 ekspertów </w:t>
            </w:r>
            <w:r w:rsidR="00BE5C10">
              <w:t xml:space="preserve">z </w:t>
            </w:r>
            <w:r>
              <w:t>dziedziny</w:t>
            </w:r>
            <w:r w:rsidR="00BE5C10">
              <w:t xml:space="preserve"> „Efektywność energetyczna”</w:t>
            </w:r>
            <w:r>
              <w:t xml:space="preserve"> - do 40 dni od momentu </w:t>
            </w:r>
            <w:r w:rsidR="00096F95">
              <w:t>zakończenia oceny formalnej.</w:t>
            </w:r>
            <w:r>
              <w:t xml:space="preserve"> </w:t>
            </w:r>
          </w:p>
          <w:p w:rsidR="005A17EF" w:rsidRDefault="00FD26CA" w:rsidP="007B2B8D">
            <w:pPr>
              <w:pStyle w:val="Akapitzlist"/>
              <w:numPr>
                <w:ilvl w:val="0"/>
                <w:numId w:val="9"/>
              </w:numPr>
              <w:spacing w:before="120" w:after="120" w:line="240" w:lineRule="auto"/>
              <w:jc w:val="both"/>
              <w:rPr>
                <w:rFonts w:ascii="Calibri" w:hAnsi="Calibri" w:cs="Calibri"/>
              </w:rPr>
            </w:pPr>
            <w:r>
              <w:rPr>
                <w:rFonts w:ascii="Calibri" w:hAnsi="Calibri" w:cs="Calibri"/>
              </w:rPr>
              <w:t xml:space="preserve">Rozstrzygnięcie konkursu – zatwierdzenie przez Zarząd Województwa Dolnośląskiego „Listy ocenionych projektów”, o której mowa w art. 44 ust. 4 ustawy wdrożeniowej równoznaczne jest z rozstrzygnięciem konkursu. W  ciągu 10 dni od zakończenia oceny ostatniego projektu sporządzany jest protokół z prac Komisji Oceny Projektów wraz z listą projektów, które uzyskały wymaganą liczbę punktów, z wyróżnieniem projektów wybranych do dofinansowania oraz listą ocenionych projektów zawierającą przyznane oceny i wskazującą projekty, o których mowa w art. 39 ust. 2 ustawy wdrożeniowej. Protokół oraz obydwie listy zatwierdzana są przez Przewodniczącego KOP i przekazywana niezwłocznie do zatwierdzenia przez Zarząd Województwa Dolnośląskiego. W terminie do 7 dni od dnia rozstrzygnięcia </w:t>
            </w:r>
            <w:r>
              <w:rPr>
                <w:rFonts w:ascii="Calibri" w:hAnsi="Calibri" w:cs="Calibri"/>
              </w:rPr>
              <w:lastRenderedPageBreak/>
              <w:t xml:space="preserve">konkursu lista projektów, które uzyskały wymaganą liczbę punktów, z wyróżnieniem projektów wybranych do dofinansowania zamieszczana jest na stronie internetowej </w:t>
            </w:r>
            <w:hyperlink r:id="rId12">
              <w:r>
                <w:rPr>
                  <w:rStyle w:val="czeinternetowe"/>
                  <w:rFonts w:ascii="Calibri" w:hAnsi="Calibri" w:cs="Calibri"/>
                  <w:color w:val="00000A"/>
                </w:rPr>
                <w:t>www.rpo.dolnyslask.pl</w:t>
              </w:r>
            </w:hyperlink>
            <w:r>
              <w:rPr>
                <w:rFonts w:ascii="Calibri" w:hAnsi="Calibri" w:cs="Calibri"/>
              </w:rPr>
              <w:t xml:space="preserve"> oraz </w:t>
            </w:r>
            <w:hyperlink r:id="rId13">
              <w:r>
                <w:rPr>
                  <w:rStyle w:val="czeinternetowe"/>
                  <w:rFonts w:ascii="Calibri" w:hAnsi="Calibri" w:cs="Calibri"/>
                  <w:color w:val="00000A"/>
                </w:rPr>
                <w:t>www.funduszeeuropejskie.gov.pl</w:t>
              </w:r>
            </w:hyperlink>
            <w:r>
              <w:rPr>
                <w:rFonts w:ascii="Calibri" w:hAnsi="Calibri" w:cs="Calibri"/>
              </w:rPr>
              <w:t xml:space="preserve">. </w:t>
            </w:r>
          </w:p>
        </w:tc>
      </w:tr>
      <w:tr w:rsidR="005A17EF" w:rsidTr="00E86DB9">
        <w:tc>
          <w:tcPr>
            <w:tcW w:w="5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FD26CA" w:rsidP="007B2B8D">
            <w:pPr>
              <w:spacing w:after="0" w:line="240" w:lineRule="auto"/>
              <w:rPr>
                <w:b/>
                <w:bCs/>
              </w:rPr>
            </w:pPr>
            <w:r>
              <w:rPr>
                <w:b/>
                <w:bCs/>
              </w:rPr>
              <w:lastRenderedPageBreak/>
              <w:t>15.</w:t>
            </w:r>
          </w:p>
        </w:tc>
        <w:tc>
          <w:tcPr>
            <w:tcW w:w="22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FD26CA" w:rsidP="007B2B8D">
            <w:pPr>
              <w:pStyle w:val="Default"/>
              <w:spacing w:line="240" w:lineRule="auto"/>
              <w:rPr>
                <w:b/>
                <w:bCs/>
                <w:color w:val="00000A"/>
                <w:sz w:val="22"/>
                <w:szCs w:val="22"/>
              </w:rPr>
            </w:pPr>
            <w:r>
              <w:rPr>
                <w:b/>
                <w:bCs/>
                <w:color w:val="00000A"/>
                <w:sz w:val="22"/>
                <w:szCs w:val="22"/>
              </w:rPr>
              <w:t xml:space="preserve">Termin, miejsce i forma składania wniosków o dofinansowanie projektu: </w:t>
            </w:r>
          </w:p>
          <w:p w:rsidR="005A17EF" w:rsidRDefault="005A17EF" w:rsidP="007B2B8D">
            <w:pPr>
              <w:pStyle w:val="Default"/>
              <w:spacing w:line="240" w:lineRule="auto"/>
              <w:rPr>
                <w:b/>
                <w:bCs/>
                <w:color w:val="00000A"/>
                <w:sz w:val="22"/>
                <w:szCs w:val="22"/>
              </w:rPr>
            </w:pPr>
          </w:p>
        </w:tc>
        <w:tc>
          <w:tcPr>
            <w:tcW w:w="68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87BFF" w:rsidRDefault="00387BFF" w:rsidP="00387BFF">
            <w:pPr>
              <w:spacing w:before="120" w:after="120" w:line="240" w:lineRule="auto"/>
              <w:jc w:val="both"/>
              <w:rPr>
                <w:ins w:id="13" w:author="Filip  Baranowski" w:date="2016-04-28T15:55:00Z"/>
              </w:rPr>
            </w:pPr>
            <w:ins w:id="14" w:author="Filip  Baranowski" w:date="2016-04-28T15:55:00Z">
              <w:r>
                <w:t xml:space="preserve">Wnioskodawca wypełnia wniosek o dofinansowanie za pośrednictwem aplikacji – generator wniosków o dofinansowanie EFRR - dostępny na stronie snow-umwd.dolnyslask.pl i przesyła do IOK w ramach niniejszego konkursu w terminie od godz. 8.00 dnia 6 maja 2016 r. do godz. 15.00 dnia 25 maja 2016 r. </w:t>
              </w:r>
            </w:ins>
          </w:p>
          <w:p w:rsidR="00387BFF" w:rsidRDefault="00387BFF" w:rsidP="00387BFF">
            <w:pPr>
              <w:spacing w:before="120" w:after="120" w:line="240" w:lineRule="auto"/>
              <w:jc w:val="both"/>
              <w:rPr>
                <w:ins w:id="15" w:author="Filip  Baranowski" w:date="2016-04-28T15:55:00Z"/>
              </w:rPr>
            </w:pPr>
            <w:ins w:id="16" w:author="Filip  Baranowski" w:date="2016-04-28T15:55:00Z">
              <w:r>
                <w:t xml:space="preserve">Logowanie do Generatora Wniosków w celu wypełnienia i złożenia wniosku o dofinansowanie będzie możliwe w czasie trwania naboru wniosków. Aplikacja służy do przygotowania wniosku o dofinansowanie projektu realizowanego ramach Regionalnego Programu Operacyjnego Województwa Dolnośląskiego 2014-2020. System umożliwia tworzenie, edycję oraz wydruk wniosków o dofinansowanie, a także zapewnia możliwość ich złożenia do właściwej instytucji. </w:t>
              </w:r>
            </w:ins>
          </w:p>
          <w:p w:rsidR="00387BFF" w:rsidRDefault="00387BFF" w:rsidP="00387BFF">
            <w:pPr>
              <w:spacing w:before="120" w:after="120" w:line="240" w:lineRule="auto"/>
              <w:jc w:val="both"/>
              <w:rPr>
                <w:ins w:id="17" w:author="Filip  Baranowski" w:date="2016-04-28T15:55:00Z"/>
              </w:rPr>
            </w:pPr>
            <w:ins w:id="18" w:author="Filip  Baranowski" w:date="2016-04-28T15:55:00Z">
              <w:r>
                <w:t>Ponadto do siedziby IOK należy dostarczyć jeden egzemplarz wydrukowanej z aplikacji generator wniosków papierowej wersji wniosku, opatrzonej czytelnym podpisem/ami lub parafą i z pieczęcią imienną osoby/ób uprawnionej/ych do reprezentowania Wnioskodawcy (wraz z podpisanymi załącznikami) w terminie do godz. 15.00 dnia 25 maja 2016 r. Jednocześnie, wymaganą analizę finansową (w postaci arkuszy kalkulacyjnych w formacie Excel z aktywnymi formułami) przedłożyć należy na nośniku CD.</w:t>
              </w:r>
            </w:ins>
          </w:p>
          <w:p w:rsidR="00387BFF" w:rsidRDefault="00387BFF" w:rsidP="00387BFF">
            <w:pPr>
              <w:spacing w:before="120" w:after="120" w:line="240" w:lineRule="auto"/>
              <w:jc w:val="both"/>
              <w:rPr>
                <w:ins w:id="19" w:author="Filip  Baranowski" w:date="2016-04-28T15:55:00Z"/>
              </w:rPr>
            </w:pPr>
            <w:ins w:id="20" w:author="Filip  Baranowski" w:date="2016-04-28T15:55:00Z">
              <w:r>
                <w:t xml:space="preserve">Za datę wpływu do IOK uznaje się datę wpływu wniosku w wersji papierowej. Papierowa wersja wniosku może zostać dostarczona: </w:t>
              </w:r>
            </w:ins>
          </w:p>
          <w:p w:rsidR="00387BFF" w:rsidRDefault="00387BFF" w:rsidP="00387BFF">
            <w:pPr>
              <w:spacing w:before="120" w:after="120" w:line="240" w:lineRule="auto"/>
              <w:jc w:val="both"/>
              <w:rPr>
                <w:ins w:id="21" w:author="Filip  Baranowski" w:date="2016-04-28T15:55:00Z"/>
              </w:rPr>
            </w:pPr>
            <w:ins w:id="22" w:author="Filip  Baranowski" w:date="2016-04-28T15:55:00Z">
              <w:r>
                <w:t>a)</w:t>
              </w:r>
              <w:r>
                <w:tab/>
                <w:t>osobiście do kancelarii Departamentu Funduszy Europejskich mieszczącej się pod adresem:</w:t>
              </w:r>
            </w:ins>
          </w:p>
          <w:p w:rsidR="00387BFF" w:rsidRDefault="00387BFF" w:rsidP="00387BFF">
            <w:pPr>
              <w:spacing w:before="120" w:after="120" w:line="240" w:lineRule="auto"/>
              <w:jc w:val="both"/>
              <w:rPr>
                <w:ins w:id="23" w:author="Filip  Baranowski" w:date="2016-04-28T15:55:00Z"/>
              </w:rPr>
            </w:pPr>
            <w:ins w:id="24" w:author="Filip  Baranowski" w:date="2016-04-28T15:55:00Z">
              <w:r>
                <w:t>Urząd Marszałkowski Województwa Dolnośląskiego</w:t>
              </w:r>
            </w:ins>
          </w:p>
          <w:p w:rsidR="00387BFF" w:rsidRDefault="00387BFF" w:rsidP="00387BFF">
            <w:pPr>
              <w:spacing w:before="120" w:after="120" w:line="240" w:lineRule="auto"/>
              <w:jc w:val="both"/>
              <w:rPr>
                <w:ins w:id="25" w:author="Filip  Baranowski" w:date="2016-04-28T15:55:00Z"/>
              </w:rPr>
            </w:pPr>
            <w:ins w:id="26" w:author="Filip  Baranowski" w:date="2016-04-28T15:55:00Z">
              <w:r>
                <w:t>Departament Funduszy Europejskich</w:t>
              </w:r>
            </w:ins>
          </w:p>
          <w:p w:rsidR="00387BFF" w:rsidRDefault="00387BFF" w:rsidP="00387BFF">
            <w:pPr>
              <w:spacing w:before="120" w:after="120" w:line="240" w:lineRule="auto"/>
              <w:jc w:val="both"/>
              <w:rPr>
                <w:ins w:id="27" w:author="Filip  Baranowski" w:date="2016-04-28T15:55:00Z"/>
              </w:rPr>
            </w:pPr>
            <w:ins w:id="28" w:author="Filip  Baranowski" w:date="2016-04-28T15:55:00Z">
              <w:r>
                <w:t>ul. Mazowiecka 17</w:t>
              </w:r>
            </w:ins>
          </w:p>
          <w:p w:rsidR="00387BFF" w:rsidRDefault="00387BFF" w:rsidP="00387BFF">
            <w:pPr>
              <w:spacing w:before="120" w:after="120" w:line="240" w:lineRule="auto"/>
              <w:jc w:val="both"/>
              <w:rPr>
                <w:ins w:id="29" w:author="Filip  Baranowski" w:date="2016-04-28T15:55:00Z"/>
              </w:rPr>
            </w:pPr>
            <w:ins w:id="30" w:author="Filip  Baranowski" w:date="2016-04-28T15:55:00Z">
              <w:r>
                <w:t>50-412 Wrocław</w:t>
              </w:r>
            </w:ins>
          </w:p>
          <w:p w:rsidR="00387BFF" w:rsidRDefault="00387BFF" w:rsidP="00387BFF">
            <w:pPr>
              <w:spacing w:before="120" w:after="120" w:line="240" w:lineRule="auto"/>
              <w:jc w:val="both"/>
              <w:rPr>
                <w:ins w:id="31" w:author="Filip  Baranowski" w:date="2016-04-28T15:55:00Z"/>
              </w:rPr>
            </w:pPr>
            <w:ins w:id="32" w:author="Filip  Baranowski" w:date="2016-04-28T15:55:00Z">
              <w:r>
                <w:t>II piętro, pokój nr 2020</w:t>
              </w:r>
            </w:ins>
          </w:p>
          <w:p w:rsidR="00387BFF" w:rsidRDefault="00387BFF" w:rsidP="00387BFF">
            <w:pPr>
              <w:spacing w:before="120" w:after="120" w:line="240" w:lineRule="auto"/>
              <w:jc w:val="both"/>
              <w:rPr>
                <w:ins w:id="33" w:author="Filip  Baranowski" w:date="2016-04-28T15:55:00Z"/>
              </w:rPr>
            </w:pPr>
            <w:ins w:id="34" w:author="Filip  Baranowski" w:date="2016-04-28T15:55:00Z">
              <w:r>
                <w:t>b)</w:t>
              </w:r>
              <w:r>
                <w:tab/>
                <w:t xml:space="preserve">kurierem lub pocztą na adres: </w:t>
              </w:r>
            </w:ins>
          </w:p>
          <w:p w:rsidR="00387BFF" w:rsidRDefault="00387BFF" w:rsidP="00387BFF">
            <w:pPr>
              <w:spacing w:before="120" w:after="120" w:line="240" w:lineRule="auto"/>
              <w:jc w:val="both"/>
              <w:rPr>
                <w:ins w:id="35" w:author="Filip  Baranowski" w:date="2016-04-28T15:55:00Z"/>
              </w:rPr>
            </w:pPr>
            <w:ins w:id="36" w:author="Filip  Baranowski" w:date="2016-04-28T15:55:00Z">
              <w:r>
                <w:t>Urząd Marszałkowski Województwa Dolnośląskiego</w:t>
              </w:r>
            </w:ins>
          </w:p>
          <w:p w:rsidR="00387BFF" w:rsidRDefault="00387BFF" w:rsidP="00387BFF">
            <w:pPr>
              <w:spacing w:before="120" w:after="120" w:line="240" w:lineRule="auto"/>
              <w:jc w:val="both"/>
              <w:rPr>
                <w:ins w:id="37" w:author="Filip  Baranowski" w:date="2016-04-28T15:55:00Z"/>
              </w:rPr>
            </w:pPr>
            <w:ins w:id="38" w:author="Filip  Baranowski" w:date="2016-04-28T15:55:00Z">
              <w:r>
                <w:t>Wydział Wdrażania EFRR</w:t>
              </w:r>
            </w:ins>
          </w:p>
          <w:p w:rsidR="00387BFF" w:rsidRDefault="00387BFF" w:rsidP="00387BFF">
            <w:pPr>
              <w:spacing w:before="120" w:after="120" w:line="240" w:lineRule="auto"/>
              <w:jc w:val="both"/>
              <w:rPr>
                <w:ins w:id="39" w:author="Filip  Baranowski" w:date="2016-04-28T15:55:00Z"/>
              </w:rPr>
            </w:pPr>
            <w:ins w:id="40" w:author="Filip  Baranowski" w:date="2016-04-28T15:55:00Z">
              <w:r>
                <w:t>ul. Mazowiecka 17</w:t>
              </w:r>
            </w:ins>
          </w:p>
          <w:p w:rsidR="00387BFF" w:rsidRDefault="00387BFF" w:rsidP="00387BFF">
            <w:pPr>
              <w:spacing w:before="120" w:after="120" w:line="240" w:lineRule="auto"/>
              <w:jc w:val="both"/>
              <w:rPr>
                <w:ins w:id="41" w:author="Filip  Baranowski" w:date="2016-04-28T15:55:00Z"/>
              </w:rPr>
            </w:pPr>
            <w:ins w:id="42" w:author="Filip  Baranowski" w:date="2016-04-28T15:55:00Z">
              <w:r>
                <w:t>50-412 Wrocław.</w:t>
              </w:r>
            </w:ins>
          </w:p>
          <w:p w:rsidR="00387BFF" w:rsidRDefault="00387BFF" w:rsidP="00387BFF">
            <w:pPr>
              <w:spacing w:before="120" w:after="120" w:line="240" w:lineRule="auto"/>
              <w:jc w:val="both"/>
              <w:rPr>
                <w:ins w:id="43" w:author="Filip  Baranowski" w:date="2016-04-28T15:55:00Z"/>
              </w:rPr>
            </w:pPr>
            <w:ins w:id="44" w:author="Filip  Baranowski" w:date="2016-04-28T15:55:00Z">
              <w:r>
                <w:t>Suma kontrolna wersji elektronicznej wniosku (w systemie) musi być identyczna z sumą kontrolną papierowej wersji wniosku.</w:t>
              </w:r>
            </w:ins>
          </w:p>
          <w:p w:rsidR="00387BFF" w:rsidRDefault="00387BFF" w:rsidP="00387BFF">
            <w:pPr>
              <w:spacing w:before="120" w:after="120" w:line="240" w:lineRule="auto"/>
              <w:jc w:val="both"/>
              <w:rPr>
                <w:ins w:id="45" w:author="Filip  Baranowski" w:date="2016-04-28T15:55:00Z"/>
              </w:rPr>
            </w:pPr>
            <w:ins w:id="46" w:author="Filip  Baranowski" w:date="2016-04-28T15:55:00Z">
              <w:r>
                <w:t xml:space="preserve">Wniosek wraz z załącznikami (jeśli dotyczy) należy złożyć w zamkniętej </w:t>
              </w:r>
              <w:r>
                <w:lastRenderedPageBreak/>
                <w:t xml:space="preserve">kopercie, której opis zawiera następujące informacje: </w:t>
              </w:r>
            </w:ins>
          </w:p>
          <w:p w:rsidR="00387BFF" w:rsidRDefault="00387BFF" w:rsidP="00387BFF">
            <w:pPr>
              <w:spacing w:before="120" w:after="120" w:line="240" w:lineRule="auto"/>
              <w:jc w:val="both"/>
              <w:rPr>
                <w:ins w:id="47" w:author="Filip  Baranowski" w:date="2016-04-28T15:55:00Z"/>
              </w:rPr>
            </w:pPr>
            <w:ins w:id="48" w:author="Filip  Baranowski" w:date="2016-04-28T15:55:00Z">
              <w:r>
                <w:t>- pełna nazwa Wnioskodawcy wraz z adresem</w:t>
              </w:r>
            </w:ins>
          </w:p>
          <w:p w:rsidR="00387BFF" w:rsidRDefault="00387BFF" w:rsidP="00387BFF">
            <w:pPr>
              <w:spacing w:before="120" w:after="120" w:line="240" w:lineRule="auto"/>
              <w:jc w:val="both"/>
              <w:rPr>
                <w:ins w:id="49" w:author="Filip  Baranowski" w:date="2016-04-28T15:55:00Z"/>
              </w:rPr>
            </w:pPr>
            <w:ins w:id="50" w:author="Filip  Baranowski" w:date="2016-04-28T15:55:00Z">
              <w:r>
                <w:t>- wniosek o dofinansowanie projektu w ramach naboru nr …………..</w:t>
              </w:r>
            </w:ins>
          </w:p>
          <w:p w:rsidR="00387BFF" w:rsidRDefault="00387BFF" w:rsidP="00387BFF">
            <w:pPr>
              <w:spacing w:before="120" w:after="120" w:line="240" w:lineRule="auto"/>
              <w:jc w:val="both"/>
              <w:rPr>
                <w:ins w:id="51" w:author="Filip  Baranowski" w:date="2016-04-28T15:55:00Z"/>
              </w:rPr>
            </w:pPr>
            <w:ins w:id="52" w:author="Filip  Baranowski" w:date="2016-04-28T15:55:00Z">
              <w:r>
                <w:t>- tytuł projektu</w:t>
              </w:r>
            </w:ins>
          </w:p>
          <w:p w:rsidR="00387BFF" w:rsidRDefault="00387BFF" w:rsidP="00387BFF">
            <w:pPr>
              <w:spacing w:before="120" w:after="120" w:line="240" w:lineRule="auto"/>
              <w:jc w:val="both"/>
              <w:rPr>
                <w:ins w:id="53" w:author="Filip  Baranowski" w:date="2016-04-28T15:55:00Z"/>
              </w:rPr>
            </w:pPr>
            <w:ins w:id="54" w:author="Filip  Baranowski" w:date="2016-04-28T15:55:00Z">
              <w:r>
                <w:t>- „Nie otwierać przed wpływem do Wydziału Wdrażania EFRR”.</w:t>
              </w:r>
            </w:ins>
          </w:p>
          <w:p w:rsidR="00387BFF" w:rsidRDefault="00387BFF" w:rsidP="00387BFF">
            <w:pPr>
              <w:spacing w:before="120" w:after="120" w:line="240" w:lineRule="auto"/>
              <w:jc w:val="both"/>
              <w:rPr>
                <w:ins w:id="55" w:author="Filip  Baranowski" w:date="2016-04-28T15:55:00Z"/>
              </w:rPr>
            </w:pPr>
            <w:ins w:id="56" w:author="Filip  Baranowski" w:date="2016-04-28T15:55:00Z">
              <w:r>
                <w:t xml:space="preserve">Wraz z wnioskiem należy dostarczyć pismo przewodnie, na którym zostanie potwierdzony wpływ wniosku do IOK. Pismo to powinno zawierać te same informacje, które znajdują się na kopercie. </w:t>
              </w:r>
            </w:ins>
          </w:p>
          <w:p w:rsidR="00387BFF" w:rsidRDefault="00387BFF" w:rsidP="00387BFF">
            <w:pPr>
              <w:spacing w:before="120" w:after="120" w:line="240" w:lineRule="auto"/>
              <w:jc w:val="both"/>
              <w:rPr>
                <w:ins w:id="57" w:author="Filip  Baranowski" w:date="2016-04-28T15:55:00Z"/>
              </w:rPr>
            </w:pPr>
            <w:ins w:id="58" w:author="Filip  Baranowski" w:date="2016-04-28T15:55:00Z">
              <w:r>
                <w:t>Wnioski złożone wyłącznie w wersji papierowej albo wyłącznie w wersji elektronicznej zostaną uznane za nieskutecznie złożone i pozostawione bez rozpatrzenia. W takim przypadku wersja papierowa wniosku (o ile zostanie złożona) będzie odsyłana na wskazany we wniosku o dofinansowanie adres korespondencyjny w ciągu 14 dni od daty złożenia.</w:t>
              </w:r>
            </w:ins>
          </w:p>
          <w:p w:rsidR="00387BFF" w:rsidRDefault="00387BFF" w:rsidP="00387BFF">
            <w:pPr>
              <w:spacing w:before="120" w:after="120" w:line="240" w:lineRule="auto"/>
              <w:jc w:val="both"/>
              <w:rPr>
                <w:ins w:id="59" w:author="Filip  Baranowski" w:date="2016-04-28T15:55:00Z"/>
              </w:rPr>
            </w:pPr>
            <w:ins w:id="60" w:author="Filip  Baranowski" w:date="2016-04-28T15:55:00Z">
              <w:r>
                <w:t>Oświadczenia oraz dane zawarte we wniosku o dofinansowanie projektu są składane pod rygorem odpowiedzialności karnej za składanie fałszywych zeznań. Wniosek o dofinansowanie projektu zawiera klauzulę następującej treści: „Jestem świadomy odpowiedzialności karnej za podanie fałszywych danych lub złożenie fałszywych oświadczeń”. Klauzula ta zastępuje pouczenie właściwej instytucji o odpowiedzialności karnej za składanie fałszywych zeznań.</w:t>
              </w:r>
            </w:ins>
          </w:p>
          <w:p w:rsidR="00387BFF" w:rsidRDefault="00387BFF" w:rsidP="00387BFF">
            <w:pPr>
              <w:spacing w:before="120" w:after="120" w:line="240" w:lineRule="auto"/>
              <w:jc w:val="both"/>
              <w:rPr>
                <w:ins w:id="61" w:author="Filip  Baranowski" w:date="2016-04-28T15:55:00Z"/>
              </w:rPr>
            </w:pPr>
            <w:ins w:id="62" w:author="Filip  Baranowski" w:date="2016-04-28T15:55:00Z">
              <w:r>
                <w:t>Wnioskodawca ma możliwość wycofania wniosku o dofinansowanie podczas trwania konkursu oraz na każdym etapie jego oceny. Należy wówczas dostarczyć do IOK pismo z prośbą o wycofanie wniosku podpisane przez osobę uprawnioną do podejmowania decyzji w imieniu wnioskodawcy.</w:t>
              </w:r>
            </w:ins>
          </w:p>
          <w:p w:rsidR="005A17EF" w:rsidDel="00387BFF" w:rsidRDefault="00387BFF" w:rsidP="00387BFF">
            <w:pPr>
              <w:spacing w:before="120" w:after="120" w:line="240" w:lineRule="auto"/>
              <w:jc w:val="both"/>
              <w:rPr>
                <w:del w:id="63" w:author="Filip  Baranowski" w:date="2016-04-28T15:55:00Z"/>
                <w:rFonts w:cs="Arial"/>
              </w:rPr>
            </w:pPr>
            <w:ins w:id="64" w:author="Filip  Baranowski" w:date="2016-04-28T15:55:00Z">
              <w:r>
                <w:t>W przypadku ewentualnych problemów z Generatorem, IZ RPO WD zastrzega sobie możliwość wydłużenia terminu składania wniosków lub złożenia ich w innej formie niż wyżej opisana. Decyzja w powyższej kwestii zostanie przedstawiona w formie komunikatu we wszystkich miejscach, gdzie opublikowano ogłoszenie.</w:t>
              </w:r>
            </w:ins>
            <w:del w:id="65" w:author="Filip  Baranowski" w:date="2016-04-28T15:55:00Z">
              <w:r w:rsidR="00FD26CA" w:rsidDel="00387BFF">
                <w:delText xml:space="preserve">Wnioskodawca wypełnia wniosek o dofinansowanie za pośrednictwem aplikacji Generator wniosków dostępnego </w:delText>
              </w:r>
              <w:r w:rsidR="00FD26CA" w:rsidDel="00387BFF">
                <w:rPr>
                  <w:rFonts w:eastAsia="Calibri" w:cs="Arial"/>
                </w:rPr>
                <w:delText xml:space="preserve">na stronie </w:delText>
              </w:r>
              <w:r w:rsidR="00D720AE" w:rsidDel="00387BFF">
                <w:fldChar w:fldCharType="begin"/>
              </w:r>
              <w:r w:rsidR="00D720AE" w:rsidDel="00387BFF">
                <w:delInstrText xml:space="preserve"> HYPERLINK "http://gwnd.dolnyslask.pl/" \h </w:delInstrText>
              </w:r>
              <w:r w:rsidR="00D720AE" w:rsidDel="00387BFF">
                <w:fldChar w:fldCharType="separate"/>
              </w:r>
              <w:r w:rsidR="00FD26CA" w:rsidDel="00387BFF">
                <w:rPr>
                  <w:rStyle w:val="czeinternetowe"/>
                  <w:rFonts w:eastAsia="Calibri" w:cs="Times New Roman"/>
                  <w:color w:val="00000A"/>
                  <w:lang w:eastAsia="pl-PL"/>
                </w:rPr>
                <w:delText>http://gwnd.dolnyslask.pl/</w:delText>
              </w:r>
              <w:r w:rsidR="00D720AE" w:rsidDel="00387BFF">
                <w:rPr>
                  <w:rStyle w:val="czeinternetowe"/>
                  <w:rFonts w:eastAsia="Calibri" w:cs="Times New Roman"/>
                  <w:color w:val="00000A"/>
                  <w:lang w:eastAsia="pl-PL"/>
                </w:rPr>
                <w:fldChar w:fldCharType="end"/>
              </w:r>
              <w:r w:rsidR="00FD26CA" w:rsidDel="00387BFF">
                <w:delText xml:space="preserve"> i przesyła do IOK w ramach niniejszego konkursu </w:delText>
              </w:r>
              <w:r w:rsidR="00FD26CA" w:rsidDel="00387BFF">
                <w:rPr>
                  <w:b/>
                </w:rPr>
                <w:delText>od dnia 31 marca 2016 r. do dnia 29 kwietnia 2016 r.</w:delText>
              </w:r>
              <w:r w:rsidR="00FD26CA" w:rsidDel="00387BFF">
                <w:rPr>
                  <w:rFonts w:cs="Arial"/>
                </w:rPr>
                <w:delText xml:space="preserve"> Wnioski należy składać wyłącznie w formie dokumentu elektronicznego za pośrednictwem  Generatora. </w:delText>
              </w:r>
            </w:del>
          </w:p>
          <w:p w:rsidR="005A17EF" w:rsidDel="00387BFF" w:rsidRDefault="00FD26CA" w:rsidP="007B2B8D">
            <w:pPr>
              <w:spacing w:after="0" w:line="240" w:lineRule="auto"/>
              <w:jc w:val="both"/>
              <w:rPr>
                <w:del w:id="66" w:author="Filip  Baranowski" w:date="2016-04-28T15:55:00Z"/>
                <w:rFonts w:ascii="Times New Roman" w:hAnsi="Times New Roman" w:cs="Times New Roman"/>
                <w:sz w:val="24"/>
                <w:szCs w:val="24"/>
                <w:lang w:eastAsia="pl-PL"/>
              </w:rPr>
            </w:pPr>
            <w:del w:id="67" w:author="Filip  Baranowski" w:date="2016-04-28T15:55:00Z">
              <w:r w:rsidDel="00387BFF">
                <w:delText>Aplikacja służy do przygotowania wniosku o dofinansowanie projektu realizowanego w ramach Regionalnego Programu Operacyjnego Województwa Dolnośląskiego 2014-2020. System umożliwia tworzenie, edycję oraz wydruk wniosków o dofinansowanie, a także zapewnia mo</w:delText>
              </w:r>
              <w:r w:rsidR="00345439" w:rsidDel="00387BFF">
                <w:delText xml:space="preserve">żliwość ich podpisywania </w:delText>
              </w:r>
              <w:r w:rsidDel="00387BFF">
                <w:delText>i złożenia do właściwej instytucji. Zostanie on udostępniony wraz z instrukcją najpóźniej w dniu rozpoczęcia naboru wniosków o dofinansowanie.</w:delText>
              </w:r>
              <w:r w:rsidDel="00387BFF">
                <w:rPr>
                  <w:rFonts w:ascii="Times New Roman" w:hAnsi="Times New Roman" w:cs="Times New Roman"/>
                  <w:sz w:val="24"/>
                  <w:szCs w:val="24"/>
                  <w:lang w:eastAsia="pl-PL"/>
                </w:rPr>
                <w:delText xml:space="preserve"> </w:delText>
              </w:r>
            </w:del>
          </w:p>
          <w:p w:rsidR="005A17EF" w:rsidDel="00387BFF" w:rsidRDefault="00FD26CA" w:rsidP="007B2B8D">
            <w:pPr>
              <w:spacing w:before="120" w:after="120" w:line="240" w:lineRule="auto"/>
              <w:jc w:val="both"/>
              <w:rPr>
                <w:del w:id="68" w:author="Filip  Baranowski" w:date="2016-04-28T15:55:00Z"/>
                <w:rFonts w:cs="Arial"/>
              </w:rPr>
            </w:pPr>
            <w:del w:id="69" w:author="Filip  Baranowski" w:date="2016-04-28T15:55:00Z">
              <w:r w:rsidDel="00387BFF">
                <w:rPr>
                  <w:rFonts w:cs="Arial"/>
                </w:rPr>
                <w:delText xml:space="preserve">Oświadczenia oraz dane zawarte we wniosku o dofinansowanie projektu są składane pod rygorem odpowiedzialności karnej za składanie fałszywych zeznań. Wniosek o dofinansowanie projektu zawiera klauzulę </w:delText>
              </w:r>
              <w:r w:rsidDel="00387BFF">
                <w:rPr>
                  <w:rFonts w:cs="Arial"/>
                </w:rPr>
                <w:lastRenderedPageBreak/>
                <w:delText>następującej treści: „Jestem świadomy odpowiedzialności karnej za podanie fałszywych danych lub złożenie fałszywych oświadczeń”. Klauzula ta zastępuje pouczenie właściwej instytucji o odpowiedzialności karnej za składanie fałszywych zeznań.</w:delText>
              </w:r>
            </w:del>
          </w:p>
          <w:p w:rsidR="005A17EF" w:rsidDel="00387BFF" w:rsidRDefault="00FD26CA" w:rsidP="007B2B8D">
            <w:pPr>
              <w:spacing w:before="120" w:after="120" w:line="240" w:lineRule="auto"/>
              <w:jc w:val="both"/>
              <w:rPr>
                <w:del w:id="70" w:author="Filip  Baranowski" w:date="2016-04-28T15:55:00Z"/>
              </w:rPr>
            </w:pPr>
            <w:del w:id="71" w:author="Filip  Baranowski" w:date="2016-04-28T15:55:00Z">
              <w:r w:rsidDel="00387BFF">
                <w:delText>Logowanie do aplikacji w celu złożenia wniosku o dofinansowanie będzie możliwe w czasie naboru wniosków.</w:delText>
              </w:r>
            </w:del>
          </w:p>
          <w:p w:rsidR="005A17EF" w:rsidDel="00387BFF" w:rsidRDefault="00FD26CA" w:rsidP="007B2B8D">
            <w:pPr>
              <w:spacing w:before="120" w:after="120" w:line="240" w:lineRule="auto"/>
              <w:jc w:val="both"/>
              <w:rPr>
                <w:del w:id="72" w:author="Filip  Baranowski" w:date="2016-04-28T15:55:00Z"/>
                <w:rFonts w:cs="Arial"/>
              </w:rPr>
            </w:pPr>
            <w:del w:id="73" w:author="Filip  Baranowski" w:date="2016-04-28T15:55:00Z">
              <w:r w:rsidDel="00387BFF">
                <w:rPr>
                  <w:rFonts w:cs="Arial"/>
                </w:rPr>
                <w:delText xml:space="preserve">Wniosek o dofinansowanie złożony w formie formularza elektronicznego </w:delText>
              </w:r>
              <w:r w:rsidDel="00387BFF">
                <w:rPr>
                  <w:rFonts w:cs="Arial"/>
                  <w:b/>
                  <w:bCs/>
                </w:rPr>
                <w:delText xml:space="preserve">musi być podpisany </w:delText>
              </w:r>
              <w:r w:rsidDel="00387BFF">
                <w:rPr>
                  <w:rFonts w:cs="Arial"/>
                </w:rPr>
                <w:delText>z użyciem podpisu elektronicznego, weryfikowanego za pomocą kwalifikowanego certyfikatu lub podpisu po</w:delText>
              </w:r>
              <w:r w:rsidR="001C0126" w:rsidDel="00387BFF">
                <w:rPr>
                  <w:rFonts w:cs="Arial"/>
                </w:rPr>
                <w:delText xml:space="preserve">twierdzonego Profilem Zaufanym </w:delText>
              </w:r>
              <w:r w:rsidDel="00387BFF">
                <w:rPr>
                  <w:rFonts w:cs="Arial"/>
                </w:rPr>
                <w:delText xml:space="preserve">w ramach ePUAP. </w:delText>
              </w:r>
            </w:del>
          </w:p>
          <w:p w:rsidR="005A17EF" w:rsidDel="00387BFF" w:rsidRDefault="00FD26CA" w:rsidP="007B2B8D">
            <w:pPr>
              <w:spacing w:before="120" w:after="120" w:line="240" w:lineRule="auto"/>
              <w:jc w:val="both"/>
              <w:rPr>
                <w:del w:id="74" w:author="Filip  Baranowski" w:date="2016-04-28T15:55:00Z"/>
                <w:rFonts w:cs="Arial"/>
              </w:rPr>
            </w:pPr>
            <w:del w:id="75" w:author="Filip  Baranowski" w:date="2016-04-28T15:55:00Z">
              <w:r w:rsidDel="00387BFF">
                <w:rPr>
                  <w:rFonts w:cs="Arial"/>
                </w:rPr>
                <w:delText>Wnioskodawca ma możliwość wycofania wniosku o dofinansowanie podczas trwania konkursu oraz na każdym etapie jego oceny. Należy wówczas dostarczyć do IOK pismo z prośbą o wycofanie wniosku podpisane przez osobę uprawnioną do podejmowania decyzji w imieniu wnioskodawcy.</w:delText>
              </w:r>
            </w:del>
          </w:p>
          <w:p w:rsidR="005A17EF" w:rsidRDefault="00FD26CA" w:rsidP="007B2B8D">
            <w:pPr>
              <w:spacing w:before="120" w:after="120" w:line="240" w:lineRule="auto"/>
              <w:jc w:val="both"/>
              <w:rPr>
                <w:rFonts w:cs="Arial"/>
              </w:rPr>
            </w:pPr>
            <w:del w:id="76" w:author="Filip  Baranowski" w:date="2016-04-28T15:55:00Z">
              <w:r w:rsidDel="00387BFF">
                <w:rPr>
                  <w:rFonts w:cs="Arial"/>
                </w:rPr>
                <w:delText xml:space="preserve"> W przypadku ewentualnych problemów z Generatorem, IZ RPO WD zastrzega sobie możliwość wydłużenia terminu składania wniosków lub złożenia ich w innej formie niż elektroniczna. Decyzję w powyższej kwestii zostanie przedstawiona w formie komunikatu we wszystkich miejscach, gdzie opublikowano ogłoszenie.</w:delText>
              </w:r>
            </w:del>
          </w:p>
        </w:tc>
      </w:tr>
      <w:tr w:rsidR="005A17EF" w:rsidTr="00E86DB9">
        <w:tc>
          <w:tcPr>
            <w:tcW w:w="5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B0080F" w:rsidRDefault="00FD26CA" w:rsidP="007B2B8D">
            <w:pPr>
              <w:spacing w:after="0" w:line="240" w:lineRule="auto"/>
              <w:rPr>
                <w:b/>
                <w:bCs/>
                <w:color w:val="auto"/>
              </w:rPr>
            </w:pPr>
            <w:r w:rsidRPr="00B0080F">
              <w:rPr>
                <w:b/>
                <w:bCs/>
                <w:color w:val="auto"/>
              </w:rPr>
              <w:lastRenderedPageBreak/>
              <w:t>16.</w:t>
            </w:r>
          </w:p>
        </w:tc>
        <w:tc>
          <w:tcPr>
            <w:tcW w:w="22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B0080F" w:rsidRDefault="00FD26CA" w:rsidP="007B2B8D">
            <w:pPr>
              <w:pStyle w:val="Default"/>
              <w:spacing w:line="240" w:lineRule="auto"/>
              <w:rPr>
                <w:b/>
                <w:bCs/>
                <w:color w:val="auto"/>
                <w:sz w:val="22"/>
                <w:szCs w:val="22"/>
              </w:rPr>
            </w:pPr>
            <w:r w:rsidRPr="00B0080F">
              <w:rPr>
                <w:b/>
                <w:bCs/>
                <w:color w:val="auto"/>
                <w:sz w:val="22"/>
                <w:szCs w:val="22"/>
              </w:rPr>
              <w:t xml:space="preserve">Katalog możliwych do uzupełnienia braków formalnych oraz oczywistych omyłek: </w:t>
            </w:r>
          </w:p>
          <w:p w:rsidR="005A17EF" w:rsidRPr="00B0080F" w:rsidRDefault="005A17EF" w:rsidP="007B2B8D">
            <w:pPr>
              <w:pStyle w:val="Default"/>
              <w:spacing w:line="240" w:lineRule="auto"/>
              <w:rPr>
                <w:b/>
                <w:bCs/>
                <w:color w:val="auto"/>
                <w:sz w:val="22"/>
                <w:szCs w:val="22"/>
              </w:rPr>
            </w:pPr>
          </w:p>
        </w:tc>
        <w:tc>
          <w:tcPr>
            <w:tcW w:w="68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FD26CA" w:rsidP="007B2B8D">
            <w:pPr>
              <w:pStyle w:val="Tekstkomentarza"/>
              <w:spacing w:after="240" w:line="240" w:lineRule="auto"/>
              <w:jc w:val="both"/>
              <w:rPr>
                <w:rFonts w:ascii="Calibri" w:hAnsi="Calibri"/>
                <w:sz w:val="22"/>
                <w:szCs w:val="22"/>
              </w:rPr>
            </w:pPr>
            <w:r>
              <w:rPr>
                <w:rFonts w:ascii="Calibri" w:hAnsi="Calibri"/>
                <w:sz w:val="22"/>
                <w:szCs w:val="22"/>
              </w:rPr>
              <w:t xml:space="preserve">W przypadku stwierdzenia we wniosku o dofinansowanie braków formalnych lub oczywistych omyłek IOK wzywa wnioskodawcę do uzupełnienia wniosku lub poprawienia w nim oczywistej omyłki w terminie nie krótszym niż 7 dni od dnia otrzymania informacji, pod rygorem pozostawienia wniosku bez rozpatrzenia i w konsekwencji niedopuszczenia projektu do oceny lub dalszej oceny. </w:t>
            </w:r>
          </w:p>
          <w:p w:rsidR="005A17EF" w:rsidRDefault="00FD26CA" w:rsidP="007B2B8D">
            <w:pPr>
              <w:pStyle w:val="Tekstkomentarza"/>
              <w:spacing w:after="240" w:line="240" w:lineRule="auto"/>
              <w:jc w:val="both"/>
              <w:rPr>
                <w:rFonts w:ascii="Calibri" w:hAnsi="Calibri"/>
                <w:sz w:val="22"/>
                <w:szCs w:val="22"/>
              </w:rPr>
            </w:pPr>
            <w:r>
              <w:rPr>
                <w:rFonts w:ascii="Calibri" w:hAnsi="Calibri"/>
                <w:sz w:val="22"/>
                <w:szCs w:val="22"/>
              </w:rPr>
              <w:t xml:space="preserve">Uzupełnienie wniosku o dofinansowanie projektu lub poprawienie w nim oczywistej omyłki w wyznaczonym terminie nie może prowadzić do jego istotnej modyfikacji. </w:t>
            </w:r>
          </w:p>
          <w:p w:rsidR="005A17EF" w:rsidRPr="00927BAF" w:rsidRDefault="00FD26CA" w:rsidP="007B2B8D">
            <w:pPr>
              <w:pStyle w:val="Tekstkomentarza"/>
              <w:spacing w:after="240" w:line="240" w:lineRule="auto"/>
              <w:jc w:val="both"/>
              <w:rPr>
                <w:rFonts w:ascii="Calibri" w:hAnsi="Calibri"/>
                <w:color w:val="auto"/>
                <w:sz w:val="22"/>
                <w:szCs w:val="22"/>
              </w:rPr>
            </w:pPr>
            <w:r w:rsidRPr="00927BAF">
              <w:rPr>
                <w:rFonts w:ascii="Calibri" w:hAnsi="Calibri"/>
                <w:color w:val="auto"/>
                <w:sz w:val="22"/>
                <w:szCs w:val="22"/>
              </w:rPr>
              <w:t xml:space="preserve">Dopuszczalne jest jednokrotne dokonanie uzupełnień lub poprawy wniosku </w:t>
            </w:r>
            <w:r w:rsidR="002E4400" w:rsidRPr="00927BAF">
              <w:rPr>
                <w:rFonts w:ascii="Calibri" w:hAnsi="Calibri"/>
                <w:color w:val="auto"/>
                <w:sz w:val="22"/>
                <w:szCs w:val="22"/>
              </w:rPr>
              <w:t>w zakresie wskazanym przez IOK, np.:</w:t>
            </w:r>
          </w:p>
          <w:p w:rsidR="002E4400" w:rsidRPr="00927BAF" w:rsidRDefault="002E4400" w:rsidP="007B2B8D">
            <w:pPr>
              <w:pStyle w:val="Tekstkomentarza"/>
              <w:numPr>
                <w:ilvl w:val="0"/>
                <w:numId w:val="23"/>
              </w:numPr>
              <w:spacing w:line="240" w:lineRule="auto"/>
              <w:jc w:val="both"/>
              <w:rPr>
                <w:rFonts w:ascii="Calibri" w:hAnsi="Calibri"/>
                <w:color w:val="auto"/>
                <w:sz w:val="22"/>
                <w:szCs w:val="22"/>
              </w:rPr>
            </w:pPr>
            <w:r w:rsidRPr="00927BAF">
              <w:rPr>
                <w:rFonts w:ascii="Calibri" w:hAnsi="Calibri"/>
                <w:color w:val="auto"/>
                <w:sz w:val="22"/>
                <w:szCs w:val="22"/>
              </w:rPr>
              <w:t>uzupełnienie formularza wniosku jeśli nie wszystkie wymagane pola zostały wypełnione,</w:t>
            </w:r>
          </w:p>
          <w:p w:rsidR="002E4400" w:rsidRDefault="002E4400" w:rsidP="007B2B8D">
            <w:pPr>
              <w:pStyle w:val="Tekstkomentarza"/>
              <w:numPr>
                <w:ilvl w:val="0"/>
                <w:numId w:val="23"/>
              </w:numPr>
              <w:spacing w:line="240" w:lineRule="auto"/>
              <w:jc w:val="both"/>
              <w:rPr>
                <w:rFonts w:ascii="Calibri" w:hAnsi="Calibri"/>
                <w:color w:val="auto"/>
                <w:sz w:val="22"/>
                <w:szCs w:val="22"/>
              </w:rPr>
            </w:pPr>
            <w:r w:rsidRPr="00927BAF">
              <w:rPr>
                <w:rFonts w:ascii="Calibri" w:hAnsi="Calibri"/>
                <w:color w:val="auto"/>
                <w:sz w:val="22"/>
                <w:szCs w:val="22"/>
              </w:rPr>
              <w:t>uzupełnienie załączników jeśli nie wszystkie wymagane załączniki zostały załączone,</w:t>
            </w:r>
          </w:p>
          <w:p w:rsidR="00B44F87" w:rsidRPr="00703639" w:rsidRDefault="00B44F87" w:rsidP="007B2B8D">
            <w:pPr>
              <w:pStyle w:val="Akapitzlist"/>
              <w:numPr>
                <w:ilvl w:val="0"/>
                <w:numId w:val="23"/>
              </w:numPr>
              <w:spacing w:before="0" w:line="240" w:lineRule="auto"/>
              <w:jc w:val="both"/>
              <w:rPr>
                <w:rFonts w:ascii="Calibri" w:hAnsi="Calibri" w:cs="Calibri"/>
                <w:color w:val="auto"/>
              </w:rPr>
            </w:pPr>
            <w:r w:rsidRPr="00703639">
              <w:rPr>
                <w:rFonts w:ascii="Calibri" w:hAnsi="Calibri" w:cs="Calibri"/>
                <w:color w:val="auto"/>
              </w:rPr>
              <w:t>poprawa jakości załączonych skanów, w sytuacji gdy nie są czytelne,</w:t>
            </w:r>
          </w:p>
          <w:p w:rsidR="002E4400" w:rsidRPr="00927BAF" w:rsidRDefault="002E4400" w:rsidP="007B2B8D">
            <w:pPr>
              <w:pStyle w:val="Tekstkomentarza"/>
              <w:numPr>
                <w:ilvl w:val="0"/>
                <w:numId w:val="23"/>
              </w:numPr>
              <w:spacing w:after="240" w:line="240" w:lineRule="auto"/>
              <w:jc w:val="both"/>
              <w:rPr>
                <w:rFonts w:ascii="Calibri" w:hAnsi="Calibri"/>
                <w:color w:val="auto"/>
                <w:sz w:val="22"/>
                <w:szCs w:val="22"/>
              </w:rPr>
            </w:pPr>
            <w:r w:rsidRPr="00927BAF">
              <w:rPr>
                <w:rFonts w:ascii="Calibri" w:hAnsi="Calibri"/>
                <w:color w:val="auto"/>
                <w:sz w:val="22"/>
                <w:szCs w:val="22"/>
              </w:rPr>
              <w:t>uzupełnienie brakujących podpisów i pieczęci.</w:t>
            </w:r>
          </w:p>
          <w:p w:rsidR="005A17EF" w:rsidRDefault="00FD26CA" w:rsidP="007B2B8D">
            <w:pPr>
              <w:pStyle w:val="Tekstkomentarza"/>
              <w:spacing w:after="240" w:line="240" w:lineRule="auto"/>
              <w:jc w:val="both"/>
              <w:rPr>
                <w:rFonts w:ascii="Calibri" w:hAnsi="Calibri"/>
                <w:sz w:val="22"/>
                <w:szCs w:val="22"/>
              </w:rPr>
            </w:pPr>
            <w:r>
              <w:rPr>
                <w:rFonts w:ascii="Calibri" w:hAnsi="Calibri"/>
                <w:sz w:val="22"/>
                <w:szCs w:val="22"/>
              </w:rPr>
              <w:t xml:space="preserve">Oczywista omyłka powinna być możliwa do poprawienia bez odwoływania się do innych dokumentów, a jej poprawa nie może prowadzić do istotnej modyfikacji wniosku o dofinansowanie projektu. </w:t>
            </w:r>
          </w:p>
          <w:p w:rsidR="005A17EF" w:rsidRDefault="00FD26CA" w:rsidP="007B2B8D">
            <w:pPr>
              <w:pStyle w:val="Tekstkomentarza"/>
              <w:spacing w:after="240" w:line="240" w:lineRule="auto"/>
              <w:jc w:val="both"/>
              <w:rPr>
                <w:rFonts w:ascii="Calibri" w:hAnsi="Calibri"/>
                <w:sz w:val="22"/>
                <w:szCs w:val="22"/>
              </w:rPr>
            </w:pPr>
            <w:r>
              <w:rPr>
                <w:rFonts w:ascii="Calibri" w:hAnsi="Calibri"/>
                <w:sz w:val="22"/>
                <w:szCs w:val="22"/>
              </w:rPr>
              <w:t xml:space="preserve">Przez „istotną modyfikację” należy w szczególności rozumieć modyfikację dotyczącą elementów treściowych wniosku, której skutkiem jest zmiana </w:t>
            </w:r>
            <w:r>
              <w:rPr>
                <w:rFonts w:ascii="Calibri" w:hAnsi="Calibri"/>
                <w:sz w:val="22"/>
                <w:szCs w:val="22"/>
              </w:rPr>
              <w:lastRenderedPageBreak/>
              <w:t>podmiotowa wnioskodawcy lub przedmiotowa projektu bądź jego wskaźników lub celów mających wpływ na kryteria wyboru projektów.</w:t>
            </w:r>
          </w:p>
          <w:p w:rsidR="005A17EF" w:rsidRDefault="00FD26CA" w:rsidP="007B2B8D">
            <w:pPr>
              <w:pStyle w:val="Tekstkomentarza"/>
              <w:spacing w:line="240" w:lineRule="auto"/>
              <w:jc w:val="both"/>
              <w:rPr>
                <w:rFonts w:ascii="Calibri" w:hAnsi="Calibri"/>
                <w:sz w:val="22"/>
                <w:szCs w:val="22"/>
              </w:rPr>
            </w:pPr>
            <w:r>
              <w:rPr>
                <w:rFonts w:ascii="Calibri" w:hAnsi="Calibri"/>
                <w:sz w:val="22"/>
                <w:szCs w:val="22"/>
              </w:rPr>
              <w:t>Ostateczna ocena czy uzupełnienie wniosku o dofinansowanie lub poprawienie w nim oczywistej omyłki doprowadziło do istotnej modyfikacji wniosku o dofinansowanie, o której mowa w art. 43 ust. 2 ustawy wdrożeniowej, jest dokonywana przez IOK.</w:t>
            </w:r>
          </w:p>
          <w:p w:rsidR="005A17EF" w:rsidRDefault="005A17EF" w:rsidP="007B2B8D">
            <w:pPr>
              <w:pStyle w:val="Tekstkomentarza"/>
              <w:spacing w:line="240" w:lineRule="auto"/>
              <w:jc w:val="both"/>
              <w:rPr>
                <w:rFonts w:ascii="Calibri" w:hAnsi="Calibri"/>
                <w:sz w:val="22"/>
                <w:szCs w:val="22"/>
              </w:rPr>
            </w:pPr>
          </w:p>
          <w:p w:rsidR="005A17EF" w:rsidRDefault="00FD26CA" w:rsidP="007B2B8D">
            <w:pPr>
              <w:tabs>
                <w:tab w:val="left" w:pos="0"/>
                <w:tab w:val="left" w:pos="709"/>
              </w:tabs>
              <w:spacing w:after="0" w:line="240" w:lineRule="auto"/>
              <w:jc w:val="both"/>
            </w:pPr>
            <w:r>
              <w:t xml:space="preserve">Wezwanie do poprawienia oczywistej omyłki lub uzupełnienia braku formalnego, o ile zostaną one stwierdzone, może następować również na każdym kolejnym etapie oceny. </w:t>
            </w:r>
          </w:p>
          <w:p w:rsidR="005A17EF" w:rsidRDefault="00FD26CA" w:rsidP="007B2B8D">
            <w:pPr>
              <w:tabs>
                <w:tab w:val="left" w:pos="0"/>
                <w:tab w:val="left" w:pos="3180"/>
              </w:tabs>
              <w:spacing w:after="0" w:line="240" w:lineRule="auto"/>
              <w:jc w:val="both"/>
            </w:pPr>
            <w:r>
              <w:tab/>
            </w:r>
          </w:p>
          <w:p w:rsidR="005A17EF" w:rsidRDefault="00FD26CA" w:rsidP="007B2B8D">
            <w:pPr>
              <w:spacing w:after="0" w:line="240" w:lineRule="auto"/>
              <w:jc w:val="both"/>
              <w:rPr>
                <w:rFonts w:cs="Arial"/>
              </w:rPr>
            </w:pPr>
            <w:r>
              <w:rPr>
                <w:rFonts w:cs="Arial"/>
              </w:rPr>
              <w:t>Wymogi formalne w odniesieniu do wniosku o dofinansowanie nie są kryteriami, w związku z tym wnioskodawcy, w przypadku pozostawienia jego wniosku o dofinansowanie bez rozpatrzenia, nie przysługuje protest w rozumieniu rozdziału 15 ustawy</w:t>
            </w:r>
            <w:r w:rsidR="001C5DBF">
              <w:rPr>
                <w:rFonts w:cs="Arial"/>
              </w:rPr>
              <w:t xml:space="preserve"> wdrożeniowej</w:t>
            </w:r>
            <w:r>
              <w:rPr>
                <w:rFonts w:cs="Arial"/>
              </w:rPr>
              <w:t>.</w:t>
            </w:r>
          </w:p>
          <w:p w:rsidR="005A17EF" w:rsidRDefault="005A17EF" w:rsidP="007B2B8D">
            <w:pPr>
              <w:pStyle w:val="Tekstkomentarza"/>
              <w:spacing w:line="240" w:lineRule="auto"/>
              <w:jc w:val="both"/>
              <w:rPr>
                <w:rFonts w:ascii="Calibri" w:hAnsi="Calibri"/>
                <w:sz w:val="22"/>
                <w:szCs w:val="22"/>
              </w:rPr>
            </w:pPr>
          </w:p>
          <w:p w:rsidR="005A17EF" w:rsidRDefault="00FD26CA" w:rsidP="007B2B8D">
            <w:pPr>
              <w:pStyle w:val="Tekstkomentarza"/>
              <w:spacing w:after="240" w:line="240" w:lineRule="auto"/>
              <w:jc w:val="both"/>
              <w:rPr>
                <w:rFonts w:ascii="Calibri" w:hAnsi="Calibri"/>
                <w:sz w:val="22"/>
                <w:szCs w:val="22"/>
              </w:rPr>
            </w:pPr>
            <w:r>
              <w:rPr>
                <w:rFonts w:ascii="Calibri" w:hAnsi="Calibri"/>
                <w:sz w:val="22"/>
                <w:szCs w:val="22"/>
              </w:rPr>
              <w:t xml:space="preserve">Po uzupełnieniu/poprawie wniosku o dofinansowanie weryfikacja techniczna jest kontynuowana. </w:t>
            </w:r>
          </w:p>
          <w:p w:rsidR="005A17EF" w:rsidRDefault="00FD26CA" w:rsidP="007B2B8D">
            <w:pPr>
              <w:spacing w:after="47" w:line="240" w:lineRule="auto"/>
              <w:jc w:val="both"/>
            </w:pPr>
            <w:r>
              <w:t xml:space="preserve">Niepoprawienie w terminie lub niepoprawienie wszystkich braków </w:t>
            </w:r>
            <w:r>
              <w:br/>
              <w:t xml:space="preserve">i omyłek lub wprowadzenie zmian, niewynikających z pisma i powodujących istotną modyfikację wniosku spowoduje pozostawienie wniosku bez rozpatrzenia i </w:t>
            </w:r>
            <w:r>
              <w:rPr>
                <w:rFonts w:cs="Arial"/>
              </w:rPr>
              <w:t>niedopuszczenie projektu do oceny lub dalszej oceny</w:t>
            </w:r>
            <w:r>
              <w:t>.</w:t>
            </w:r>
          </w:p>
          <w:p w:rsidR="005A17EF" w:rsidRDefault="005A17EF" w:rsidP="007B2B8D">
            <w:pPr>
              <w:pStyle w:val="Tekstkomentarza"/>
              <w:spacing w:line="240" w:lineRule="auto"/>
              <w:jc w:val="both"/>
              <w:rPr>
                <w:rFonts w:ascii="Calibri" w:hAnsi="Calibri"/>
                <w:sz w:val="22"/>
                <w:szCs w:val="22"/>
              </w:rPr>
            </w:pPr>
          </w:p>
          <w:p w:rsidR="005A17EF" w:rsidRDefault="00FD26CA" w:rsidP="007B2B8D">
            <w:pPr>
              <w:pStyle w:val="Tekstkomentarza"/>
              <w:spacing w:after="240" w:line="240" w:lineRule="auto"/>
              <w:jc w:val="both"/>
              <w:rPr>
                <w:rFonts w:ascii="Calibri" w:hAnsi="Calibri"/>
                <w:sz w:val="22"/>
                <w:szCs w:val="22"/>
              </w:rPr>
            </w:pPr>
            <w:r>
              <w:rPr>
                <w:rFonts w:ascii="Calibri" w:hAnsi="Calibri"/>
                <w:sz w:val="22"/>
                <w:szCs w:val="22"/>
              </w:rPr>
              <w:t xml:space="preserve">Wniosek o dofinansowanie może zostać wycofany na każdym etapie weryfikacji/oceny na pisemną prośbę wnioskodawcy. </w:t>
            </w:r>
          </w:p>
          <w:p w:rsidR="005A17EF" w:rsidRDefault="00FD26CA" w:rsidP="007B2B8D">
            <w:pPr>
              <w:pStyle w:val="Tekstkomentarza"/>
              <w:spacing w:after="240" w:line="240" w:lineRule="auto"/>
              <w:jc w:val="both"/>
              <w:rPr>
                <w:rFonts w:ascii="Calibri" w:hAnsi="Calibri"/>
                <w:sz w:val="22"/>
                <w:szCs w:val="22"/>
              </w:rPr>
            </w:pPr>
            <w:r>
              <w:rPr>
                <w:rFonts w:ascii="Calibri" w:hAnsi="Calibri"/>
                <w:sz w:val="22"/>
                <w:szCs w:val="22"/>
              </w:rPr>
              <w:t xml:space="preserve">Niezwłocznie po zakończeniu weryfikacji technicznej wszystkich projektów złożonych w konkursie IOK zamieszcza na swojej stronie zbiorczą listę projektów (skierowanych do KOP, wycofanych, pozostawionych bez rozpatrzenia). </w:t>
            </w:r>
          </w:p>
          <w:p w:rsidR="005A17EF" w:rsidRDefault="00FD26CA" w:rsidP="007B2B8D">
            <w:pPr>
              <w:pStyle w:val="Tekstkomentarza"/>
              <w:spacing w:line="240" w:lineRule="auto"/>
              <w:jc w:val="both"/>
              <w:rPr>
                <w:rFonts w:ascii="Calibri" w:hAnsi="Calibri"/>
                <w:sz w:val="22"/>
                <w:szCs w:val="22"/>
              </w:rPr>
            </w:pPr>
            <w:r>
              <w:rPr>
                <w:rFonts w:ascii="Calibri" w:hAnsi="Calibri"/>
                <w:sz w:val="22"/>
                <w:szCs w:val="22"/>
              </w:rPr>
              <w:t>Informacje do Wnioskodawcy dotyczące poprawy/uzupełnienia wniosku/</w:t>
            </w:r>
            <w:r>
              <w:t xml:space="preserve"> </w:t>
            </w:r>
            <w:r>
              <w:rPr>
                <w:rFonts w:ascii="Calibri" w:hAnsi="Calibri"/>
                <w:sz w:val="22"/>
                <w:szCs w:val="22"/>
              </w:rPr>
              <w:t>informacje o zakończeniu weryfikacji technicznej wniosku i jej wyniku wraz z uzasadnieniem, doręczane są zgodnie z przepisami Kodeksu postępowania administracyjnego (KPA) o doręczaniu.</w:t>
            </w:r>
          </w:p>
        </w:tc>
      </w:tr>
      <w:tr w:rsidR="005A17EF" w:rsidTr="00E86DB9">
        <w:tc>
          <w:tcPr>
            <w:tcW w:w="5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FD26CA" w:rsidP="007B2B8D">
            <w:pPr>
              <w:spacing w:after="0" w:line="240" w:lineRule="auto"/>
              <w:rPr>
                <w:b/>
                <w:bCs/>
              </w:rPr>
            </w:pPr>
            <w:r>
              <w:rPr>
                <w:b/>
                <w:bCs/>
              </w:rPr>
              <w:lastRenderedPageBreak/>
              <w:t>17.</w:t>
            </w:r>
          </w:p>
        </w:tc>
        <w:tc>
          <w:tcPr>
            <w:tcW w:w="22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FD26CA" w:rsidP="007B2B8D">
            <w:pPr>
              <w:pStyle w:val="Default"/>
              <w:spacing w:line="240" w:lineRule="auto"/>
              <w:rPr>
                <w:b/>
                <w:bCs/>
                <w:color w:val="00000A"/>
                <w:sz w:val="22"/>
                <w:szCs w:val="22"/>
              </w:rPr>
            </w:pPr>
            <w:r>
              <w:rPr>
                <w:b/>
                <w:bCs/>
                <w:color w:val="00000A"/>
                <w:sz w:val="22"/>
                <w:szCs w:val="22"/>
              </w:rPr>
              <w:t xml:space="preserve">Wzór wniosku o dofinansowanie projektu/zakres informacji: </w:t>
            </w:r>
          </w:p>
          <w:p w:rsidR="005A17EF" w:rsidRDefault="005A17EF" w:rsidP="007B2B8D">
            <w:pPr>
              <w:pStyle w:val="Default"/>
              <w:spacing w:line="240" w:lineRule="auto"/>
              <w:rPr>
                <w:b/>
                <w:bCs/>
                <w:color w:val="00000A"/>
                <w:sz w:val="22"/>
                <w:szCs w:val="22"/>
              </w:rPr>
            </w:pPr>
          </w:p>
        </w:tc>
        <w:tc>
          <w:tcPr>
            <w:tcW w:w="68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Del="00297379" w:rsidRDefault="00297379" w:rsidP="00297379">
            <w:pPr>
              <w:pStyle w:val="Default"/>
              <w:spacing w:line="240" w:lineRule="auto"/>
              <w:jc w:val="both"/>
              <w:rPr>
                <w:del w:id="77" w:author="Filip  Baranowski" w:date="2016-04-28T16:02:00Z"/>
                <w:color w:val="00000A"/>
                <w:sz w:val="22"/>
                <w:szCs w:val="22"/>
              </w:rPr>
            </w:pPr>
            <w:ins w:id="78" w:author="Filip  Baranowski" w:date="2016-04-28T16:02:00Z">
              <w:r w:rsidRPr="00297379">
                <w:rPr>
                  <w:color w:val="00000A"/>
                  <w:sz w:val="22"/>
                  <w:szCs w:val="22"/>
                </w:rPr>
                <w:t>Wykaz informacji, których należy udzielić ubiegając się o dofinansowanie projektu zawiera załącznik nr 1 do niniejszego Regulaminu i jest zamieszczony na stronie www.rpo.dolnyslask.pl a w przypadku naborów skierowanych do ZIT, także na stronach internetowych poszczególnych ZIT.</w:t>
              </w:r>
            </w:ins>
            <w:del w:id="79" w:author="Filip  Baranowski" w:date="2016-04-28T16:02:00Z">
              <w:r w:rsidR="00FD26CA" w:rsidDel="00297379">
                <w:rPr>
                  <w:color w:val="00000A"/>
                  <w:sz w:val="22"/>
                  <w:szCs w:val="22"/>
                </w:rPr>
                <w:delText xml:space="preserve">Zakres informacji wymagany na etapie sporządzania wniosku o dofinansowanie wraz ze wskazówkami pomocnymi przy ich udzieleniu zawiera załącznik nr 1 do niniejszego Regulaminu i jest zamieszczony na stronie </w:delText>
              </w:r>
              <w:r w:rsidR="00D720AE" w:rsidDel="00297379">
                <w:fldChar w:fldCharType="begin"/>
              </w:r>
              <w:r w:rsidR="00D720AE" w:rsidDel="00297379">
                <w:delInstrText xml:space="preserve"> HYPERLINK "http://www.rpo.dolnyslask.pl/" \h </w:delInstrText>
              </w:r>
              <w:r w:rsidR="00D720AE" w:rsidDel="00297379">
                <w:fldChar w:fldCharType="separate"/>
              </w:r>
              <w:r w:rsidR="00FD26CA" w:rsidDel="00297379">
                <w:rPr>
                  <w:rStyle w:val="czeinternetowe"/>
                  <w:color w:val="00000A"/>
                  <w:sz w:val="22"/>
                  <w:szCs w:val="22"/>
                </w:rPr>
                <w:delText>www.rpo.dolnyslask.pl</w:delText>
              </w:r>
              <w:r w:rsidR="00D720AE" w:rsidDel="00297379">
                <w:rPr>
                  <w:rStyle w:val="czeinternetowe"/>
                  <w:color w:val="00000A"/>
                </w:rPr>
                <w:fldChar w:fldCharType="end"/>
              </w:r>
              <w:r w:rsidR="00FD26CA" w:rsidDel="00297379">
                <w:rPr>
                  <w:color w:val="00000A"/>
                  <w:sz w:val="22"/>
                  <w:szCs w:val="22"/>
                </w:rPr>
                <w:delText xml:space="preserve">.  </w:delText>
              </w:r>
            </w:del>
          </w:p>
          <w:p w:rsidR="005A17EF" w:rsidRDefault="00FD26CA" w:rsidP="007B2B8D">
            <w:pPr>
              <w:pStyle w:val="Default"/>
              <w:spacing w:line="240" w:lineRule="auto"/>
              <w:jc w:val="both"/>
              <w:rPr>
                <w:color w:val="00000A"/>
                <w:sz w:val="22"/>
                <w:szCs w:val="22"/>
              </w:rPr>
            </w:pPr>
            <w:r>
              <w:rPr>
                <w:color w:val="00000A"/>
                <w:sz w:val="22"/>
                <w:szCs w:val="22"/>
              </w:rPr>
              <w:t>Na powyższej stronie zamieszczone są również wzory załączników do wniosku o dofinansowanie.</w:t>
            </w:r>
          </w:p>
          <w:p w:rsidR="005A17EF" w:rsidRDefault="00FD26CA" w:rsidP="007B2B8D">
            <w:pPr>
              <w:spacing w:after="0" w:line="240" w:lineRule="auto"/>
              <w:jc w:val="both"/>
            </w:pPr>
            <w:r>
              <w:t xml:space="preserve">W zależności od specyfiki projektu i sytuacji Wnioskodawcy ostateczny zakres informacji niezbędnych do wypełnienia wniosku w generatorze </w:t>
            </w:r>
            <w:r>
              <w:lastRenderedPageBreak/>
              <w:t xml:space="preserve">może być inny niż wskazany w załączniku. </w:t>
            </w:r>
          </w:p>
          <w:p w:rsidR="004C734B" w:rsidRDefault="004C734B" w:rsidP="007B2B8D">
            <w:pPr>
              <w:spacing w:after="0" w:line="240" w:lineRule="auto"/>
              <w:jc w:val="both"/>
            </w:pPr>
          </w:p>
          <w:p w:rsidR="0004710D" w:rsidRDefault="0004710D" w:rsidP="007B2B8D">
            <w:pPr>
              <w:pStyle w:val="Default"/>
              <w:spacing w:line="240" w:lineRule="auto"/>
              <w:jc w:val="both"/>
              <w:rPr>
                <w:rFonts w:cs="Arial"/>
                <w:color w:val="auto"/>
                <w:sz w:val="22"/>
                <w:szCs w:val="22"/>
              </w:rPr>
            </w:pPr>
            <w:r>
              <w:rPr>
                <w:rFonts w:cs="Arial"/>
                <w:color w:val="auto"/>
                <w:sz w:val="22"/>
                <w:szCs w:val="22"/>
              </w:rPr>
              <w:t>D</w:t>
            </w:r>
            <w:r w:rsidR="004C734B" w:rsidRPr="00307FCA">
              <w:rPr>
                <w:rFonts w:cs="Arial"/>
                <w:color w:val="auto"/>
                <w:sz w:val="22"/>
                <w:szCs w:val="22"/>
              </w:rPr>
              <w:t xml:space="preserve">o wniosku o dofinansowanie </w:t>
            </w:r>
            <w:r>
              <w:rPr>
                <w:rFonts w:cs="Arial"/>
                <w:color w:val="auto"/>
                <w:sz w:val="22"/>
                <w:szCs w:val="22"/>
              </w:rPr>
              <w:t>należy dołączyć:</w:t>
            </w:r>
            <w:r w:rsidR="004C734B" w:rsidRPr="00307FCA">
              <w:rPr>
                <w:rFonts w:cs="Arial"/>
                <w:color w:val="auto"/>
                <w:sz w:val="22"/>
                <w:szCs w:val="22"/>
              </w:rPr>
              <w:t xml:space="preserve"> </w:t>
            </w:r>
          </w:p>
          <w:p w:rsidR="004C734B" w:rsidRDefault="004C734B" w:rsidP="007B2B8D">
            <w:pPr>
              <w:pStyle w:val="Default"/>
              <w:numPr>
                <w:ilvl w:val="0"/>
                <w:numId w:val="25"/>
              </w:numPr>
              <w:spacing w:line="240" w:lineRule="auto"/>
              <w:ind w:left="395"/>
              <w:jc w:val="both"/>
              <w:rPr>
                <w:rFonts w:cs="Arial"/>
                <w:color w:val="auto"/>
                <w:sz w:val="22"/>
                <w:szCs w:val="22"/>
              </w:rPr>
            </w:pPr>
            <w:r w:rsidRPr="00307FCA">
              <w:rPr>
                <w:rFonts w:cs="Arial"/>
                <w:color w:val="auto"/>
                <w:sz w:val="22"/>
                <w:szCs w:val="22"/>
              </w:rPr>
              <w:t>audyt energety</w:t>
            </w:r>
            <w:r w:rsidR="0004710D">
              <w:rPr>
                <w:rFonts w:cs="Arial"/>
                <w:color w:val="auto"/>
                <w:sz w:val="22"/>
                <w:szCs w:val="22"/>
              </w:rPr>
              <w:t>czny/efektywności energetycznej;</w:t>
            </w:r>
          </w:p>
          <w:p w:rsidR="008C16B9" w:rsidRPr="008C16B9" w:rsidRDefault="0004710D" w:rsidP="007B2B8D">
            <w:pPr>
              <w:pStyle w:val="Default"/>
              <w:numPr>
                <w:ilvl w:val="0"/>
                <w:numId w:val="25"/>
              </w:numPr>
              <w:spacing w:line="240" w:lineRule="auto"/>
              <w:ind w:left="395"/>
              <w:jc w:val="both"/>
              <w:rPr>
                <w:rFonts w:cs="Arial"/>
                <w:color w:val="auto"/>
                <w:sz w:val="22"/>
                <w:szCs w:val="22"/>
              </w:rPr>
            </w:pPr>
            <w:r>
              <w:rPr>
                <w:rFonts w:cs="Arial"/>
                <w:color w:val="auto"/>
                <w:sz w:val="22"/>
                <w:szCs w:val="22"/>
              </w:rPr>
              <w:t xml:space="preserve">zaświadczenie właściwego urzędu gminy, że projekt wynika z Planu Gospodarki Niskoemisyjnej zatwierdzonego do realizacji </w:t>
            </w:r>
            <w:r w:rsidR="008C16B9">
              <w:rPr>
                <w:rFonts w:cs="Arial"/>
                <w:color w:val="auto"/>
                <w:sz w:val="22"/>
                <w:szCs w:val="22"/>
              </w:rPr>
              <w:t xml:space="preserve">uchwałą rady gminy. </w:t>
            </w:r>
            <w:r w:rsidR="008C16B9" w:rsidRPr="008C16B9">
              <w:rPr>
                <w:rFonts w:cs="Arial"/>
                <w:color w:val="auto"/>
                <w:sz w:val="22"/>
                <w:szCs w:val="22"/>
              </w:rPr>
              <w:t xml:space="preserve">Zaświadczenie </w:t>
            </w:r>
            <w:r w:rsidR="00AB0DD4">
              <w:rPr>
                <w:rFonts w:cs="Arial"/>
                <w:color w:val="auto"/>
                <w:sz w:val="22"/>
                <w:szCs w:val="22"/>
              </w:rPr>
              <w:t xml:space="preserve">powinno </w:t>
            </w:r>
            <w:r w:rsidR="008C16B9" w:rsidRPr="008C16B9">
              <w:rPr>
                <w:rFonts w:cs="Arial"/>
                <w:color w:val="auto"/>
                <w:sz w:val="22"/>
                <w:szCs w:val="22"/>
              </w:rPr>
              <w:t>obligatoryjnie zawiera</w:t>
            </w:r>
            <w:r w:rsidR="00AB0DD4">
              <w:rPr>
                <w:rFonts w:cs="Arial"/>
                <w:color w:val="auto"/>
                <w:sz w:val="22"/>
                <w:szCs w:val="22"/>
              </w:rPr>
              <w:t>ć</w:t>
            </w:r>
            <w:r w:rsidR="008C16B9" w:rsidRPr="008C16B9">
              <w:rPr>
                <w:rFonts w:cs="Arial"/>
                <w:color w:val="auto"/>
                <w:sz w:val="22"/>
                <w:szCs w:val="22"/>
              </w:rPr>
              <w:t xml:space="preserve">: </w:t>
            </w:r>
          </w:p>
          <w:p w:rsidR="008C16B9" w:rsidRPr="008C16B9" w:rsidRDefault="008C16B9" w:rsidP="007B2B8D">
            <w:pPr>
              <w:pStyle w:val="Default"/>
              <w:numPr>
                <w:ilvl w:val="0"/>
                <w:numId w:val="27"/>
              </w:numPr>
              <w:spacing w:line="240" w:lineRule="auto"/>
              <w:jc w:val="both"/>
              <w:rPr>
                <w:rFonts w:cs="Arial"/>
                <w:color w:val="auto"/>
                <w:sz w:val="22"/>
                <w:szCs w:val="22"/>
              </w:rPr>
            </w:pPr>
            <w:r w:rsidRPr="008C16B9">
              <w:rPr>
                <w:rFonts w:cs="Arial"/>
                <w:color w:val="auto"/>
                <w:sz w:val="22"/>
                <w:szCs w:val="22"/>
              </w:rPr>
              <w:t>informację  o tym że projekt wynika z Planu Gospodarki Niskoemisyjnej, przyjętego do realizacji uchwałą rady gminy;</w:t>
            </w:r>
          </w:p>
          <w:p w:rsidR="008C16B9" w:rsidRPr="008C16B9" w:rsidRDefault="008C16B9" w:rsidP="007B2B8D">
            <w:pPr>
              <w:pStyle w:val="Default"/>
              <w:numPr>
                <w:ilvl w:val="0"/>
                <w:numId w:val="27"/>
              </w:numPr>
              <w:spacing w:line="240" w:lineRule="auto"/>
              <w:jc w:val="both"/>
              <w:rPr>
                <w:rFonts w:cs="Arial"/>
                <w:color w:val="auto"/>
                <w:sz w:val="22"/>
                <w:szCs w:val="22"/>
              </w:rPr>
            </w:pPr>
            <w:r w:rsidRPr="008C16B9">
              <w:rPr>
                <w:rFonts w:cs="Arial"/>
                <w:color w:val="auto"/>
                <w:sz w:val="22"/>
                <w:szCs w:val="22"/>
              </w:rPr>
              <w:t>krótkie uzasadnienie merytoryczne;</w:t>
            </w:r>
          </w:p>
          <w:p w:rsidR="004C734B" w:rsidRDefault="008C16B9" w:rsidP="007B2B8D">
            <w:pPr>
              <w:pStyle w:val="Default"/>
              <w:numPr>
                <w:ilvl w:val="0"/>
                <w:numId w:val="27"/>
              </w:numPr>
              <w:spacing w:line="240" w:lineRule="auto"/>
              <w:jc w:val="both"/>
              <w:rPr>
                <w:ins w:id="80" w:author="Filip  Baranowski" w:date="2016-04-28T16:04:00Z"/>
                <w:rFonts w:cs="Arial"/>
                <w:color w:val="auto"/>
                <w:sz w:val="22"/>
                <w:szCs w:val="22"/>
              </w:rPr>
            </w:pPr>
            <w:r w:rsidRPr="008C16B9">
              <w:rPr>
                <w:rFonts w:cs="Arial"/>
                <w:color w:val="auto"/>
                <w:sz w:val="22"/>
                <w:szCs w:val="22"/>
              </w:rPr>
              <w:t>numer uchwały przyjmującej PGN do realizacji</w:t>
            </w:r>
            <w:ins w:id="81" w:author="Filip  Baranowski" w:date="2016-04-28T16:05:00Z">
              <w:r w:rsidR="00EE097B">
                <w:rPr>
                  <w:rFonts w:cs="Arial"/>
                  <w:color w:val="auto"/>
                  <w:sz w:val="22"/>
                  <w:szCs w:val="22"/>
                </w:rPr>
                <w:t>.</w:t>
              </w:r>
            </w:ins>
            <w:del w:id="82" w:author="Filip  Baranowski" w:date="2016-04-28T16:05:00Z">
              <w:r w:rsidDel="00EE097B">
                <w:rPr>
                  <w:rFonts w:cs="Arial"/>
                  <w:color w:val="auto"/>
                  <w:sz w:val="22"/>
                  <w:szCs w:val="22"/>
                </w:rPr>
                <w:delText>;</w:delText>
              </w:r>
            </w:del>
          </w:p>
          <w:p w:rsidR="00816EA9" w:rsidRPr="00816EA9" w:rsidRDefault="00816EA9" w:rsidP="00816EA9">
            <w:pPr>
              <w:pStyle w:val="Default"/>
              <w:spacing w:line="240" w:lineRule="auto"/>
              <w:ind w:left="720"/>
              <w:jc w:val="both"/>
              <w:rPr>
                <w:ins w:id="83" w:author="Filip  Baranowski" w:date="2016-04-28T16:04:00Z"/>
                <w:rFonts w:cs="Arial"/>
                <w:color w:val="auto"/>
                <w:sz w:val="22"/>
                <w:szCs w:val="22"/>
              </w:rPr>
            </w:pPr>
            <w:ins w:id="84" w:author="Filip  Baranowski" w:date="2016-04-28T16:04:00Z">
              <w:r w:rsidRPr="00816EA9">
                <w:rPr>
                  <w:rFonts w:cs="Arial"/>
                  <w:color w:val="auto"/>
                  <w:sz w:val="22"/>
                  <w:szCs w:val="22"/>
                </w:rPr>
                <w:t>Dopuszczalne są dokumenty o innych nazwach, np. poświadczenie, potwierdzenie itp. Istotne jest, aby dokument został wystawiony przez właściwy urząd gminy oraz obowiązkowo zawierał wszystkie ww. elementy.</w:t>
              </w:r>
            </w:ins>
          </w:p>
          <w:p w:rsidR="00816EA9" w:rsidDel="00816EA9" w:rsidRDefault="00816EA9" w:rsidP="00816EA9">
            <w:pPr>
              <w:pStyle w:val="Default"/>
              <w:spacing w:line="240" w:lineRule="auto"/>
              <w:ind w:left="720"/>
              <w:jc w:val="both"/>
              <w:rPr>
                <w:del w:id="85" w:author="Filip  Baranowski" w:date="2016-04-28T16:04:00Z"/>
                <w:rFonts w:cs="Arial"/>
                <w:color w:val="auto"/>
                <w:sz w:val="22"/>
                <w:szCs w:val="22"/>
              </w:rPr>
            </w:pPr>
            <w:ins w:id="86" w:author="Filip  Baranowski" w:date="2016-04-28T16:04:00Z">
              <w:r w:rsidRPr="00816EA9">
                <w:rPr>
                  <w:rFonts w:cs="Arial"/>
                  <w:color w:val="auto"/>
                  <w:sz w:val="22"/>
                  <w:szCs w:val="22"/>
                </w:rPr>
                <w:t>Minimalny zakres uzasadnienia powinien przyjąć co najmniej formę zapisu: „Gmina / Urząd / Wydział / ... / informuje, że zadanie (nazwa zadania), zgłoszone przez (nazwa podmiotu) z siedzibą (adres siedziby) zostało ujęte w PGN dla (nazwa gminy) przyjętym do realizacji uchwałą rady gminy (nr i data uchwały) i realizuje cele PGN / przyczynia się do osiągnięcia wskaźników / mierników PGN.</w:t>
              </w:r>
            </w:ins>
          </w:p>
          <w:p w:rsidR="00945E86" w:rsidRPr="0004710D" w:rsidRDefault="00945E86" w:rsidP="007B2B8D">
            <w:pPr>
              <w:pStyle w:val="Default"/>
              <w:numPr>
                <w:ilvl w:val="0"/>
                <w:numId w:val="25"/>
              </w:numPr>
              <w:spacing w:line="240" w:lineRule="auto"/>
              <w:ind w:left="395"/>
              <w:jc w:val="both"/>
              <w:rPr>
                <w:rFonts w:cs="Arial"/>
                <w:color w:val="auto"/>
                <w:sz w:val="22"/>
                <w:szCs w:val="22"/>
              </w:rPr>
            </w:pPr>
            <w:del w:id="87" w:author="Filip  Baranowski" w:date="2016-04-28T16:04:00Z">
              <w:r w:rsidDel="00816EA9">
                <w:rPr>
                  <w:rFonts w:cs="Arial"/>
                  <w:color w:val="auto"/>
                  <w:sz w:val="22"/>
                  <w:szCs w:val="22"/>
                </w:rPr>
                <w:delText>w</w:delText>
              </w:r>
            </w:del>
            <w:ins w:id="88" w:author="Filip  Baranowski" w:date="2016-04-28T16:05:00Z">
              <w:r w:rsidR="00816EA9">
                <w:rPr>
                  <w:rFonts w:cs="Arial"/>
                  <w:color w:val="auto"/>
                  <w:sz w:val="22"/>
                  <w:szCs w:val="22"/>
                </w:rPr>
                <w:t>W</w:t>
              </w:r>
            </w:ins>
            <w:r w:rsidRPr="00945E86">
              <w:rPr>
                <w:rFonts w:cs="Arial"/>
                <w:color w:val="auto"/>
                <w:sz w:val="22"/>
                <w:szCs w:val="22"/>
              </w:rPr>
              <w:t xml:space="preserve"> przypadku </w:t>
            </w:r>
            <w:r>
              <w:rPr>
                <w:rFonts w:cs="Arial"/>
                <w:color w:val="auto"/>
                <w:sz w:val="22"/>
                <w:szCs w:val="22"/>
              </w:rPr>
              <w:t xml:space="preserve">wnioskodawców </w:t>
            </w:r>
            <w:r w:rsidRPr="00945E86">
              <w:rPr>
                <w:rFonts w:cs="Arial"/>
                <w:color w:val="auto"/>
                <w:sz w:val="22"/>
                <w:szCs w:val="22"/>
              </w:rPr>
              <w:t>będących podmiotami leczniczymi działającymi w publicznym systemie opieki zdrowotnej, zgodnie z  art. 4 ust. 1 Ustawy z dnia 15 kwietnia 20</w:t>
            </w:r>
            <w:r>
              <w:rPr>
                <w:rFonts w:cs="Arial"/>
                <w:color w:val="auto"/>
                <w:sz w:val="22"/>
                <w:szCs w:val="22"/>
              </w:rPr>
              <w:t>11 r. o działalności leczniczej</w:t>
            </w:r>
            <w:r w:rsidRPr="00945E86">
              <w:rPr>
                <w:rFonts w:cs="Arial"/>
                <w:color w:val="auto"/>
                <w:sz w:val="22"/>
                <w:szCs w:val="22"/>
              </w:rPr>
              <w:t xml:space="preserve"> </w:t>
            </w:r>
            <w:r>
              <w:rPr>
                <w:rFonts w:cs="Arial"/>
                <w:color w:val="auto"/>
                <w:sz w:val="22"/>
                <w:szCs w:val="22"/>
              </w:rPr>
              <w:t>(</w:t>
            </w:r>
            <w:r w:rsidRPr="00945E86">
              <w:rPr>
                <w:rFonts w:cs="Arial"/>
                <w:color w:val="auto"/>
                <w:sz w:val="22"/>
                <w:szCs w:val="22"/>
              </w:rPr>
              <w:t>Dz.U.2013.217 z późn. zm</w:t>
            </w:r>
            <w:r>
              <w:rPr>
                <w:rFonts w:cs="Arial"/>
                <w:color w:val="auto"/>
                <w:sz w:val="22"/>
                <w:szCs w:val="22"/>
              </w:rPr>
              <w:t>.)</w:t>
            </w:r>
            <w:r w:rsidRPr="00945E86">
              <w:rPr>
                <w:rFonts w:cs="Arial"/>
                <w:color w:val="auto"/>
                <w:sz w:val="22"/>
                <w:szCs w:val="22"/>
              </w:rPr>
              <w:t xml:space="preserve"> konieczne jest przedłożenie do wniosku o dofinansowanie oświadczenia  o posiadaniu, na dzień złożenia wniosku o dofinansowanie, umowy z instytucją ubezpieczenia zdrowotnego (NFZ)</w:t>
            </w:r>
            <w:r>
              <w:rPr>
                <w:rFonts w:cs="Arial"/>
                <w:color w:val="auto"/>
                <w:sz w:val="22"/>
                <w:szCs w:val="22"/>
              </w:rPr>
              <w:t>.</w:t>
            </w:r>
          </w:p>
        </w:tc>
      </w:tr>
      <w:tr w:rsidR="005A17EF" w:rsidTr="00E86DB9">
        <w:tc>
          <w:tcPr>
            <w:tcW w:w="5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FD26CA" w:rsidP="007B2B8D">
            <w:pPr>
              <w:spacing w:after="0" w:line="240" w:lineRule="auto"/>
              <w:rPr>
                <w:b/>
                <w:bCs/>
              </w:rPr>
            </w:pPr>
            <w:r>
              <w:rPr>
                <w:b/>
                <w:bCs/>
              </w:rPr>
              <w:lastRenderedPageBreak/>
              <w:t>18.</w:t>
            </w:r>
          </w:p>
        </w:tc>
        <w:tc>
          <w:tcPr>
            <w:tcW w:w="22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FD26CA" w:rsidP="007B2B8D">
            <w:pPr>
              <w:pStyle w:val="Default"/>
              <w:spacing w:line="240" w:lineRule="auto"/>
              <w:rPr>
                <w:b/>
                <w:bCs/>
                <w:color w:val="00000A"/>
                <w:sz w:val="22"/>
                <w:szCs w:val="22"/>
              </w:rPr>
            </w:pPr>
            <w:r>
              <w:rPr>
                <w:b/>
                <w:bCs/>
                <w:color w:val="00000A"/>
                <w:sz w:val="22"/>
                <w:szCs w:val="22"/>
              </w:rPr>
              <w:t>Wzór umowy</w:t>
            </w:r>
            <w:r w:rsidR="0029675A">
              <w:rPr>
                <w:b/>
                <w:bCs/>
                <w:color w:val="00000A"/>
                <w:sz w:val="22"/>
                <w:szCs w:val="22"/>
              </w:rPr>
              <w:t>/decyzji</w:t>
            </w:r>
            <w:r>
              <w:rPr>
                <w:b/>
                <w:bCs/>
                <w:color w:val="00000A"/>
                <w:sz w:val="22"/>
                <w:szCs w:val="22"/>
              </w:rPr>
              <w:t xml:space="preserve"> o dofinansowanie projektu: </w:t>
            </w:r>
          </w:p>
          <w:p w:rsidR="005A17EF" w:rsidRDefault="005A17EF" w:rsidP="007B2B8D">
            <w:pPr>
              <w:pStyle w:val="Default"/>
              <w:spacing w:line="240" w:lineRule="auto"/>
              <w:rPr>
                <w:b/>
                <w:bCs/>
                <w:color w:val="00000A"/>
                <w:sz w:val="22"/>
                <w:szCs w:val="22"/>
              </w:rPr>
            </w:pPr>
          </w:p>
        </w:tc>
        <w:tc>
          <w:tcPr>
            <w:tcW w:w="68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FD26CA" w:rsidP="007B2B8D">
            <w:pPr>
              <w:pStyle w:val="Default"/>
              <w:spacing w:line="240" w:lineRule="auto"/>
              <w:jc w:val="both"/>
              <w:rPr>
                <w:color w:val="00000A"/>
                <w:sz w:val="22"/>
                <w:szCs w:val="22"/>
              </w:rPr>
            </w:pPr>
            <w:r>
              <w:rPr>
                <w:color w:val="00000A"/>
                <w:sz w:val="22"/>
                <w:szCs w:val="22"/>
              </w:rPr>
              <w:t>Wzór umowy</w:t>
            </w:r>
            <w:r w:rsidR="0029675A">
              <w:rPr>
                <w:color w:val="00000A"/>
                <w:sz w:val="22"/>
                <w:szCs w:val="22"/>
              </w:rPr>
              <w:t>/decyzji</w:t>
            </w:r>
            <w:r>
              <w:rPr>
                <w:color w:val="00000A"/>
                <w:sz w:val="22"/>
                <w:szCs w:val="22"/>
              </w:rPr>
              <w:t xml:space="preserve"> o dofinansowanie projektu, która będzie zawierana z wnioskodawcami projektów wybranych do dofinansowania stanowi załącznik nr 2</w:t>
            </w:r>
            <w:r w:rsidR="0029675A">
              <w:rPr>
                <w:color w:val="00000A"/>
                <w:sz w:val="22"/>
                <w:szCs w:val="22"/>
              </w:rPr>
              <w:t>/nr 3</w:t>
            </w:r>
            <w:r>
              <w:rPr>
                <w:color w:val="00000A"/>
                <w:sz w:val="22"/>
                <w:szCs w:val="22"/>
              </w:rPr>
              <w:t xml:space="preserve"> do niniejszego Regulaminu i jest zamieszczony na stronie </w:t>
            </w:r>
            <w:hyperlink r:id="rId14">
              <w:r>
                <w:rPr>
                  <w:rStyle w:val="czeinternetowe"/>
                  <w:color w:val="00000A"/>
                  <w:sz w:val="22"/>
                  <w:szCs w:val="22"/>
                </w:rPr>
                <w:t>www.rpo.dolnyslask.pl</w:t>
              </w:r>
            </w:hyperlink>
            <w:r>
              <w:rPr>
                <w:color w:val="00000A"/>
                <w:sz w:val="22"/>
                <w:szCs w:val="22"/>
              </w:rPr>
              <w:t xml:space="preserve">.   </w:t>
            </w:r>
          </w:p>
          <w:p w:rsidR="005A17EF" w:rsidRDefault="00FD26CA" w:rsidP="007B2B8D">
            <w:pPr>
              <w:pStyle w:val="Default"/>
              <w:spacing w:line="240" w:lineRule="auto"/>
              <w:jc w:val="both"/>
              <w:rPr>
                <w:color w:val="00000A"/>
                <w:sz w:val="22"/>
                <w:szCs w:val="22"/>
              </w:rPr>
            </w:pPr>
            <w:r>
              <w:rPr>
                <w:color w:val="00000A"/>
                <w:sz w:val="22"/>
                <w:szCs w:val="22"/>
              </w:rPr>
              <w:t>Wzór umowy</w:t>
            </w:r>
            <w:r w:rsidR="0029675A">
              <w:rPr>
                <w:color w:val="00000A"/>
                <w:sz w:val="22"/>
                <w:szCs w:val="22"/>
              </w:rPr>
              <w:t>/decyzji</w:t>
            </w:r>
            <w:r>
              <w:rPr>
                <w:color w:val="00000A"/>
                <w:sz w:val="22"/>
                <w:szCs w:val="22"/>
              </w:rPr>
              <w:t xml:space="preserve"> zawiera wszystkie postanowienia wymagane przepisami prawa, w tym wynikające z przepisów ustawy o finansach publicznych, określające elementy umowy o dofinansowanie. Wzór umowy</w:t>
            </w:r>
            <w:r w:rsidR="0029675A">
              <w:rPr>
                <w:color w:val="00000A"/>
                <w:sz w:val="22"/>
                <w:szCs w:val="22"/>
              </w:rPr>
              <w:t>/decyzji</w:t>
            </w:r>
            <w:r>
              <w:rPr>
                <w:color w:val="00000A"/>
                <w:sz w:val="22"/>
                <w:szCs w:val="22"/>
              </w:rPr>
              <w:t xml:space="preserve"> uwzględnia prawa i obowiązki beneficjenta oraz właściwej instytucji udzielającej dofinansowania. </w:t>
            </w:r>
          </w:p>
          <w:p w:rsidR="0029675A" w:rsidRDefault="0029675A" w:rsidP="007B2B8D">
            <w:pPr>
              <w:pStyle w:val="Default"/>
              <w:spacing w:line="240" w:lineRule="auto"/>
              <w:jc w:val="both"/>
              <w:rPr>
                <w:color w:val="00000A"/>
                <w:sz w:val="22"/>
                <w:szCs w:val="22"/>
              </w:rPr>
            </w:pPr>
          </w:p>
        </w:tc>
      </w:tr>
      <w:tr w:rsidR="005A17EF" w:rsidTr="00E86DB9">
        <w:tc>
          <w:tcPr>
            <w:tcW w:w="5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FD26CA" w:rsidP="007B2B8D">
            <w:pPr>
              <w:spacing w:after="0" w:line="240" w:lineRule="auto"/>
              <w:rPr>
                <w:b/>
                <w:bCs/>
              </w:rPr>
            </w:pPr>
            <w:r>
              <w:rPr>
                <w:b/>
                <w:bCs/>
              </w:rPr>
              <w:t>19.</w:t>
            </w:r>
          </w:p>
        </w:tc>
        <w:tc>
          <w:tcPr>
            <w:tcW w:w="22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FD26CA" w:rsidP="007B2B8D">
            <w:pPr>
              <w:pStyle w:val="Default"/>
              <w:spacing w:line="240" w:lineRule="auto"/>
              <w:rPr>
                <w:b/>
                <w:bCs/>
                <w:color w:val="00000A"/>
                <w:sz w:val="22"/>
                <w:szCs w:val="22"/>
              </w:rPr>
            </w:pPr>
            <w:r>
              <w:rPr>
                <w:b/>
                <w:bCs/>
                <w:color w:val="00000A"/>
                <w:sz w:val="22"/>
                <w:szCs w:val="22"/>
              </w:rPr>
              <w:t xml:space="preserve">Kryteria wyboru projektów wraz z podaniem ich znaczenia: </w:t>
            </w:r>
          </w:p>
          <w:p w:rsidR="005A17EF" w:rsidRDefault="005A17EF" w:rsidP="007B2B8D">
            <w:pPr>
              <w:pStyle w:val="Default"/>
              <w:spacing w:line="240" w:lineRule="auto"/>
              <w:rPr>
                <w:b/>
                <w:bCs/>
                <w:color w:val="00000A"/>
                <w:sz w:val="22"/>
                <w:szCs w:val="22"/>
              </w:rPr>
            </w:pPr>
          </w:p>
        </w:tc>
        <w:tc>
          <w:tcPr>
            <w:tcW w:w="68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FD26CA" w:rsidP="007B2B8D">
            <w:pPr>
              <w:pStyle w:val="Default"/>
              <w:spacing w:line="240" w:lineRule="auto"/>
              <w:jc w:val="both"/>
              <w:rPr>
                <w:color w:val="00000A"/>
                <w:sz w:val="22"/>
                <w:szCs w:val="22"/>
              </w:rPr>
            </w:pPr>
            <w:r>
              <w:rPr>
                <w:bCs/>
                <w:color w:val="00000A"/>
                <w:sz w:val="22"/>
                <w:szCs w:val="22"/>
              </w:rPr>
              <w:t>Wyciąg z kryteriów wyboru projektów</w:t>
            </w:r>
            <w:r>
              <w:rPr>
                <w:color w:val="00000A"/>
                <w:sz w:val="22"/>
                <w:szCs w:val="22"/>
              </w:rPr>
              <w:t xml:space="preserve"> zatwierdzonych przez KM RPO WD 2014-2020 stanowi załącznik nr 3 do niniejszego Regulaminu.   </w:t>
            </w:r>
          </w:p>
          <w:p w:rsidR="005A17EF" w:rsidRDefault="00FD26CA" w:rsidP="007B2B8D">
            <w:pPr>
              <w:spacing w:after="0" w:line="240" w:lineRule="auto"/>
              <w:jc w:val="both"/>
            </w:pPr>
            <w:r>
              <w:t xml:space="preserve">„Kryteria wyboru projektów w ramach RPO WD 2014-2020”, zatwierdzone uchwałą nr 2/15 z dnia 6 maja 2015 r. Komitetu Monitorującego RPO WD 2014-2020 z późniejszymi zmianami są zamieszczone na stronie </w:t>
            </w:r>
            <w:hyperlink r:id="rId15">
              <w:r>
                <w:rPr>
                  <w:rStyle w:val="czeinternetowe"/>
                  <w:color w:val="00000A"/>
                </w:rPr>
                <w:t>www.rpo.dolnyslask.pl</w:t>
              </w:r>
            </w:hyperlink>
            <w:r>
              <w:t xml:space="preserve">.    </w:t>
            </w:r>
          </w:p>
        </w:tc>
      </w:tr>
      <w:tr w:rsidR="005A17EF" w:rsidTr="00E86DB9">
        <w:tc>
          <w:tcPr>
            <w:tcW w:w="5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FD26CA" w:rsidP="007B2B8D">
            <w:pPr>
              <w:spacing w:after="0" w:line="240" w:lineRule="auto"/>
              <w:rPr>
                <w:b/>
                <w:bCs/>
              </w:rPr>
            </w:pPr>
            <w:r>
              <w:rPr>
                <w:b/>
                <w:bCs/>
              </w:rPr>
              <w:t>20.</w:t>
            </w:r>
          </w:p>
        </w:tc>
        <w:tc>
          <w:tcPr>
            <w:tcW w:w="22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FD26CA" w:rsidP="007B2B8D">
            <w:pPr>
              <w:pStyle w:val="Default"/>
              <w:spacing w:line="240" w:lineRule="auto"/>
              <w:rPr>
                <w:b/>
                <w:bCs/>
                <w:color w:val="00000A"/>
                <w:sz w:val="22"/>
                <w:szCs w:val="22"/>
              </w:rPr>
            </w:pPr>
            <w:r>
              <w:rPr>
                <w:b/>
                <w:bCs/>
                <w:color w:val="00000A"/>
                <w:sz w:val="22"/>
                <w:szCs w:val="22"/>
              </w:rPr>
              <w:t>Studium wykonalności:</w:t>
            </w:r>
          </w:p>
        </w:tc>
        <w:tc>
          <w:tcPr>
            <w:tcW w:w="68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FD26CA" w:rsidP="007B2B8D">
            <w:pPr>
              <w:spacing w:after="0" w:line="240" w:lineRule="auto"/>
              <w:jc w:val="both"/>
            </w:pPr>
            <w:r>
              <w:t xml:space="preserve">Studium wykonalności nie stanowi osobnego załącznika do wniosku </w:t>
            </w:r>
            <w:r>
              <w:br/>
              <w:t xml:space="preserve">o dofinansowanie. Część opisowa studium jest zintegrowana z wnioskiem, stanowiąc jedną z zakładek w generatorze wniosków. Nie przewidziano odrębnych wytycznych IZ RPO WD do sporządzania studium wykonalności. Wymogi dotyczące zakresu informacji, jakie będą musiały się znaleźć w </w:t>
            </w:r>
            <w:r>
              <w:lastRenderedPageBreak/>
              <w:t>poszczególnych punktach w zakładce Studium wykonalności zawarte są w instrukcji wypełnienia wniosku o dofinansowanie. Ponadto Wnioskodawcy są zobowiązani do przedłożenia analizy finansowej w postaci arkuszy kalkulacyjnych w formacie Excel z aktywnymi formułami. Każdorazowo Wnioskodawca będzie musiał dostosować analizę finansową, którą załącza do wniosku o dofinansowanie do specyfiki projektu, uwzględniając wytyczne i dokumenty sektorowe (np. z zakresu środowiska, transportu itp.), rodzaj księgowości prowadzonej przez Wnioskodawcę/Operatora/Partnerów, specyficzne kryteria dla poszczególnych osi priorytetowych, zapisy RPO WD 2014 2020 i SZOOP RPO WD oraz wymogi ogłoszenia o naborze wniosków.</w:t>
            </w:r>
          </w:p>
          <w:p w:rsidR="005A17EF" w:rsidRDefault="00FD26CA" w:rsidP="007B2B8D">
            <w:pPr>
              <w:spacing w:after="0" w:line="240" w:lineRule="auto"/>
              <w:jc w:val="both"/>
            </w:pPr>
            <w:r>
              <w:t>Na stronie internetowej www.rpo.dolnyslask.pl w zakładce: RPO 2014 2020 &gt; Dowiedz się więcej o programie &gt; Pobierz poradniki i publikacje zamieszczono opracowanie pn. „Analiza finansowa na potrzeby aplikacji o środki Europejskiego Funduszu Rozwoju Regionalnego w ramach RPO WD 2014 – 2020 - przykłady” zawierającego przykładowe tabele (puste) oraz fikcyjną analizę finansową dla 4 różnych rodzajów projektów. Natomiast w zakładce: RPO 2014 2020 &gt; Skorzystaj z programu &gt; Jak zacząć korzystać z programu &gt; Wypełnienie wniosku zamieszczono ramową strukturę studium wykonalności na potrzeby aplikacji o środki Europejskiego Funduszu Rozwoju Regionalnego w ramach RPO WD 2014 – 2020 (listy pól, które wnioskodawcy będą wypełniać w generatorze wniosków w części dotyczącej studium wykonalności).</w:t>
            </w:r>
          </w:p>
        </w:tc>
      </w:tr>
      <w:tr w:rsidR="005A17EF" w:rsidTr="00E86DB9">
        <w:tc>
          <w:tcPr>
            <w:tcW w:w="5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FD26CA" w:rsidP="007B2B8D">
            <w:pPr>
              <w:spacing w:after="0" w:line="240" w:lineRule="auto"/>
              <w:rPr>
                <w:b/>
                <w:bCs/>
              </w:rPr>
            </w:pPr>
            <w:r>
              <w:rPr>
                <w:b/>
                <w:bCs/>
              </w:rPr>
              <w:lastRenderedPageBreak/>
              <w:t>21.</w:t>
            </w:r>
          </w:p>
        </w:tc>
        <w:tc>
          <w:tcPr>
            <w:tcW w:w="22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FD26CA" w:rsidP="007B2B8D">
            <w:pPr>
              <w:pStyle w:val="Default"/>
              <w:spacing w:line="240" w:lineRule="auto"/>
              <w:rPr>
                <w:b/>
                <w:bCs/>
                <w:color w:val="00000A"/>
                <w:sz w:val="22"/>
                <w:szCs w:val="22"/>
              </w:rPr>
            </w:pPr>
            <w:r>
              <w:rPr>
                <w:b/>
                <w:bCs/>
                <w:color w:val="00000A"/>
                <w:sz w:val="22"/>
                <w:szCs w:val="22"/>
              </w:rPr>
              <w:t xml:space="preserve">Wskaźniki produktu i rezultatu: </w:t>
            </w:r>
          </w:p>
        </w:tc>
        <w:tc>
          <w:tcPr>
            <w:tcW w:w="68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FD26CA" w:rsidP="007B2B8D">
            <w:pPr>
              <w:spacing w:after="0" w:line="240" w:lineRule="auto"/>
              <w:jc w:val="both"/>
            </w:pPr>
            <w:r>
              <w:t xml:space="preserve">W ramach wniosku o dofinansowanie projektu Wnioskodawca określa  wskaźniki służące pomiarowi działań i celów założonych w projekcie. Wskaźniki w ramach projektu należy określić mając w szczególności na uwadze zapisy niniejszego regulaminu. Wnioskodawca jest zobowiązany do wyboru i określenia wartości docelowej we wniosku o dofinansowanie adekwatnych wskaźników produktu/rezultatu. Zestawienie wskaźników stanowi załącznik nr 4 zestawienie wskaźników na poziomie projektu dla Działania 3.3 Efektywność energetyczna w budynkach użyteczności publicznej i sektorze mieszkaniowym do niniejszego Regulaminu. </w:t>
            </w:r>
          </w:p>
          <w:p w:rsidR="005A17EF" w:rsidRDefault="00FD26CA" w:rsidP="007B2B8D">
            <w:pPr>
              <w:spacing w:after="0" w:line="240" w:lineRule="auto"/>
              <w:jc w:val="both"/>
            </w:pPr>
            <w:r>
              <w:t>Zasady realizacji wskaźników na etapie wdrażania projektu oraz w okresie trwałości projektu regulują zapisy umowy o dofinansowanie projektu.</w:t>
            </w:r>
          </w:p>
        </w:tc>
      </w:tr>
      <w:tr w:rsidR="005A17EF" w:rsidTr="00E86DB9">
        <w:tc>
          <w:tcPr>
            <w:tcW w:w="5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FD26CA" w:rsidP="007B2B8D">
            <w:pPr>
              <w:spacing w:after="0" w:line="240" w:lineRule="auto"/>
              <w:rPr>
                <w:b/>
                <w:bCs/>
              </w:rPr>
            </w:pPr>
            <w:r>
              <w:rPr>
                <w:b/>
                <w:bCs/>
              </w:rPr>
              <w:t>22.</w:t>
            </w:r>
          </w:p>
        </w:tc>
        <w:tc>
          <w:tcPr>
            <w:tcW w:w="22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FD26CA" w:rsidP="007B2B8D">
            <w:pPr>
              <w:pStyle w:val="Default"/>
              <w:spacing w:line="240" w:lineRule="auto"/>
              <w:rPr>
                <w:b/>
                <w:bCs/>
                <w:color w:val="00000A"/>
                <w:sz w:val="22"/>
                <w:szCs w:val="22"/>
              </w:rPr>
            </w:pPr>
            <w:r>
              <w:rPr>
                <w:b/>
                <w:bCs/>
                <w:color w:val="00000A"/>
                <w:sz w:val="22"/>
                <w:szCs w:val="22"/>
              </w:rPr>
              <w:t xml:space="preserve">Środki odwoławcze przysługujące wnioskodawcy: </w:t>
            </w:r>
          </w:p>
          <w:p w:rsidR="005A17EF" w:rsidRDefault="005A17EF" w:rsidP="007B2B8D">
            <w:pPr>
              <w:pStyle w:val="Default"/>
              <w:spacing w:line="240" w:lineRule="auto"/>
              <w:rPr>
                <w:b/>
                <w:bCs/>
                <w:color w:val="00000A"/>
                <w:sz w:val="22"/>
                <w:szCs w:val="22"/>
              </w:rPr>
            </w:pPr>
          </w:p>
        </w:tc>
        <w:tc>
          <w:tcPr>
            <w:tcW w:w="68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FD26CA" w:rsidP="007B2B8D">
            <w:pPr>
              <w:pStyle w:val="Default"/>
              <w:spacing w:line="240" w:lineRule="auto"/>
              <w:jc w:val="both"/>
              <w:rPr>
                <w:color w:val="00000A"/>
                <w:sz w:val="22"/>
                <w:szCs w:val="22"/>
              </w:rPr>
            </w:pPr>
            <w:r>
              <w:rPr>
                <w:color w:val="00000A"/>
                <w:sz w:val="22"/>
                <w:szCs w:val="22"/>
              </w:rPr>
              <w:t>IZ RPO WD, po zakończeniu każdego etapu konkursu i wyboru projektów, zamieszcza na swojej stronie internetowej listę projektów zakwalifikowanych do kolejnego etapu albo listę, o której mowa w art. 46 ust. 4 ustawy jeżeli jest to ostatni etap. Pisemna informacja jest przekazywana wnioskodawcy w sytuacji zakończenia oceny jego projektu. Zawiera ona wówczas wynik oceny wraz z uzasadnieniem oceny i podaniem liczby punktów otrzymanych przez projekt lub informację o spełnieniu albo niespełnieniu kryteriów wyboru projektów.</w:t>
            </w:r>
          </w:p>
          <w:p w:rsidR="005A17EF" w:rsidRDefault="005A17EF" w:rsidP="007B2B8D">
            <w:pPr>
              <w:pStyle w:val="Default"/>
              <w:spacing w:line="240" w:lineRule="auto"/>
              <w:jc w:val="both"/>
              <w:rPr>
                <w:color w:val="00000A"/>
                <w:sz w:val="22"/>
                <w:szCs w:val="22"/>
              </w:rPr>
            </w:pPr>
          </w:p>
          <w:p w:rsidR="00F16198" w:rsidRDefault="00FD26CA" w:rsidP="007B2B8D">
            <w:pPr>
              <w:pStyle w:val="Default"/>
              <w:spacing w:line="240" w:lineRule="auto"/>
              <w:jc w:val="both"/>
              <w:rPr>
                <w:color w:val="00000A"/>
                <w:sz w:val="22"/>
                <w:szCs w:val="22"/>
              </w:rPr>
            </w:pPr>
            <w:r>
              <w:rPr>
                <w:color w:val="00000A"/>
                <w:sz w:val="22"/>
                <w:szCs w:val="22"/>
              </w:rPr>
              <w:t xml:space="preserve">Po poszczególnych etapach oceny formalnej i oceny merytorycznej oraz po wyborze projektu w trybie konkursowym w ramach RPO WD Wnioskodawca, w przypadku negatywnej oceny projektu, po otrzymaniu od IZ RPO WD pisemnej informacji w tym zakresie, ma możliwość wniesienia protestu bezpośrednio do IZ RPO WD na zasadach i w trybie, o którym mowa w art. 53 oraz art. 54 ustawy wdrożeniowej. </w:t>
            </w:r>
          </w:p>
          <w:p w:rsidR="00F16198" w:rsidRDefault="00F16198" w:rsidP="007B2B8D">
            <w:pPr>
              <w:pStyle w:val="Default"/>
              <w:spacing w:line="240" w:lineRule="auto"/>
              <w:jc w:val="both"/>
              <w:rPr>
                <w:color w:val="00000A"/>
                <w:sz w:val="22"/>
                <w:szCs w:val="22"/>
              </w:rPr>
            </w:pPr>
          </w:p>
          <w:p w:rsidR="00F16198" w:rsidRDefault="00F16198" w:rsidP="007B2B8D">
            <w:pPr>
              <w:spacing w:after="0" w:line="240" w:lineRule="auto"/>
              <w:jc w:val="both"/>
            </w:pPr>
            <w:r>
              <w:lastRenderedPageBreak/>
              <w:t>Zgodnie z treścią art. 53 ust. 2 ustawy wdrożeniowej, negatywną oceną projektu jest ocena</w:t>
            </w:r>
            <w:r w:rsidRPr="003C6677">
              <w:t xml:space="preserve"> projektu</w:t>
            </w:r>
            <w:r>
              <w:t xml:space="preserve"> w zakresie spełnienia przez projekt kryteriów wyboru projektów, w ramach której:</w:t>
            </w:r>
          </w:p>
          <w:p w:rsidR="00F16198" w:rsidRDefault="00F16198" w:rsidP="007B2B8D">
            <w:pPr>
              <w:pStyle w:val="Akapitzlist"/>
              <w:numPr>
                <w:ilvl w:val="0"/>
                <w:numId w:val="15"/>
              </w:numPr>
              <w:suppressAutoHyphens w:val="0"/>
              <w:spacing w:line="240" w:lineRule="auto"/>
              <w:jc w:val="both"/>
              <w:rPr>
                <w:rFonts w:ascii="Calibri" w:hAnsi="Calibri"/>
              </w:rPr>
            </w:pPr>
            <w:r>
              <w:rPr>
                <w:rFonts w:ascii="Calibri" w:hAnsi="Calibri"/>
              </w:rPr>
              <w:t>projekt nie uzyskał wymaganej liczby punktów lub nie spełnił kryteriów wyboru projektów, na skutek czego nie może być wybrany do dofinansowania albo skierowany do kolejnego etapu oceny,</w:t>
            </w:r>
          </w:p>
          <w:p w:rsidR="00F16198" w:rsidRDefault="00F16198" w:rsidP="007B2B8D">
            <w:pPr>
              <w:spacing w:line="240" w:lineRule="auto"/>
              <w:jc w:val="both"/>
            </w:pPr>
            <w:r>
              <w:t>lub</w:t>
            </w:r>
          </w:p>
          <w:p w:rsidR="00F16198" w:rsidRDefault="00F16198" w:rsidP="007B2B8D">
            <w:pPr>
              <w:pStyle w:val="Akapitzlist"/>
              <w:numPr>
                <w:ilvl w:val="0"/>
                <w:numId w:val="15"/>
              </w:numPr>
              <w:suppressAutoHyphens w:val="0"/>
              <w:spacing w:line="240" w:lineRule="auto"/>
              <w:jc w:val="both"/>
              <w:rPr>
                <w:rFonts w:asciiTheme="minorHAnsi" w:hAnsiTheme="minorHAnsi"/>
                <w:szCs w:val="22"/>
                <w:lang w:eastAsia="en-US"/>
              </w:rPr>
            </w:pPr>
            <w:r>
              <w:rPr>
                <w:rFonts w:ascii="Calibri" w:hAnsi="Calibri"/>
              </w:rPr>
              <w:t>projekt uzyskał wymaganą liczbę punktów lub spełnił kryteria wyboru projektów, jednak kwota przeznaczona na dofinansowanie projektów w konkursie nie wystarcza na wybranie go do dofinansowania (z zastrzeżeniem zapisów art. 53 ust. 3 ustawy wdrożeniowej).</w:t>
            </w:r>
          </w:p>
          <w:p w:rsidR="00F16198" w:rsidRDefault="00F16198" w:rsidP="007B2B8D">
            <w:pPr>
              <w:pStyle w:val="Default"/>
              <w:spacing w:line="240" w:lineRule="auto"/>
              <w:jc w:val="both"/>
              <w:rPr>
                <w:color w:val="00000A"/>
                <w:sz w:val="22"/>
                <w:szCs w:val="22"/>
              </w:rPr>
            </w:pPr>
          </w:p>
          <w:p w:rsidR="005A17EF" w:rsidRDefault="00FD26CA" w:rsidP="007B2B8D">
            <w:pPr>
              <w:pStyle w:val="Default"/>
              <w:spacing w:line="240" w:lineRule="auto"/>
              <w:jc w:val="both"/>
              <w:rPr>
                <w:color w:val="00000A"/>
                <w:sz w:val="22"/>
                <w:szCs w:val="22"/>
              </w:rPr>
            </w:pPr>
            <w:r>
              <w:rPr>
                <w:color w:val="00000A"/>
                <w:sz w:val="22"/>
                <w:szCs w:val="22"/>
              </w:rPr>
              <w:t>W pisemnej informacji dla Wnioskodawcy o negatywnej ocenie projektu, IZ RPO WD zamieszcza szczegółowe uzasadnienie wyników oceny projektu oraz pouczenie o możliwości wniesienia protestu, wraz ze wskazaniem terminu przysługującego na wniesienie protestu oraz instytucji, do której należy wnieść protest, a także wymogów formalnych protestu, o których mowa w art. 54 ust. 2 ustawy wdrożeniowej.</w:t>
            </w:r>
          </w:p>
          <w:p w:rsidR="005A17EF" w:rsidRDefault="00FD26CA" w:rsidP="007B2B8D">
            <w:pPr>
              <w:pStyle w:val="Default"/>
              <w:spacing w:line="240" w:lineRule="auto"/>
              <w:jc w:val="both"/>
              <w:rPr>
                <w:color w:val="00000A"/>
                <w:sz w:val="22"/>
                <w:szCs w:val="22"/>
              </w:rPr>
            </w:pPr>
            <w:r>
              <w:rPr>
                <w:color w:val="00000A"/>
                <w:sz w:val="22"/>
                <w:szCs w:val="22"/>
              </w:rPr>
              <w:t xml:space="preserve">  </w:t>
            </w:r>
          </w:p>
          <w:p w:rsidR="005A17EF" w:rsidRDefault="00FD26CA" w:rsidP="007B2B8D">
            <w:pPr>
              <w:pStyle w:val="Default"/>
              <w:spacing w:line="240" w:lineRule="auto"/>
              <w:jc w:val="both"/>
              <w:rPr>
                <w:color w:val="00000A"/>
                <w:sz w:val="22"/>
                <w:szCs w:val="22"/>
              </w:rPr>
            </w:pPr>
            <w:r>
              <w:rPr>
                <w:color w:val="00000A"/>
                <w:sz w:val="22"/>
                <w:szCs w:val="22"/>
              </w:rPr>
              <w:t>Protest przysługuje Wnioskodawcy od negatywnej oceny (formalnej/ merytorycznej) projektu oraz niewybrania projektu do dofinansowania. Termin na wniesienie przez Wnioskodawcę protestu (o którym mowa w art. 54 ust.1 ustawy wdrożeniowej) do IZ RPO WD liczy się od dnia następnego po dniu otrzymania przez niego pisemnej informacji od IZ RPO WD o negatywnej ocenie projektu. Publikacja wyników oceny projektów na stronie internetowej IZ RPO WD nie jest podstawą do wniesienia protestu.</w:t>
            </w:r>
          </w:p>
          <w:p w:rsidR="005A17EF" w:rsidRDefault="005A17EF" w:rsidP="007B2B8D">
            <w:pPr>
              <w:pStyle w:val="Default"/>
              <w:spacing w:line="240" w:lineRule="auto"/>
              <w:jc w:val="both"/>
              <w:rPr>
                <w:color w:val="00000A"/>
                <w:sz w:val="22"/>
                <w:szCs w:val="22"/>
              </w:rPr>
            </w:pPr>
          </w:p>
          <w:p w:rsidR="005A17EF" w:rsidRDefault="00FD26CA" w:rsidP="007B2B8D">
            <w:pPr>
              <w:pStyle w:val="Default"/>
              <w:spacing w:line="240" w:lineRule="auto"/>
              <w:jc w:val="both"/>
              <w:rPr>
                <w:color w:val="00000A"/>
                <w:sz w:val="22"/>
                <w:szCs w:val="22"/>
              </w:rPr>
            </w:pPr>
            <w:r>
              <w:rPr>
                <w:color w:val="00000A"/>
                <w:sz w:val="22"/>
                <w:szCs w:val="22"/>
              </w:rPr>
              <w:t xml:space="preserve">Protest jest wnoszony przez Wnioskodawcę w formie pisemnej, bezpośrednio do IZ RPO WD. Zgodnie z art. 54 ust. 2 ustawy wdrożeniowej, protest zawiera: oznaczenie instytucji właściwej do rozpatrzenia protestu, oznaczenie Wnioskodawcy, numer wniosku o dofinansowanie, wskazanie kryteriów wyboru projektu, z których oceną Wnioskodawca się nie zgadza, wraz z uzasadnieniem, wskazanie zarzutów o 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t>
            </w:r>
          </w:p>
          <w:p w:rsidR="005A17EF" w:rsidRDefault="00FD26CA" w:rsidP="007B2B8D">
            <w:pPr>
              <w:pStyle w:val="Default"/>
              <w:spacing w:line="240" w:lineRule="auto"/>
              <w:jc w:val="both"/>
              <w:rPr>
                <w:color w:val="00000A"/>
                <w:sz w:val="22"/>
                <w:szCs w:val="22"/>
              </w:rPr>
            </w:pPr>
            <w:r>
              <w:rPr>
                <w:color w:val="00000A"/>
                <w:sz w:val="22"/>
                <w:szCs w:val="22"/>
              </w:rPr>
              <w:t xml:space="preserve"> </w:t>
            </w:r>
          </w:p>
          <w:p w:rsidR="005A17EF" w:rsidRDefault="00FD26CA" w:rsidP="007B2B8D">
            <w:pPr>
              <w:pStyle w:val="Default"/>
              <w:spacing w:line="240" w:lineRule="auto"/>
              <w:jc w:val="both"/>
              <w:rPr>
                <w:color w:val="00000A"/>
                <w:sz w:val="22"/>
                <w:szCs w:val="22"/>
              </w:rPr>
            </w:pPr>
            <w:r>
              <w:rPr>
                <w:color w:val="00000A"/>
                <w:sz w:val="22"/>
                <w:szCs w:val="22"/>
              </w:rPr>
              <w:t xml:space="preserve">Dopuszczalne jest wycofanie przez Wnioskodawcę protestu wniesionego do IZ RPO WD. Wycofanie protestu następuje w formie pisemnej. W przypadku wycofania protestu po dniu wydania rozstrzygnięcia protestu/pozostawienia protestu bez rozpatrzenia, wycofanie to uznaje się za bezskuteczne, o czym Wnioskodawca jest pisemnie informowany. </w:t>
            </w:r>
            <w:r>
              <w:rPr>
                <w:color w:val="00000A"/>
                <w:sz w:val="22"/>
                <w:szCs w:val="22"/>
              </w:rPr>
              <w:lastRenderedPageBreak/>
              <w:t>Istnieje możliwość ponownego wniesienia protestu przez Wnioskodawcę w tej samej sprawie i w tym samym zakresie, w ramach której Wnioskodawca wycofał protest, jednak wyłącznie przy zachowaniu pierwotnego terminu na wniesienie protestu.</w:t>
            </w:r>
          </w:p>
          <w:p w:rsidR="005A17EF" w:rsidRDefault="005A17EF" w:rsidP="007B2B8D">
            <w:pPr>
              <w:pStyle w:val="Default"/>
              <w:spacing w:line="240" w:lineRule="auto"/>
              <w:jc w:val="both"/>
              <w:rPr>
                <w:color w:val="00000A"/>
                <w:sz w:val="22"/>
                <w:szCs w:val="22"/>
              </w:rPr>
            </w:pPr>
          </w:p>
          <w:p w:rsidR="005A17EF" w:rsidRDefault="00FD26CA" w:rsidP="007B2B8D">
            <w:pPr>
              <w:pStyle w:val="Default"/>
              <w:spacing w:line="240" w:lineRule="auto"/>
              <w:jc w:val="both"/>
              <w:rPr>
                <w:color w:val="00000A"/>
                <w:sz w:val="22"/>
                <w:szCs w:val="22"/>
              </w:rPr>
            </w:pPr>
            <w:r>
              <w:rPr>
                <w:color w:val="00000A"/>
                <w:sz w:val="22"/>
                <w:szCs w:val="22"/>
              </w:rPr>
              <w:t>IZ RPO WD rozpatruje protest – weryfikując prawidłowość oceny projektu w zakresie kryteriów wyboru projektów oraz zarzutów podniesionych przez Wnioskodawcę – w terminie nie dłuższym, niż 30 dni, licząc od dnia jego otrzymania. W uzasadnionych przypadkach, w szczególności gdy w trakcie rozpatrywania protestu konieczne jest skorzystanie z pomocy ekspertów, termin rozpatrzenia protestu może być przedłużony</w:t>
            </w:r>
            <w:r w:rsidR="00D624B0">
              <w:rPr>
                <w:color w:val="00000A"/>
                <w:sz w:val="22"/>
                <w:szCs w:val="22"/>
              </w:rPr>
              <w:t>.</w:t>
            </w:r>
            <w:r>
              <w:rPr>
                <w:color w:val="00000A"/>
                <w:sz w:val="22"/>
                <w:szCs w:val="22"/>
              </w:rPr>
              <w:t xml:space="preserve"> IZ RPO WD informuje pisemnie Wnioskodawcę o przedłużeniu terminu.</w:t>
            </w:r>
          </w:p>
          <w:p w:rsidR="005A17EF" w:rsidRDefault="005A17EF" w:rsidP="007B2B8D">
            <w:pPr>
              <w:pStyle w:val="Default"/>
              <w:spacing w:line="240" w:lineRule="auto"/>
              <w:jc w:val="both"/>
              <w:rPr>
                <w:color w:val="00000A"/>
                <w:sz w:val="22"/>
                <w:szCs w:val="22"/>
              </w:rPr>
            </w:pPr>
          </w:p>
          <w:p w:rsidR="005A17EF" w:rsidRDefault="00FD26CA" w:rsidP="007B2B8D">
            <w:pPr>
              <w:pStyle w:val="Default"/>
              <w:spacing w:after="240" w:line="240" w:lineRule="auto"/>
              <w:jc w:val="both"/>
              <w:rPr>
                <w:color w:val="00000A"/>
                <w:sz w:val="22"/>
                <w:szCs w:val="22"/>
              </w:rPr>
            </w:pPr>
            <w:r>
              <w:rPr>
                <w:color w:val="00000A"/>
                <w:sz w:val="22"/>
                <w:szCs w:val="22"/>
              </w:rPr>
              <w:t>IZ RPO WD, w wyniku analizy i rozpatrzenia środka odwoławczego, uwzględnia albo nie uwzględnia protestu, pisemnie informując o tym Wnioskodawcę. Pisemne rozstrzygnięcie protestu zawiera uzasadnienie podjętej decyzji.</w:t>
            </w:r>
          </w:p>
          <w:p w:rsidR="005A17EF" w:rsidRDefault="00FD26CA" w:rsidP="007B2B8D">
            <w:pPr>
              <w:pStyle w:val="Default"/>
              <w:spacing w:after="240" w:line="240" w:lineRule="auto"/>
              <w:jc w:val="both"/>
              <w:rPr>
                <w:color w:val="00000A"/>
                <w:sz w:val="22"/>
                <w:szCs w:val="22"/>
              </w:rPr>
            </w:pPr>
            <w:r>
              <w:rPr>
                <w:color w:val="00000A"/>
                <w:sz w:val="22"/>
                <w:szCs w:val="22"/>
              </w:rPr>
              <w:t>W przypadku uwzględnienia protestu IZ RPO WD przekazuje projekt do właściwego (następnego) etapu oceny lub umieszcza go na liście projektów wybranych do dofinansowania (w przypadku dostępności środków w danym działaniu/poddziałaniu).</w:t>
            </w:r>
          </w:p>
          <w:p w:rsidR="005A17EF" w:rsidRDefault="00FD26CA" w:rsidP="007B2B8D">
            <w:pPr>
              <w:spacing w:after="0" w:line="240" w:lineRule="auto"/>
              <w:jc w:val="both"/>
            </w:pPr>
            <w:r>
              <w:t>Nie podlega rozpatrzeniu przez IZ RPO WD protest, jeżeli mimo prawidłowego pouczenia ww. środek odwoławczy został wniesiony przez Wnioskodawcę do IZ RPO WD:</w:t>
            </w:r>
          </w:p>
          <w:p w:rsidR="005A17EF" w:rsidRDefault="00FD26CA" w:rsidP="007B2B8D">
            <w:pPr>
              <w:spacing w:after="0" w:line="240" w:lineRule="auto"/>
              <w:jc w:val="both"/>
            </w:pPr>
            <w:r>
              <w:t xml:space="preserve">- po terminie, </w:t>
            </w:r>
          </w:p>
          <w:p w:rsidR="005A17EF" w:rsidRDefault="00FD26CA" w:rsidP="007B2B8D">
            <w:pPr>
              <w:spacing w:after="0" w:line="240" w:lineRule="auto"/>
              <w:jc w:val="both"/>
            </w:pPr>
            <w:r>
              <w:t xml:space="preserve">- przez podmiot wykluczony z możliwości otrzymania dofinansowania, </w:t>
            </w:r>
          </w:p>
          <w:p w:rsidR="005A17EF" w:rsidRDefault="00FD26CA" w:rsidP="007B2B8D">
            <w:pPr>
              <w:spacing w:after="0" w:line="240" w:lineRule="auto"/>
              <w:jc w:val="both"/>
            </w:pPr>
            <w:r>
              <w:t>- bez wskazania kryteriów wyboru projektów, z których oceną Wnioskodawca się nie zgadza (wraz z uzasadnieniem).</w:t>
            </w:r>
          </w:p>
          <w:p w:rsidR="005A17EF" w:rsidRDefault="00FD26CA" w:rsidP="007B2B8D">
            <w:pPr>
              <w:spacing w:after="0" w:line="240" w:lineRule="auto"/>
              <w:jc w:val="both"/>
            </w:pPr>
            <w:r>
              <w:t xml:space="preserve"> </w:t>
            </w:r>
          </w:p>
          <w:p w:rsidR="005A17EF" w:rsidRDefault="00FD26CA" w:rsidP="007B2B8D">
            <w:pPr>
              <w:spacing w:after="0" w:line="240" w:lineRule="auto"/>
              <w:jc w:val="both"/>
            </w:pPr>
            <w:r>
              <w:t>W przypadku, gdy na jakimkolwiek etapie postępowania w zakresie procedury odwoławczej wyczerpana zostanie kwota przeznaczona na dofinansowanie projektów w ramach działania, właściwa instytucja, do której wpłynął protest, pozostawia go bez rozpatrzenia – zgodnie z przepisem art. 66 ust. 2 ustawy.</w:t>
            </w:r>
          </w:p>
          <w:p w:rsidR="005A17EF" w:rsidRDefault="005A17EF" w:rsidP="007B2B8D">
            <w:pPr>
              <w:spacing w:after="0" w:line="240" w:lineRule="auto"/>
              <w:jc w:val="both"/>
            </w:pPr>
          </w:p>
          <w:p w:rsidR="005A17EF" w:rsidRDefault="00FD26CA" w:rsidP="007B2B8D">
            <w:pPr>
              <w:spacing w:after="0" w:line="240" w:lineRule="auto"/>
              <w:jc w:val="both"/>
            </w:pPr>
            <w: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 wzywa Wnioskodawcę do jego uzupełnienia bądź poprawy oczywistych omyłek, w terminie 7 dni, licząc od dnia następnego po dniu otrzymania wezwania, pod rygorem pozostawienia protestu bez rozpatrzenia. Wezwanie do uzupełnienia bądź poprawy oczywistych omyłek zawartych w proteście wstrzymuje bieg terminu rozpatrzenia protestu. W przypadku, gdy w odpowiedzi na wezwanie: </w:t>
            </w:r>
          </w:p>
          <w:p w:rsidR="005A17EF" w:rsidRDefault="00FD26CA" w:rsidP="007B2B8D">
            <w:pPr>
              <w:spacing w:after="0" w:line="240" w:lineRule="auto"/>
              <w:jc w:val="both"/>
            </w:pPr>
            <w:r>
              <w:t xml:space="preserve">- protest zawiera w dalszym ciągu uchybienia formalne i/lub zawiera </w:t>
            </w:r>
            <w:r>
              <w:lastRenderedPageBreak/>
              <w:t xml:space="preserve">oczywiste omyłki </w:t>
            </w:r>
          </w:p>
          <w:p w:rsidR="005A17EF" w:rsidRDefault="00FD26CA" w:rsidP="007B2B8D">
            <w:pPr>
              <w:spacing w:after="0" w:line="240" w:lineRule="auto"/>
              <w:jc w:val="both"/>
            </w:pPr>
            <w:r>
              <w:t>i/lub,</w:t>
            </w:r>
          </w:p>
          <w:p w:rsidR="005A17EF" w:rsidRDefault="00FD26CA" w:rsidP="007B2B8D">
            <w:pPr>
              <w:spacing w:after="0" w:line="240" w:lineRule="auto"/>
              <w:jc w:val="both"/>
            </w:pPr>
            <w:r>
              <w:t xml:space="preserve">- protest został wniesiony z uchybieniem 7-dniowego terminu, licząc od dnia następnego po dniu otrzymania wezwania - </w:t>
            </w:r>
          </w:p>
          <w:p w:rsidR="005A17EF" w:rsidRDefault="00FD26CA" w:rsidP="007B2B8D">
            <w:pPr>
              <w:spacing w:after="0" w:line="240" w:lineRule="auto"/>
              <w:jc w:val="both"/>
            </w:pPr>
            <w:r>
              <w:t>IZ RPO WD pozostawia środek odwoławczy bez rozpatrzenia.</w:t>
            </w:r>
          </w:p>
          <w:p w:rsidR="005A17EF" w:rsidRDefault="005A17EF" w:rsidP="007B2B8D">
            <w:pPr>
              <w:spacing w:after="0" w:line="240" w:lineRule="auto"/>
              <w:jc w:val="both"/>
            </w:pPr>
          </w:p>
          <w:p w:rsidR="005A17EF" w:rsidRDefault="00FD26CA" w:rsidP="007B2B8D">
            <w:pPr>
              <w:spacing w:after="0" w:line="240" w:lineRule="auto"/>
              <w:jc w:val="both"/>
            </w:pPr>
            <w:r>
              <w:t>IZ RPO WD pisemnie informuje Wnioskodawcę o pozostawieniu protestu bez rozpatrzenia, wskazując przesłankę/przesłanki będące przyczyną odmowy rozstrzygnięcia środka odwoławczego.</w:t>
            </w:r>
          </w:p>
          <w:p w:rsidR="005A17EF" w:rsidRDefault="005A17EF" w:rsidP="007B2B8D">
            <w:pPr>
              <w:spacing w:after="0" w:line="240" w:lineRule="auto"/>
              <w:jc w:val="both"/>
            </w:pPr>
          </w:p>
          <w:p w:rsidR="005A17EF" w:rsidRDefault="00FD26CA" w:rsidP="007B2B8D">
            <w:pPr>
              <w:spacing w:after="0" w:line="240" w:lineRule="auto"/>
              <w:jc w:val="both"/>
            </w:pPr>
            <w:r>
              <w:t>W przypadku nieuwzględnienia protestu/pozostawieniu protestu bez rozpatrzenia Wnioskodawca jest pouczany o możliwości wniesienia skargi do Wojewódzkiego Sądu Administracyjnego, zgodnie z art. 3 § 3 ustawy z dnia 30 sierpnia 2002 r. Prawo o postępowaniu przed sądami administracyjnymi, na warunkach przewidzianych przepisami art. 61 ustawy wdrożeniowej.</w:t>
            </w:r>
          </w:p>
          <w:p w:rsidR="005A17EF" w:rsidRDefault="00FD26CA" w:rsidP="007B2B8D">
            <w:pPr>
              <w:spacing w:after="0" w:line="240" w:lineRule="auto"/>
              <w:jc w:val="both"/>
            </w:pPr>
            <w:r>
              <w:t>Prawo do wniesienia skargi kasacyjnej do Naczelnego Sądu Administracyjnego od wyroku Wojewódzkiego Sądu Administracyjnego we Wrocławiu posiada Wnioskodawca, jak również IZ RPO WD.</w:t>
            </w:r>
          </w:p>
          <w:p w:rsidR="005A17EF" w:rsidRDefault="005A17EF" w:rsidP="007B2B8D">
            <w:pPr>
              <w:spacing w:after="0" w:line="240" w:lineRule="auto"/>
              <w:jc w:val="both"/>
            </w:pPr>
          </w:p>
          <w:p w:rsidR="005A17EF" w:rsidRDefault="00FD26CA" w:rsidP="007B2B8D">
            <w:pPr>
              <w:spacing w:after="0" w:line="240" w:lineRule="auto"/>
              <w:jc w:val="both"/>
            </w:pPr>
            <w:r>
              <w:t>Prawomocne rozstrzygnięcie sądu administracyjnego polegające na oddaleniu skargi, odrzuceniu skargi albo pozostawieniu skargi bez rozpatrzenia kończy procedurę odwoławczą oraz procedurę wyboru projektu.</w:t>
            </w:r>
          </w:p>
        </w:tc>
      </w:tr>
      <w:tr w:rsidR="005A17EF" w:rsidTr="00E86DB9">
        <w:tc>
          <w:tcPr>
            <w:tcW w:w="5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FD26CA" w:rsidP="007B2B8D">
            <w:pPr>
              <w:spacing w:after="0" w:line="240" w:lineRule="auto"/>
              <w:rPr>
                <w:b/>
                <w:bCs/>
              </w:rPr>
            </w:pPr>
            <w:r>
              <w:rPr>
                <w:b/>
                <w:bCs/>
              </w:rPr>
              <w:lastRenderedPageBreak/>
              <w:t>23.</w:t>
            </w:r>
          </w:p>
        </w:tc>
        <w:tc>
          <w:tcPr>
            <w:tcW w:w="22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FD26CA" w:rsidP="007B2B8D">
            <w:pPr>
              <w:pStyle w:val="Default"/>
              <w:spacing w:line="240" w:lineRule="auto"/>
              <w:rPr>
                <w:b/>
                <w:bCs/>
                <w:color w:val="00000A"/>
                <w:sz w:val="22"/>
                <w:szCs w:val="22"/>
              </w:rPr>
            </w:pPr>
            <w:r>
              <w:rPr>
                <w:b/>
                <w:bCs/>
                <w:color w:val="00000A"/>
                <w:sz w:val="22"/>
                <w:szCs w:val="22"/>
              </w:rPr>
              <w:t xml:space="preserve">Sposób podania do publicznej wiadomości wyników konkursu: </w:t>
            </w:r>
          </w:p>
          <w:p w:rsidR="005A17EF" w:rsidRDefault="005A17EF" w:rsidP="007B2B8D">
            <w:pPr>
              <w:pStyle w:val="Default"/>
              <w:spacing w:line="240" w:lineRule="auto"/>
              <w:rPr>
                <w:b/>
                <w:bCs/>
                <w:color w:val="00000A"/>
                <w:sz w:val="22"/>
                <w:szCs w:val="22"/>
              </w:rPr>
            </w:pPr>
          </w:p>
        </w:tc>
        <w:tc>
          <w:tcPr>
            <w:tcW w:w="68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FD26CA" w:rsidP="007B2B8D">
            <w:pPr>
              <w:pStyle w:val="Default"/>
              <w:spacing w:line="240" w:lineRule="auto"/>
              <w:jc w:val="both"/>
              <w:rPr>
                <w:color w:val="00000A"/>
                <w:sz w:val="22"/>
                <w:szCs w:val="22"/>
              </w:rPr>
            </w:pPr>
            <w:r>
              <w:rPr>
                <w:color w:val="00000A"/>
                <w:sz w:val="22"/>
                <w:szCs w:val="22"/>
              </w:rPr>
              <w:t>Zgodnie z zapisami art. 45 ust. 2 ustawy wdrożeniowej po każdym etapie konkursu (weryfikacja techniczna, ocena formalna oraz ocena merytoryczna), IZ RPO WD 2014-2020 zamieszcza na swojej stronie listę projektów zakwalifikowanych do kolejnego etapu lub listę, o której mowa w art. 4</w:t>
            </w:r>
            <w:r w:rsidR="00773EBA">
              <w:rPr>
                <w:color w:val="00000A"/>
                <w:sz w:val="22"/>
                <w:szCs w:val="22"/>
              </w:rPr>
              <w:t>6</w:t>
            </w:r>
            <w:r>
              <w:rPr>
                <w:color w:val="00000A"/>
                <w:sz w:val="22"/>
                <w:szCs w:val="22"/>
              </w:rPr>
              <w:t xml:space="preserve"> ust. 4 ustawy. Ww. listy zawierają m.in. numer wniosku, tytuł projektu nazwę wnioskodawcy, kwotę dofinansowania oraz wartość całkowitą projektu. </w:t>
            </w:r>
          </w:p>
          <w:p w:rsidR="005A17EF" w:rsidRDefault="00FD26CA" w:rsidP="007B2B8D">
            <w:pPr>
              <w:pStyle w:val="Default"/>
              <w:spacing w:line="240" w:lineRule="auto"/>
              <w:jc w:val="both"/>
              <w:rPr>
                <w:color w:val="00000A"/>
                <w:sz w:val="22"/>
                <w:szCs w:val="22"/>
              </w:rPr>
            </w:pPr>
            <w:r>
              <w:rPr>
                <w:color w:val="00000A"/>
                <w:sz w:val="22"/>
                <w:szCs w:val="22"/>
              </w:rPr>
              <w:t xml:space="preserve">Zgodnie z art. 46 ust. 4 ustawy wdrożeniowej po rozstrzygnięciu konkursu IZ RPO WD 2014-2020 zamieszcza na swojej stronie internetowej: </w:t>
            </w:r>
            <w:hyperlink r:id="rId16">
              <w:r>
                <w:rPr>
                  <w:rStyle w:val="czeinternetowe"/>
                  <w:color w:val="00000A"/>
                  <w:sz w:val="22"/>
                  <w:szCs w:val="22"/>
                </w:rPr>
                <w:t>www.rpo.dolnyslask.pl</w:t>
              </w:r>
            </w:hyperlink>
            <w:r>
              <w:rPr>
                <w:color w:val="00000A"/>
                <w:sz w:val="22"/>
                <w:szCs w:val="22"/>
              </w:rPr>
              <w:t xml:space="preserve"> oraz na portalu Funduszy Europejskich: </w:t>
            </w:r>
            <w:hyperlink r:id="rId17">
              <w:r>
                <w:rPr>
                  <w:rStyle w:val="czeinternetowe"/>
                  <w:color w:val="00000A"/>
                  <w:sz w:val="22"/>
                  <w:szCs w:val="22"/>
                </w:rPr>
                <w:t>www.funduszeeuropejskie.gov.pl</w:t>
              </w:r>
            </w:hyperlink>
            <w:r>
              <w:rPr>
                <w:color w:val="00000A"/>
                <w:sz w:val="22"/>
                <w:szCs w:val="22"/>
              </w:rPr>
              <w:t xml:space="preserve">, listy projektów, które uzyskały wymaganą liczbę punktów, z wyróżnieniem projektów wybranych do dofinansowania jak również powiadamia pisemnie każdego wnioskodawcę o zakończeniu oceny jego projektu. </w:t>
            </w:r>
          </w:p>
          <w:p w:rsidR="005A17EF" w:rsidRDefault="00FD26CA" w:rsidP="007B2B8D">
            <w:pPr>
              <w:spacing w:after="0" w:line="240" w:lineRule="auto"/>
              <w:jc w:val="both"/>
            </w:pPr>
            <w:r>
              <w:t>Dodatkowo po rozstrzygnięciu konkursu IZ RPO WD 2014-2020 zamieszcza na swojej stronie internetowej informację o składzie KOP.</w:t>
            </w:r>
          </w:p>
          <w:p w:rsidR="005A17EF" w:rsidRDefault="00FD26CA" w:rsidP="007B2B8D">
            <w:pPr>
              <w:pStyle w:val="Default"/>
              <w:spacing w:line="240" w:lineRule="auto"/>
              <w:jc w:val="both"/>
              <w:rPr>
                <w:color w:val="00000A"/>
                <w:sz w:val="22"/>
                <w:szCs w:val="22"/>
              </w:rPr>
            </w:pPr>
            <w:r>
              <w:rPr>
                <w:color w:val="00000A"/>
                <w:sz w:val="22"/>
                <w:szCs w:val="22"/>
              </w:rPr>
              <w:t xml:space="preserve">Ponadto na wniosek zainteresowanego udzielana jest informacja o postepowaniu jakie toczy się w odniesieniu do jego projektu, jednakże zwraca się uwagę, iż na podstawie art. 37 ust. 6 Ustawy wdrożeniowej informacją publiczną, w rozumieniu ustawy z dnia 6 września 2001 r. o dostępie do informacji publicznej (Tj. Dz. U. z 2014 r., poz. 782 z późn. zm.), nie są: </w:t>
            </w:r>
          </w:p>
          <w:p w:rsidR="005A17EF" w:rsidRDefault="00FD26CA" w:rsidP="007B2B8D">
            <w:pPr>
              <w:spacing w:after="0" w:line="240" w:lineRule="auto"/>
              <w:jc w:val="both"/>
            </w:pPr>
            <w:r>
              <w:t>a) dokumenty i informacje przedstawiane przez wnioskodawców, do momentu zawarcia z nimi umowy o dofinansowanie;</w:t>
            </w:r>
          </w:p>
          <w:p w:rsidR="005A17EF" w:rsidRDefault="00FD26CA" w:rsidP="007B2B8D">
            <w:pPr>
              <w:spacing w:after="0" w:line="240" w:lineRule="auto"/>
              <w:jc w:val="both"/>
            </w:pPr>
            <w:r>
              <w:t xml:space="preserve">b) dokumenty wytworzone lub przygotowane w związku z oceną dokumentów </w:t>
            </w:r>
          </w:p>
          <w:p w:rsidR="005A17EF" w:rsidRDefault="00FD26CA" w:rsidP="007B2B8D">
            <w:pPr>
              <w:spacing w:after="0" w:line="240" w:lineRule="auto"/>
              <w:jc w:val="both"/>
            </w:pPr>
            <w:r>
              <w:lastRenderedPageBreak/>
              <w:t>i informacji przedstawianych przez wnioskodawców do czasu rozstrzygnięcia konkursu.</w:t>
            </w:r>
          </w:p>
          <w:p w:rsidR="005A17EF" w:rsidRDefault="00FD26CA" w:rsidP="007B2B8D">
            <w:pPr>
              <w:spacing w:after="0" w:line="240" w:lineRule="auto"/>
              <w:jc w:val="both"/>
            </w:pPr>
            <w:r>
              <w:t xml:space="preserve">Wyżej wymieniona regulacja stanowi przede wszystkim zabezpieczenie sprawnego przeprowadzania wyboru projektów do dofinansowania, który mógłby być dezorganizowany poprzez znaczną liczbę wniosków dotyczących udostępnienia informacji publicznej. Dodatkowo regulacja ma na celu zapobieżenie praktykom polegającym na powielaniu w ramach danego konkursu rozwiązań opracowanych przez innych wnioskodawców. Z tego względu w sytuacji wystąpienia o udzielenie informacji na temat ww. dokumentów, IOK informuje zainteresowanego, że na podstawie art. 37 pkt. 6 ustawy wdrożeniowej nie stanowią one informacji publicznej. </w:t>
            </w:r>
          </w:p>
        </w:tc>
      </w:tr>
      <w:tr w:rsidR="005A17EF" w:rsidTr="00E86DB9">
        <w:tc>
          <w:tcPr>
            <w:tcW w:w="5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FD26CA" w:rsidP="007B2B8D">
            <w:pPr>
              <w:spacing w:after="0" w:line="240" w:lineRule="auto"/>
              <w:rPr>
                <w:b/>
                <w:bCs/>
              </w:rPr>
            </w:pPr>
            <w:r>
              <w:rPr>
                <w:b/>
                <w:bCs/>
              </w:rPr>
              <w:lastRenderedPageBreak/>
              <w:t>24.</w:t>
            </w:r>
          </w:p>
        </w:tc>
        <w:tc>
          <w:tcPr>
            <w:tcW w:w="22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FD26CA" w:rsidP="007B2B8D">
            <w:pPr>
              <w:pStyle w:val="Default"/>
              <w:spacing w:line="240" w:lineRule="auto"/>
              <w:rPr>
                <w:b/>
                <w:bCs/>
                <w:color w:val="00000A"/>
                <w:sz w:val="22"/>
                <w:szCs w:val="22"/>
              </w:rPr>
            </w:pPr>
            <w:r>
              <w:rPr>
                <w:b/>
                <w:bCs/>
                <w:color w:val="00000A"/>
                <w:sz w:val="22"/>
                <w:szCs w:val="22"/>
              </w:rPr>
              <w:t xml:space="preserve">Informacje o sposobie postępowania z wnioskami o dofinansowanie po rozstrzygnięciu konkursu: </w:t>
            </w:r>
          </w:p>
        </w:tc>
        <w:tc>
          <w:tcPr>
            <w:tcW w:w="68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FD26CA" w:rsidP="007B2B8D">
            <w:pPr>
              <w:spacing w:after="0" w:line="240" w:lineRule="auto"/>
              <w:jc w:val="both"/>
            </w:pPr>
            <w:r>
              <w:t xml:space="preserve">W przypadku wyboru projektu do dofinansowania wniosek o dofinansowanie projektu staje się załącznikiem do umowy o dofinansowanie i stanowi jej integralną część. </w:t>
            </w:r>
          </w:p>
          <w:p w:rsidR="005A17EF" w:rsidRDefault="00FD26CA" w:rsidP="007B2B8D">
            <w:pPr>
              <w:spacing w:after="0" w:line="240" w:lineRule="auto"/>
              <w:jc w:val="both"/>
            </w:pPr>
            <w:r>
              <w:t>Wnioski o dofinansowanie projektów, które nie zostały wybrane do dofinansowania nie podlegają zwrotowi i są przechowywane w siedzibie IZ RPO WD 2014-2020.</w:t>
            </w:r>
          </w:p>
        </w:tc>
      </w:tr>
      <w:tr w:rsidR="005A17EF" w:rsidTr="00E86DB9">
        <w:tc>
          <w:tcPr>
            <w:tcW w:w="5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FD26CA" w:rsidP="007B2B8D">
            <w:pPr>
              <w:spacing w:after="0" w:line="240" w:lineRule="auto"/>
              <w:rPr>
                <w:b/>
                <w:bCs/>
              </w:rPr>
            </w:pPr>
            <w:r>
              <w:rPr>
                <w:b/>
                <w:bCs/>
              </w:rPr>
              <w:t>25.</w:t>
            </w:r>
          </w:p>
        </w:tc>
        <w:tc>
          <w:tcPr>
            <w:tcW w:w="22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FD26CA" w:rsidP="007B2B8D">
            <w:pPr>
              <w:pStyle w:val="Default"/>
              <w:spacing w:line="240" w:lineRule="auto"/>
              <w:rPr>
                <w:b/>
                <w:bCs/>
                <w:color w:val="00000A"/>
                <w:sz w:val="22"/>
                <w:szCs w:val="22"/>
              </w:rPr>
            </w:pPr>
            <w:r>
              <w:rPr>
                <w:b/>
                <w:bCs/>
                <w:color w:val="00000A"/>
                <w:sz w:val="22"/>
                <w:szCs w:val="22"/>
              </w:rPr>
              <w:t xml:space="preserve">Forma i sposób udzielania wnioskodawcy wyjaśnień w kwestiach dotyczących konkursu: </w:t>
            </w:r>
          </w:p>
          <w:p w:rsidR="005A17EF" w:rsidRDefault="00FD26CA" w:rsidP="007B2B8D">
            <w:pPr>
              <w:pStyle w:val="Default"/>
              <w:spacing w:line="240" w:lineRule="auto"/>
              <w:rPr>
                <w:b/>
                <w:bCs/>
                <w:color w:val="00000A"/>
                <w:sz w:val="22"/>
                <w:szCs w:val="22"/>
              </w:rPr>
            </w:pPr>
            <w:r>
              <w:rPr>
                <w:b/>
                <w:bCs/>
                <w:color w:val="00000A"/>
                <w:sz w:val="22"/>
                <w:szCs w:val="22"/>
              </w:rPr>
              <w:t xml:space="preserve"> </w:t>
            </w:r>
          </w:p>
          <w:p w:rsidR="005A17EF" w:rsidRDefault="005A17EF" w:rsidP="007B2B8D">
            <w:pPr>
              <w:pStyle w:val="Default"/>
              <w:spacing w:line="240" w:lineRule="auto"/>
              <w:rPr>
                <w:b/>
                <w:bCs/>
                <w:color w:val="00000A"/>
                <w:sz w:val="22"/>
                <w:szCs w:val="22"/>
              </w:rPr>
            </w:pPr>
          </w:p>
        </w:tc>
        <w:tc>
          <w:tcPr>
            <w:tcW w:w="68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FD26CA" w:rsidP="007B2B8D">
            <w:pPr>
              <w:spacing w:after="0" w:line="240" w:lineRule="auto"/>
              <w:jc w:val="both"/>
            </w:pPr>
            <w:r>
              <w:t xml:space="preserve">IOK udziela wyjaśnień w kwestiach dotyczących konkursu i odpowiedzi na zapytania indywidualne poprzez: </w:t>
            </w:r>
          </w:p>
          <w:p w:rsidR="005A17EF" w:rsidRDefault="00FD26CA" w:rsidP="007B2B8D">
            <w:pPr>
              <w:spacing w:after="0" w:line="240" w:lineRule="auto"/>
              <w:jc w:val="center"/>
              <w:rPr>
                <w:b/>
                <w:u w:val="single"/>
              </w:rPr>
            </w:pPr>
            <w:r>
              <w:rPr>
                <w:b/>
                <w:u w:val="single"/>
              </w:rPr>
              <w:t>Główny Punkt Informacyjny Funduszy Europejskich:</w:t>
            </w:r>
          </w:p>
          <w:p w:rsidR="005A17EF" w:rsidRDefault="00FD26CA" w:rsidP="007B2B8D">
            <w:pPr>
              <w:spacing w:after="0" w:line="240" w:lineRule="auto"/>
              <w:jc w:val="center"/>
            </w:pPr>
            <w:r>
              <w:t>Czynny:</w:t>
            </w:r>
          </w:p>
          <w:p w:rsidR="005A17EF" w:rsidRDefault="00FD26CA" w:rsidP="007B2B8D">
            <w:pPr>
              <w:spacing w:after="0" w:line="240" w:lineRule="auto"/>
              <w:jc w:val="center"/>
            </w:pPr>
            <w:r>
              <w:t>w poniedziałki w godzinach 7.30-17.30</w:t>
            </w:r>
          </w:p>
          <w:p w:rsidR="005A17EF" w:rsidRDefault="00FD26CA" w:rsidP="007B2B8D">
            <w:pPr>
              <w:spacing w:after="0" w:line="240" w:lineRule="auto"/>
              <w:jc w:val="center"/>
            </w:pPr>
            <w:r>
              <w:t>w pozostałe dni robocze w godzinach 7.30-15.30</w:t>
            </w:r>
          </w:p>
          <w:p w:rsidR="005A17EF" w:rsidRDefault="005A17EF" w:rsidP="007B2B8D">
            <w:pPr>
              <w:spacing w:after="0" w:line="240" w:lineRule="auto"/>
              <w:jc w:val="center"/>
            </w:pPr>
          </w:p>
          <w:p w:rsidR="005A17EF" w:rsidRDefault="00FD26CA" w:rsidP="007B2B8D">
            <w:pPr>
              <w:spacing w:after="0" w:line="240" w:lineRule="auto"/>
              <w:jc w:val="center"/>
            </w:pPr>
            <w:r>
              <w:t>50-411 Wrocław, Wybrzeże J. Słowackiego 12-14, pokój nr 300</w:t>
            </w:r>
          </w:p>
          <w:p w:rsidR="005A17EF" w:rsidRDefault="005A17EF" w:rsidP="007B2B8D">
            <w:pPr>
              <w:spacing w:after="0" w:line="240" w:lineRule="auto"/>
              <w:jc w:val="center"/>
            </w:pPr>
          </w:p>
          <w:p w:rsidR="005A17EF" w:rsidRDefault="0094134E" w:rsidP="007B2B8D">
            <w:pPr>
              <w:spacing w:after="0" w:line="240" w:lineRule="auto"/>
              <w:jc w:val="center"/>
            </w:pPr>
            <w:hyperlink r:id="rId18">
              <w:r w:rsidR="00FD26CA">
                <w:rPr>
                  <w:rStyle w:val="czeinternetowe"/>
                  <w:color w:val="00000A"/>
                </w:rPr>
                <w:t>pife@dolnyslask.pl</w:t>
              </w:r>
            </w:hyperlink>
            <w:r w:rsidR="00FD26CA">
              <w:t xml:space="preserve"> </w:t>
            </w:r>
          </w:p>
          <w:p w:rsidR="005A17EF" w:rsidRDefault="0094134E" w:rsidP="007B2B8D">
            <w:pPr>
              <w:spacing w:after="0" w:line="240" w:lineRule="auto"/>
              <w:jc w:val="center"/>
            </w:pPr>
            <w:hyperlink r:id="rId19">
              <w:r w:rsidR="00FD26CA">
                <w:rPr>
                  <w:rStyle w:val="czeinternetowe"/>
                  <w:color w:val="00000A"/>
                </w:rPr>
                <w:t>pife.jeleniagora@dolnyslask.pl</w:t>
              </w:r>
            </w:hyperlink>
            <w:r w:rsidR="00FD26CA">
              <w:t xml:space="preserve"> </w:t>
            </w:r>
          </w:p>
          <w:p w:rsidR="005A17EF" w:rsidRDefault="0094134E" w:rsidP="007B2B8D">
            <w:pPr>
              <w:spacing w:after="0" w:line="240" w:lineRule="auto"/>
              <w:jc w:val="center"/>
            </w:pPr>
            <w:hyperlink r:id="rId20">
              <w:r w:rsidR="00FD26CA">
                <w:rPr>
                  <w:rStyle w:val="czeinternetowe"/>
                  <w:color w:val="00000A"/>
                </w:rPr>
                <w:t>pife.legnica@dolnyslask.pl</w:t>
              </w:r>
            </w:hyperlink>
            <w:r w:rsidR="00FD26CA">
              <w:t xml:space="preserve"> </w:t>
            </w:r>
          </w:p>
          <w:p w:rsidR="005A17EF" w:rsidRDefault="0094134E" w:rsidP="007B2B8D">
            <w:pPr>
              <w:spacing w:after="0" w:line="240" w:lineRule="auto"/>
              <w:jc w:val="center"/>
            </w:pPr>
            <w:hyperlink r:id="rId21">
              <w:r w:rsidR="00FD26CA">
                <w:rPr>
                  <w:rStyle w:val="czeinternetowe"/>
                  <w:color w:val="00000A"/>
                </w:rPr>
                <w:t>pife.walbrzych@dolnyslask.pl</w:t>
              </w:r>
            </w:hyperlink>
            <w:r w:rsidR="00FD26CA">
              <w:t xml:space="preserve"> </w:t>
            </w:r>
          </w:p>
          <w:p w:rsidR="005A17EF" w:rsidRDefault="005A17EF" w:rsidP="007B2B8D">
            <w:pPr>
              <w:spacing w:after="0" w:line="240" w:lineRule="auto"/>
              <w:jc w:val="both"/>
            </w:pPr>
          </w:p>
          <w:p w:rsidR="005A17EF" w:rsidRDefault="00FD26CA" w:rsidP="007B2B8D">
            <w:pPr>
              <w:spacing w:after="0" w:line="240" w:lineRule="auto"/>
              <w:jc w:val="both"/>
            </w:pPr>
            <w:r>
              <w:t xml:space="preserve">Odpowiedzi na najczęściej zadawane pytania będą zamieszczane na stronie </w:t>
            </w:r>
            <w:hyperlink r:id="rId22">
              <w:r>
                <w:rPr>
                  <w:rStyle w:val="czeinternetowe"/>
                  <w:color w:val="00000A"/>
                </w:rPr>
                <w:t>www.rpo.dolnyslask.pl</w:t>
              </w:r>
            </w:hyperlink>
            <w:r>
              <w:t xml:space="preserve"> w ramach informacji dotyczących procedury wyboru projektów oraz niezbędnych do przedłożenia wniosku o dofinansowanie.</w:t>
            </w:r>
          </w:p>
          <w:p w:rsidR="005A17EF" w:rsidRDefault="00FD26CA" w:rsidP="007B2B8D">
            <w:pPr>
              <w:spacing w:after="0" w:line="240" w:lineRule="auto"/>
              <w:jc w:val="both"/>
            </w:pPr>
            <w:r>
              <w:t xml:space="preserve">Po ogłoszeniu konkursu IOK zorganizuje spotkania dla wnioskodawców ubiegających się o dofinansowanie. Szczegółowe informacje dotyczące terminów i miejsca spotkań wraz z formularzem zgłoszeniowym będą zamieszczane na stronie internetowej </w:t>
            </w:r>
            <w:hyperlink r:id="rId23">
              <w:r>
                <w:rPr>
                  <w:rStyle w:val="czeinternetowe"/>
                  <w:color w:val="00000A"/>
                </w:rPr>
                <w:t>www.rpo.dolnyslask.pl</w:t>
              </w:r>
            </w:hyperlink>
            <w:r>
              <w:t>.</w:t>
            </w:r>
          </w:p>
          <w:p w:rsidR="005A17EF" w:rsidRDefault="00FD26CA" w:rsidP="007B2B8D">
            <w:pPr>
              <w:spacing w:after="0" w:line="240" w:lineRule="auto"/>
              <w:jc w:val="both"/>
            </w:pPr>
            <w:r>
              <w:t xml:space="preserve">Konkurs przeprowadzany jest jawnie z zapewnieniem publicznego dostępu do informacji o zasadach jego przeprowadzania oraz do list projektów ocenionych </w:t>
            </w:r>
          </w:p>
          <w:p w:rsidR="005A17EF" w:rsidRDefault="00FD26CA" w:rsidP="007B2B8D">
            <w:pPr>
              <w:spacing w:after="0" w:line="240" w:lineRule="auto"/>
              <w:jc w:val="both"/>
            </w:pPr>
            <w:r>
              <w:t>w poszczególnych etapach oceny i listy projektów wybranych do dofinansowania.</w:t>
            </w:r>
          </w:p>
        </w:tc>
      </w:tr>
      <w:tr w:rsidR="005A17EF" w:rsidTr="00E86DB9">
        <w:tc>
          <w:tcPr>
            <w:tcW w:w="5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FD26CA" w:rsidP="007B2B8D">
            <w:pPr>
              <w:spacing w:after="0" w:line="240" w:lineRule="auto"/>
              <w:rPr>
                <w:b/>
                <w:bCs/>
              </w:rPr>
            </w:pPr>
            <w:r>
              <w:rPr>
                <w:b/>
                <w:bCs/>
              </w:rPr>
              <w:t>26.</w:t>
            </w:r>
          </w:p>
        </w:tc>
        <w:tc>
          <w:tcPr>
            <w:tcW w:w="22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FD26CA" w:rsidP="007B2B8D">
            <w:pPr>
              <w:pStyle w:val="Default"/>
              <w:spacing w:line="240" w:lineRule="auto"/>
              <w:rPr>
                <w:b/>
                <w:bCs/>
                <w:color w:val="00000A"/>
                <w:sz w:val="22"/>
                <w:szCs w:val="22"/>
              </w:rPr>
            </w:pPr>
            <w:r>
              <w:rPr>
                <w:b/>
                <w:bCs/>
                <w:color w:val="00000A"/>
                <w:sz w:val="22"/>
                <w:szCs w:val="22"/>
              </w:rPr>
              <w:t xml:space="preserve">Orientacyjny termin rozstrzygnięcia konkursu: </w:t>
            </w:r>
          </w:p>
          <w:p w:rsidR="005A17EF" w:rsidRDefault="005A17EF" w:rsidP="007B2B8D">
            <w:pPr>
              <w:pStyle w:val="Default"/>
              <w:spacing w:line="240" w:lineRule="auto"/>
              <w:rPr>
                <w:b/>
                <w:bCs/>
                <w:color w:val="00000A"/>
                <w:sz w:val="22"/>
                <w:szCs w:val="22"/>
              </w:rPr>
            </w:pPr>
          </w:p>
        </w:tc>
        <w:tc>
          <w:tcPr>
            <w:tcW w:w="68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FD26CA" w:rsidP="007B2B8D">
            <w:pPr>
              <w:spacing w:after="0" w:line="240" w:lineRule="auto"/>
              <w:jc w:val="both"/>
            </w:pPr>
            <w:r>
              <w:t>Orientacyjny termin rozstrzygnięcia konkursu to sierpień 2016 r.</w:t>
            </w:r>
          </w:p>
        </w:tc>
      </w:tr>
      <w:tr w:rsidR="005A17EF" w:rsidTr="00E86DB9">
        <w:tc>
          <w:tcPr>
            <w:tcW w:w="5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FD26CA" w:rsidP="007B2B8D">
            <w:pPr>
              <w:spacing w:after="0" w:line="240" w:lineRule="auto"/>
              <w:rPr>
                <w:b/>
                <w:bCs/>
              </w:rPr>
            </w:pPr>
            <w:r>
              <w:rPr>
                <w:b/>
                <w:bCs/>
              </w:rPr>
              <w:lastRenderedPageBreak/>
              <w:t>27.</w:t>
            </w:r>
          </w:p>
        </w:tc>
        <w:tc>
          <w:tcPr>
            <w:tcW w:w="22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FD26CA" w:rsidP="007B2B8D">
            <w:pPr>
              <w:pStyle w:val="Default"/>
              <w:spacing w:line="240" w:lineRule="auto"/>
              <w:rPr>
                <w:b/>
                <w:bCs/>
                <w:color w:val="00000A"/>
                <w:sz w:val="22"/>
                <w:szCs w:val="22"/>
              </w:rPr>
            </w:pPr>
            <w:r>
              <w:rPr>
                <w:b/>
                <w:bCs/>
                <w:color w:val="00000A"/>
                <w:sz w:val="22"/>
                <w:szCs w:val="22"/>
              </w:rPr>
              <w:t xml:space="preserve">Sytuacje w których konkurs może zostać anulowany lub zmieniony regulamin: </w:t>
            </w:r>
          </w:p>
          <w:p w:rsidR="005A17EF" w:rsidRDefault="005A17EF" w:rsidP="007B2B8D">
            <w:pPr>
              <w:pStyle w:val="Default"/>
              <w:spacing w:line="240" w:lineRule="auto"/>
              <w:rPr>
                <w:b/>
                <w:bCs/>
                <w:color w:val="00000A"/>
                <w:sz w:val="22"/>
                <w:szCs w:val="22"/>
              </w:rPr>
            </w:pPr>
          </w:p>
        </w:tc>
        <w:tc>
          <w:tcPr>
            <w:tcW w:w="68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FD26CA" w:rsidP="007B2B8D">
            <w:pPr>
              <w:spacing w:before="120" w:after="120" w:line="240" w:lineRule="auto"/>
              <w:jc w:val="both"/>
            </w:pPr>
            <w:r>
              <w:t>IOK zastrzega sobie prawo do anulowania konkursu w następujących przypadkach do momentu zatwierdzenia listy rankingowej:</w:t>
            </w:r>
          </w:p>
          <w:p w:rsidR="005A17EF" w:rsidRDefault="00FD26CA" w:rsidP="007B2B8D">
            <w:pPr>
              <w:pStyle w:val="Akapitzlist"/>
              <w:numPr>
                <w:ilvl w:val="0"/>
                <w:numId w:val="7"/>
              </w:numPr>
              <w:spacing w:before="0" w:line="240" w:lineRule="auto"/>
              <w:ind w:left="709"/>
              <w:jc w:val="both"/>
              <w:rPr>
                <w:rFonts w:ascii="Calibri" w:hAnsi="Calibri"/>
                <w:szCs w:val="22"/>
              </w:rPr>
            </w:pPr>
            <w:r>
              <w:rPr>
                <w:rFonts w:ascii="Calibri" w:hAnsi="Calibri"/>
                <w:szCs w:val="22"/>
              </w:rPr>
              <w:t>naruszenia przez IOK w toku procedury konkursowej przepisów prawa i/lub zasad regulaminu konkursowego, które są istotne i niemożliwe do naprawienia,</w:t>
            </w:r>
          </w:p>
          <w:p w:rsidR="005A17EF" w:rsidRDefault="00FD26CA" w:rsidP="007B2B8D">
            <w:pPr>
              <w:pStyle w:val="Akapitzlist"/>
              <w:numPr>
                <w:ilvl w:val="0"/>
                <w:numId w:val="7"/>
              </w:numPr>
              <w:spacing w:before="0" w:line="240" w:lineRule="auto"/>
              <w:ind w:left="709"/>
              <w:jc w:val="both"/>
              <w:rPr>
                <w:rFonts w:ascii="Calibri" w:hAnsi="Calibri"/>
                <w:szCs w:val="22"/>
              </w:rPr>
            </w:pPr>
            <w:r>
              <w:rPr>
                <w:rFonts w:ascii="Calibri" w:hAnsi="Calibri"/>
                <w:szCs w:val="22"/>
              </w:rPr>
              <w:t xml:space="preserve">zaistnienie sytuacji nadzwyczajnej, której IOK nie mogła przewidzieć </w:t>
            </w:r>
            <w:r>
              <w:rPr>
                <w:rFonts w:ascii="Calibri" w:hAnsi="Calibri"/>
                <w:szCs w:val="22"/>
              </w:rPr>
              <w:br/>
              <w:t>w chwili ogłoszenia konkursu, a której wystąpienie czyni niemożliwym lub rażąco utrudnia kontynuowanie procedury konkursowej lub stanowi zagrożenie dla interesu publicznego,</w:t>
            </w:r>
          </w:p>
          <w:p w:rsidR="005A17EF" w:rsidRDefault="00FD26CA" w:rsidP="007B2B8D">
            <w:pPr>
              <w:pStyle w:val="Akapitzlist"/>
              <w:numPr>
                <w:ilvl w:val="0"/>
                <w:numId w:val="7"/>
              </w:numPr>
              <w:spacing w:before="0" w:line="240" w:lineRule="auto"/>
              <w:ind w:left="709"/>
              <w:jc w:val="both"/>
              <w:rPr>
                <w:rFonts w:ascii="Calibri" w:hAnsi="Calibri"/>
                <w:szCs w:val="22"/>
              </w:rPr>
            </w:pPr>
            <w:r>
              <w:rPr>
                <w:rFonts w:ascii="Calibri" w:hAnsi="Calibri"/>
                <w:szCs w:val="22"/>
              </w:rPr>
              <w:t>ogłoszenie aktów prawnych lub wytycznych horyzontalnych w istotny sposób sprzecznych z postanowieniami niniejszego regulaminu,</w:t>
            </w:r>
          </w:p>
          <w:p w:rsidR="005A17EF" w:rsidRDefault="00FD26CA" w:rsidP="007B2B8D">
            <w:pPr>
              <w:pStyle w:val="Akapitzlist"/>
              <w:numPr>
                <w:ilvl w:val="0"/>
                <w:numId w:val="7"/>
              </w:numPr>
              <w:spacing w:before="0" w:line="240" w:lineRule="auto"/>
              <w:ind w:left="709"/>
              <w:jc w:val="both"/>
              <w:rPr>
                <w:rFonts w:ascii="Calibri" w:hAnsi="Calibri"/>
                <w:szCs w:val="22"/>
              </w:rPr>
            </w:pPr>
            <w:r>
              <w:rPr>
                <w:rFonts w:ascii="Calibri" w:hAnsi="Calibri"/>
                <w:szCs w:val="22"/>
              </w:rPr>
              <w:t>awaria lub brak dostępności aplikacji Generator wniosków.</w:t>
            </w:r>
          </w:p>
          <w:p w:rsidR="005A17EF" w:rsidRDefault="00FD26CA" w:rsidP="007B2B8D">
            <w:pPr>
              <w:spacing w:before="120" w:after="120" w:line="240" w:lineRule="auto"/>
              <w:jc w:val="both"/>
            </w:pPr>
            <w:r>
              <w:rPr>
                <w:rFonts w:cs="Arial"/>
              </w:rPr>
              <w:t xml:space="preserve">IOK </w:t>
            </w:r>
            <w:r>
              <w:t xml:space="preserve">zastrzega sobie prawo do wprowadzania zmian w niniejszym regulaminie </w:t>
            </w:r>
            <w:r>
              <w:br/>
              <w:t xml:space="preserve">w trakcie trwania konkursu, za wyjątkiem zmian skutkujących nierównym traktowaniem wnioskodawców, chyba, że konieczność wprowadzenia tych zmian wynika z przepisów powszechnie obowiązującego prawa. </w:t>
            </w:r>
          </w:p>
          <w:p w:rsidR="005A17EF" w:rsidRDefault="00FD26CA" w:rsidP="007B2B8D">
            <w:pPr>
              <w:spacing w:before="120" w:after="120" w:line="240" w:lineRule="auto"/>
              <w:jc w:val="both"/>
              <w:rPr>
                <w:rFonts w:cs="Arial"/>
              </w:rPr>
            </w:pPr>
            <w:r>
              <w:rPr>
                <w:rFonts w:cs="Arial"/>
              </w:rPr>
              <w:t xml:space="preserve">W przypadku zmiany regulaminu IOK zamieszcza w każdym miejscu, w którym podała do publicznej wiadomości regulamin informację o jego zmianie, aktualną treść regulaminu, uzasadnienie oraz termin, od którego zmiana obowiązuje. </w:t>
            </w:r>
          </w:p>
          <w:p w:rsidR="005A17EF" w:rsidRDefault="00FD26CA" w:rsidP="007B2B8D">
            <w:pPr>
              <w:spacing w:after="0" w:line="240" w:lineRule="auto"/>
              <w:jc w:val="both"/>
            </w:pPr>
            <w:r>
              <w:rPr>
                <w:rFonts w:cs="Arial"/>
              </w:rPr>
              <w:t>IOK udostępnia w szczególności na swojej stronie internetowej oraz portalu poprzednie wersje regulaminów.</w:t>
            </w:r>
            <w:bookmarkStart w:id="89" w:name="_Toc425494883"/>
            <w:bookmarkEnd w:id="89"/>
            <w:r>
              <w:t xml:space="preserve"> </w:t>
            </w:r>
          </w:p>
        </w:tc>
      </w:tr>
      <w:tr w:rsidR="005A17EF" w:rsidTr="00E86DB9">
        <w:tc>
          <w:tcPr>
            <w:tcW w:w="5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FD26CA" w:rsidP="007B2B8D">
            <w:pPr>
              <w:spacing w:after="0" w:line="240" w:lineRule="auto"/>
              <w:rPr>
                <w:b/>
                <w:bCs/>
              </w:rPr>
            </w:pPr>
            <w:r>
              <w:rPr>
                <w:b/>
                <w:bCs/>
              </w:rPr>
              <w:t>28</w:t>
            </w:r>
          </w:p>
        </w:tc>
        <w:tc>
          <w:tcPr>
            <w:tcW w:w="22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FD26CA" w:rsidP="007B2B8D">
            <w:pPr>
              <w:pStyle w:val="Default"/>
              <w:spacing w:line="240" w:lineRule="auto"/>
              <w:rPr>
                <w:b/>
                <w:bCs/>
                <w:color w:val="00000A"/>
                <w:sz w:val="22"/>
                <w:szCs w:val="22"/>
              </w:rPr>
            </w:pPr>
            <w:r>
              <w:rPr>
                <w:b/>
                <w:bCs/>
                <w:color w:val="00000A"/>
                <w:sz w:val="22"/>
                <w:szCs w:val="22"/>
              </w:rPr>
              <w:t xml:space="preserve">Postanowienie dotyczące możliwości zwiększenia kwoty przeznaczonej na dofinansowanie projektów w konkursie: </w:t>
            </w:r>
          </w:p>
          <w:p w:rsidR="005A17EF" w:rsidRDefault="005A17EF" w:rsidP="007B2B8D">
            <w:pPr>
              <w:pStyle w:val="Default"/>
              <w:spacing w:line="240" w:lineRule="auto"/>
              <w:rPr>
                <w:b/>
                <w:bCs/>
                <w:color w:val="00000A"/>
                <w:sz w:val="22"/>
                <w:szCs w:val="22"/>
              </w:rPr>
            </w:pPr>
          </w:p>
        </w:tc>
        <w:tc>
          <w:tcPr>
            <w:tcW w:w="68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FD26CA" w:rsidP="004C18FB">
            <w:pPr>
              <w:spacing w:after="0" w:line="240" w:lineRule="auto"/>
              <w:jc w:val="both"/>
            </w:pPr>
            <w:r>
              <w:t>Jeśli w danym naborze wniesiono protesty to kwota wolnych środków w działaniu/poddziałaniu w pierwszej kolejności przeznaczona będzie na zabezpieczenie dla tych projektów. Procedura wyboru projektów, które przeszły pozytywnie procedurę odwoławczą na poziomie IZ rozpoczyna się co do zasady po: rozstrzygnięciu na poziomie IZ wszystkich środków odwoławczych (protestów) wniesionych w danym naborze.</w:t>
            </w:r>
            <w:r w:rsidR="00DE1E6D">
              <w:t xml:space="preserve"> </w:t>
            </w:r>
            <w:r w:rsidR="00DE1E6D" w:rsidRPr="00DE1E6D">
              <w:t>Zgodnie z art. 46.</w:t>
            </w:r>
            <w:r w:rsidR="004C18FB">
              <w:t xml:space="preserve"> ust. 2</w:t>
            </w:r>
            <w:r w:rsidR="00DE1E6D" w:rsidRPr="00DE1E6D">
              <w:t xml:space="preserve"> Ustawy wdrożeniowej, możliwe jest zwiększenie alokacji w konkursie z uwzględnieniem zasady równego traktowania (dofinansowanie wszystkich projektów, które uzyskały wymaganą liczbę punktów albo dofinansowanie kolejno wszystkich projektów, które uzyskały wymaganą liczbę punktów oraz taka samą ocenę)</w:t>
            </w:r>
            <w:r w:rsidR="00DE1E6D">
              <w:t>.</w:t>
            </w:r>
          </w:p>
        </w:tc>
      </w:tr>
      <w:tr w:rsidR="005A17EF" w:rsidTr="00E86DB9">
        <w:tc>
          <w:tcPr>
            <w:tcW w:w="5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FD26CA" w:rsidP="007B2B8D">
            <w:pPr>
              <w:spacing w:after="0" w:line="240" w:lineRule="auto"/>
              <w:rPr>
                <w:b/>
                <w:bCs/>
              </w:rPr>
            </w:pPr>
            <w:r>
              <w:rPr>
                <w:b/>
                <w:bCs/>
              </w:rPr>
              <w:t>29.</w:t>
            </w:r>
          </w:p>
        </w:tc>
        <w:tc>
          <w:tcPr>
            <w:tcW w:w="22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FD26CA" w:rsidP="007B2B8D">
            <w:pPr>
              <w:pStyle w:val="Default"/>
              <w:spacing w:line="240" w:lineRule="auto"/>
              <w:rPr>
                <w:b/>
                <w:bCs/>
                <w:color w:val="00000A"/>
                <w:sz w:val="22"/>
                <w:szCs w:val="22"/>
              </w:rPr>
            </w:pPr>
            <w:r>
              <w:rPr>
                <w:b/>
                <w:bCs/>
                <w:color w:val="00000A"/>
                <w:sz w:val="22"/>
                <w:szCs w:val="22"/>
              </w:rPr>
              <w:t xml:space="preserve">Kwalifikowalność wydatków: </w:t>
            </w:r>
          </w:p>
          <w:p w:rsidR="005A17EF" w:rsidRDefault="005A17EF" w:rsidP="007B2B8D">
            <w:pPr>
              <w:pStyle w:val="Default"/>
              <w:spacing w:line="240" w:lineRule="auto"/>
              <w:rPr>
                <w:b/>
                <w:bCs/>
                <w:color w:val="00000A"/>
                <w:sz w:val="22"/>
                <w:szCs w:val="22"/>
              </w:rPr>
            </w:pPr>
          </w:p>
        </w:tc>
        <w:tc>
          <w:tcPr>
            <w:tcW w:w="68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FD26CA" w:rsidP="007B2B8D">
            <w:pPr>
              <w:spacing w:after="0" w:line="240" w:lineRule="auto"/>
              <w:jc w:val="both"/>
            </w:pPr>
            <w:r>
              <w:t xml:space="preserve">Kwalifikowalność wydatków dla projektów współfinansowanych ze środków krajowych i unijnych w ramach RPO WO 2014-2020 musi być zgodna z przepisami unijnymi i krajowymi, w tym w szczególności z: </w:t>
            </w:r>
          </w:p>
          <w:p w:rsidR="005A17EF" w:rsidRDefault="00FD26CA" w:rsidP="00DE1E6D">
            <w:pPr>
              <w:pStyle w:val="Akapitzlist"/>
              <w:numPr>
                <w:ilvl w:val="0"/>
                <w:numId w:val="8"/>
              </w:numPr>
              <w:spacing w:before="0" w:line="240" w:lineRule="auto"/>
              <w:ind w:left="395"/>
              <w:jc w:val="both"/>
              <w:rPr>
                <w:rFonts w:ascii="Calibri" w:hAnsi="Calibri" w:cs="Calibri"/>
              </w:rPr>
            </w:pPr>
            <w:r>
              <w:rPr>
                <w:rFonts w:ascii="Calibri" w:hAnsi="Calibri" w:cs="Calibri"/>
              </w:rPr>
              <w:t xml:space="preserve">Rozporządzeniem ogólnym, </w:t>
            </w:r>
          </w:p>
          <w:p w:rsidR="005A17EF" w:rsidRDefault="00FD26CA" w:rsidP="00DE1E6D">
            <w:pPr>
              <w:pStyle w:val="Akapitzlist"/>
              <w:numPr>
                <w:ilvl w:val="0"/>
                <w:numId w:val="8"/>
              </w:numPr>
              <w:spacing w:before="0" w:line="240" w:lineRule="auto"/>
              <w:ind w:left="395"/>
              <w:jc w:val="both"/>
              <w:rPr>
                <w:rFonts w:ascii="Calibri" w:hAnsi="Calibri" w:cs="Calibri"/>
              </w:rPr>
            </w:pPr>
            <w:r>
              <w:rPr>
                <w:rFonts w:ascii="Calibri" w:hAnsi="Calibri" w:cs="Calibri"/>
              </w:rPr>
              <w:t>Rozporządzenia Komisji (UE) nr 651/2014 z 17 czerwca 2014 roku uznające niektóre rodzaje pomocy za zgodne z rynkiem wewnętrznym w zastosowaniu art. 107 i 108 Traktatu,</w:t>
            </w:r>
          </w:p>
          <w:p w:rsidR="00E3690B" w:rsidRDefault="00E3690B" w:rsidP="00DE1E6D">
            <w:pPr>
              <w:pStyle w:val="Akapitzlist"/>
              <w:numPr>
                <w:ilvl w:val="0"/>
                <w:numId w:val="8"/>
              </w:numPr>
              <w:spacing w:before="0" w:line="240" w:lineRule="auto"/>
              <w:ind w:left="395"/>
              <w:jc w:val="both"/>
              <w:rPr>
                <w:rFonts w:ascii="Calibri" w:hAnsi="Calibri" w:cs="Calibri"/>
              </w:rPr>
            </w:pPr>
            <w:r>
              <w:rPr>
                <w:rFonts w:ascii="Calibri" w:hAnsi="Calibri"/>
                <w:szCs w:val="22"/>
              </w:rPr>
              <w:t>Rozporządzenie Komisji (UE) nr 1407/2013 z dnia 18 grudnia 2013 r. w sprawie stosowania art. 107 i 108 Traktatu o funkcjonowaniu Unii Europejskiej do pomocy de minimis,</w:t>
            </w:r>
          </w:p>
          <w:p w:rsidR="005A17EF" w:rsidRDefault="00FD26CA" w:rsidP="00DE1E6D">
            <w:pPr>
              <w:pStyle w:val="Akapitzlist"/>
              <w:numPr>
                <w:ilvl w:val="0"/>
                <w:numId w:val="8"/>
              </w:numPr>
              <w:spacing w:before="0" w:line="240" w:lineRule="auto"/>
              <w:ind w:left="395"/>
              <w:jc w:val="both"/>
              <w:rPr>
                <w:rFonts w:ascii="Calibri" w:hAnsi="Calibri" w:cs="Calibri"/>
              </w:rPr>
            </w:pPr>
            <w:r>
              <w:rPr>
                <w:rFonts w:ascii="Calibri" w:hAnsi="Calibri" w:cs="Calibri"/>
              </w:rPr>
              <w:t xml:space="preserve">Ustawą wdrożeniową, </w:t>
            </w:r>
          </w:p>
          <w:p w:rsidR="005A17EF" w:rsidRDefault="00FD26CA" w:rsidP="00DE1E6D">
            <w:pPr>
              <w:pStyle w:val="Akapitzlist"/>
              <w:numPr>
                <w:ilvl w:val="0"/>
                <w:numId w:val="8"/>
              </w:numPr>
              <w:spacing w:before="0" w:line="240" w:lineRule="auto"/>
              <w:ind w:left="395"/>
              <w:jc w:val="both"/>
              <w:rPr>
                <w:rFonts w:ascii="Calibri" w:hAnsi="Calibri" w:cs="Calibri"/>
              </w:rPr>
            </w:pPr>
            <w:r>
              <w:rPr>
                <w:rFonts w:ascii="Calibri" w:hAnsi="Calibri" w:cs="Calibri"/>
              </w:rPr>
              <w:t xml:space="preserve">Wytycznymi Ministra Infrastruktury i Rozwoju </w:t>
            </w:r>
            <w:r>
              <w:rPr>
                <w:rFonts w:ascii="Calibri" w:hAnsi="Calibri"/>
                <w:szCs w:val="22"/>
              </w:rPr>
              <w:t xml:space="preserve">z dnia 10 kwietnia 2015 </w:t>
            </w:r>
            <w:r>
              <w:rPr>
                <w:rFonts w:ascii="Calibri" w:hAnsi="Calibri"/>
                <w:szCs w:val="22"/>
              </w:rPr>
              <w:lastRenderedPageBreak/>
              <w:t xml:space="preserve">r. </w:t>
            </w:r>
            <w:r>
              <w:rPr>
                <w:rFonts w:ascii="Calibri" w:hAnsi="Calibri" w:cs="Calibri"/>
              </w:rPr>
              <w:t xml:space="preserve"> w zakresie kwalifikowalności wydatków w ramach Europejskiego Funduszu Rozwoju Regionalnego, Europejskiego Funduszu Społecznego oraz Funduszu Spójności na lata 2014-2020,</w:t>
            </w:r>
          </w:p>
          <w:p w:rsidR="005A17EF" w:rsidRDefault="00FD26CA" w:rsidP="00DE1E6D">
            <w:pPr>
              <w:pStyle w:val="Akapitzlist"/>
              <w:numPr>
                <w:ilvl w:val="0"/>
                <w:numId w:val="8"/>
              </w:numPr>
              <w:spacing w:before="0" w:line="240" w:lineRule="auto"/>
              <w:ind w:left="395"/>
              <w:jc w:val="both"/>
              <w:rPr>
                <w:rFonts w:ascii="Calibri" w:hAnsi="Calibri" w:cs="Calibri"/>
              </w:rPr>
            </w:pPr>
            <w:r>
              <w:rPr>
                <w:rFonts w:ascii="Calibri" w:hAnsi="Calibri" w:cs="Calibri"/>
              </w:rPr>
              <w:t xml:space="preserve">z zasadami określonymi w zał. nr 6 do SZOOP. </w:t>
            </w:r>
          </w:p>
          <w:p w:rsidR="005A17EF" w:rsidRDefault="005A17EF" w:rsidP="007B2B8D">
            <w:pPr>
              <w:spacing w:after="0" w:line="240" w:lineRule="auto"/>
              <w:jc w:val="both"/>
            </w:pPr>
          </w:p>
          <w:p w:rsidR="005A17EF" w:rsidRDefault="00FD26CA" w:rsidP="007B2B8D">
            <w:pPr>
              <w:spacing w:after="0" w:line="240" w:lineRule="auto"/>
              <w:jc w:val="both"/>
            </w:pPr>
            <w:r>
              <w:t>Początkiem okresu kwalifikowalności wydatków jest 1 stycznia 2014 r. z zastrzeżeniem przepisów dot. pomocy publicznej.</w:t>
            </w:r>
          </w:p>
          <w:p w:rsidR="005A17EF" w:rsidRPr="003B595B" w:rsidRDefault="00FD26CA" w:rsidP="007B2B8D">
            <w:pPr>
              <w:spacing w:after="0" w:line="240" w:lineRule="auto"/>
              <w:jc w:val="both"/>
              <w:rPr>
                <w:b/>
              </w:rPr>
            </w:pPr>
            <w:r w:rsidRPr="003B595B">
              <w:rPr>
                <w:b/>
              </w:rPr>
              <w:t>Najpóźniejszy termin złożenia ostatniego wniosku o płatność:</w:t>
            </w:r>
          </w:p>
          <w:p w:rsidR="005A17EF" w:rsidRPr="003B595B" w:rsidRDefault="00FD26CA" w:rsidP="007B2B8D">
            <w:pPr>
              <w:spacing w:after="0" w:line="240" w:lineRule="auto"/>
              <w:jc w:val="both"/>
              <w:rPr>
                <w:b/>
              </w:rPr>
            </w:pPr>
            <w:r w:rsidRPr="003B595B">
              <w:rPr>
                <w:b/>
              </w:rPr>
              <w:t xml:space="preserve">3.3 A: </w:t>
            </w:r>
            <w:r w:rsidR="009C226D" w:rsidRPr="003B595B">
              <w:rPr>
                <w:b/>
              </w:rPr>
              <w:t>01.</w:t>
            </w:r>
            <w:r w:rsidRPr="003B595B">
              <w:rPr>
                <w:b/>
              </w:rPr>
              <w:t>12.201</w:t>
            </w:r>
            <w:r w:rsidR="00CE2C06" w:rsidRPr="003B595B">
              <w:rPr>
                <w:b/>
              </w:rPr>
              <w:t>8</w:t>
            </w:r>
            <w:r w:rsidRPr="003B595B">
              <w:rPr>
                <w:b/>
              </w:rPr>
              <w:t xml:space="preserve"> r.</w:t>
            </w:r>
          </w:p>
          <w:p w:rsidR="005A17EF" w:rsidRDefault="00FD26CA" w:rsidP="007B2B8D">
            <w:pPr>
              <w:spacing w:after="0" w:line="240" w:lineRule="auto"/>
              <w:jc w:val="both"/>
            </w:pPr>
            <w:r>
              <w:t xml:space="preserve">Zgodnie z art. 37 ust. 3 Ustawy wdrożeniowej nie może zostać wybrany do dofinansowania projekt: </w:t>
            </w:r>
          </w:p>
          <w:p w:rsidR="005A17EF" w:rsidRDefault="00FD26CA" w:rsidP="007B2B8D">
            <w:pPr>
              <w:spacing w:after="0" w:line="240" w:lineRule="auto"/>
              <w:jc w:val="both"/>
            </w:pPr>
            <w:r>
              <w:t xml:space="preserve">1) którego wnioskodawca został wykluczony z możliwości otrzymania dofinansowania, </w:t>
            </w:r>
          </w:p>
          <w:p w:rsidR="005A17EF" w:rsidRDefault="00FD26CA" w:rsidP="007B2B8D">
            <w:pPr>
              <w:spacing w:after="0" w:line="240" w:lineRule="auto"/>
              <w:jc w:val="both"/>
            </w:pPr>
            <w:r>
              <w:t>2) został fizycznie ukończony lub w pełni zrealizowany przez złożeniem wniosku o dofinansowanie, niezależnie od tego czy wszystkie powiązane płatności zostały dokonane przez beneficjenta.</w:t>
            </w:r>
          </w:p>
          <w:p w:rsidR="005A17EF" w:rsidRDefault="00FD26CA" w:rsidP="007B2B8D">
            <w:pPr>
              <w:spacing w:after="0" w:line="240" w:lineRule="auto"/>
              <w:jc w:val="both"/>
            </w:pPr>
            <w:r>
              <w:t>Zgodnie z art. 3 ust. 3 lit. d rozporządzenia nr 1301/2013 EFRR nie wspiera przedsiębiorstw w trudnej sytuacji w rozumieniu unijnych przepisów dotyczących pomocy publicznej. Pojęcie „przedsiębiorstwa znajdującego się w trudnej sytuacji” zostało wyjaśnione w pkt 20 Wytycznych dotyczących pomocy państwa na ratowanie i restrukturyzację przedsiębiorstw niefinansowych znajdujących się w trudnej sytuacji. Przedsiębiorstwa znajdujące się w trudnej sytuacji w rozumieniu ww. Wytycznych nie mogą otrzymać dofinansowania z programów operacyjnych.</w:t>
            </w:r>
          </w:p>
        </w:tc>
      </w:tr>
      <w:tr w:rsidR="005A17EF" w:rsidTr="00E86DB9">
        <w:tc>
          <w:tcPr>
            <w:tcW w:w="5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FD26CA" w:rsidP="007B2B8D">
            <w:pPr>
              <w:spacing w:after="0" w:line="240" w:lineRule="auto"/>
              <w:rPr>
                <w:b/>
                <w:bCs/>
              </w:rPr>
            </w:pPr>
            <w:r>
              <w:rPr>
                <w:b/>
                <w:bCs/>
              </w:rPr>
              <w:lastRenderedPageBreak/>
              <w:t>30.</w:t>
            </w:r>
          </w:p>
        </w:tc>
        <w:tc>
          <w:tcPr>
            <w:tcW w:w="22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FD26CA" w:rsidP="007B2B8D">
            <w:pPr>
              <w:pStyle w:val="Default"/>
              <w:spacing w:line="240" w:lineRule="auto"/>
              <w:rPr>
                <w:b/>
                <w:bCs/>
                <w:color w:val="00000A"/>
                <w:sz w:val="22"/>
                <w:szCs w:val="22"/>
              </w:rPr>
            </w:pPr>
            <w:r>
              <w:rPr>
                <w:b/>
                <w:bCs/>
                <w:color w:val="00000A"/>
                <w:sz w:val="22"/>
                <w:szCs w:val="22"/>
              </w:rPr>
              <w:t>Kwalifikowalność podatku VAT:</w:t>
            </w:r>
          </w:p>
        </w:tc>
        <w:tc>
          <w:tcPr>
            <w:tcW w:w="68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FD26CA" w:rsidP="007B2B8D">
            <w:pPr>
              <w:spacing w:after="0" w:line="240" w:lineRule="auto"/>
              <w:jc w:val="both"/>
            </w:pPr>
            <w:r>
              <w:t>Wydatki w ramach projektu mogą obejmować koszt podatku od towarów i usług (VAT). Wydatki te zostaną uznane za kwalifikowalne tylko wtedy, gdy Wnioskodawca nie ma prawnej możliwości ich odzyskania.</w:t>
            </w:r>
          </w:p>
          <w:p w:rsidR="005A17EF" w:rsidRDefault="00FD26CA" w:rsidP="007B2B8D">
            <w:pPr>
              <w:spacing w:after="0" w:line="240" w:lineRule="auto"/>
              <w:jc w:val="both"/>
            </w:pPr>
            <w:r>
              <w:t>Oznacza to, iż zapłacony VAT może być uznany za wydatek kwalifikowalny wyłącznie wówczas, gdy Wnioskodawcy, zgodnie z obowiązującym ustawodawstwem krajowym, nie przysługuje prawo (czyli Wnioskodawca nie ma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niepodjęcie przez Wnioskodawcę czynności zmierzających do realizacji tego prawa.</w:t>
            </w:r>
          </w:p>
          <w:p w:rsidR="005A17EF" w:rsidRDefault="00FD26CA" w:rsidP="007B2B8D">
            <w:pPr>
              <w:spacing w:after="0" w:line="240" w:lineRule="auto"/>
              <w:jc w:val="both"/>
            </w:pPr>
            <w:r>
              <w:t>Wnioskodawca, który uzna VAT za wydatek kwalifikowalny jest zobowiązany do przedstawienia w treści wniosku o dofinansowanie szczegółowego uzasadnienia zawierającego podstawę prawną wskazującą na brak możliwości obniżenia VAT należnego o VAT naliczony zarówno na dzień sporządzania wniosku o dofinansowanie, jak również mając na uwadze planowany sposób wykorzystania w przyszłości (w okresie realizacji projektu oraz w okresie trwałości projektu) majątku wytworzonego w związku z realizacją projektu.</w:t>
            </w:r>
          </w:p>
          <w:p w:rsidR="005A17EF" w:rsidRDefault="00FD26CA" w:rsidP="007B2B8D">
            <w:pPr>
              <w:spacing w:after="0" w:line="240" w:lineRule="auto"/>
              <w:jc w:val="both"/>
            </w:pPr>
            <w:r>
              <w:t xml:space="preserve">Na etapie podpisywania umowy o dofinansowanie projektu Wnioskodawca (oraz każdy z partnerów) składa oświadczenie o kwalifikowalności podatku VAT w ramach realizowanego projektu oraz zobowiązuje się do zwrotu zrefundowanej części poniesionego podatku VAT, jeżeli zaistnieją przesłanki umożliwiające odzyskanie tego podatku </w:t>
            </w:r>
            <w:r>
              <w:lastRenderedPageBreak/>
              <w:t>przez Wnioskodawcę lub partnerów.</w:t>
            </w:r>
          </w:p>
        </w:tc>
      </w:tr>
      <w:tr w:rsidR="00E86DB9" w:rsidTr="00E86DB9">
        <w:tc>
          <w:tcPr>
            <w:tcW w:w="5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86DB9" w:rsidRDefault="00E86DB9" w:rsidP="007B2B8D">
            <w:pPr>
              <w:spacing w:after="0" w:line="240" w:lineRule="auto"/>
              <w:rPr>
                <w:b/>
                <w:bCs/>
              </w:rPr>
            </w:pPr>
            <w:r>
              <w:rPr>
                <w:b/>
                <w:bCs/>
              </w:rPr>
              <w:lastRenderedPageBreak/>
              <w:t>31.</w:t>
            </w:r>
          </w:p>
        </w:tc>
        <w:tc>
          <w:tcPr>
            <w:tcW w:w="22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86DB9" w:rsidRDefault="00E86DB9" w:rsidP="007B2B8D">
            <w:pPr>
              <w:pStyle w:val="Default"/>
              <w:spacing w:line="240" w:lineRule="auto"/>
              <w:rPr>
                <w:b/>
                <w:bCs/>
                <w:color w:val="00000A"/>
                <w:sz w:val="22"/>
                <w:szCs w:val="22"/>
              </w:rPr>
            </w:pPr>
            <w:r>
              <w:rPr>
                <w:b/>
                <w:bCs/>
                <w:color w:val="00000A"/>
                <w:sz w:val="22"/>
                <w:szCs w:val="22"/>
              </w:rPr>
              <w:t>Polityka ochrony środowiska:</w:t>
            </w:r>
          </w:p>
        </w:tc>
        <w:tc>
          <w:tcPr>
            <w:tcW w:w="68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E86DB9" w:rsidRPr="00E86DB9" w:rsidRDefault="00E86DB9" w:rsidP="0037174E">
            <w:pPr>
              <w:spacing w:after="120" w:line="240" w:lineRule="auto"/>
              <w:jc w:val="both"/>
              <w:rPr>
                <w:rFonts w:asciiTheme="minorHAnsi" w:hAnsiTheme="minorHAnsi"/>
                <w:u w:val="single"/>
              </w:rPr>
            </w:pPr>
            <w:r w:rsidRPr="00E86DB9">
              <w:rPr>
                <w:rFonts w:asciiTheme="minorHAnsi" w:hAnsiTheme="minorHAnsi"/>
                <w:u w:val="single"/>
              </w:rPr>
              <w:t>Do wniosku o dofinansowanie realizacji Projektu należy dołączyć:</w:t>
            </w:r>
          </w:p>
          <w:p w:rsidR="00E86DB9" w:rsidRPr="00E86DB9" w:rsidRDefault="00E86DB9" w:rsidP="0037174E">
            <w:pPr>
              <w:pStyle w:val="Akapitzlist"/>
              <w:numPr>
                <w:ilvl w:val="0"/>
                <w:numId w:val="31"/>
              </w:numPr>
              <w:suppressAutoHyphens w:val="0"/>
              <w:autoSpaceDE w:val="0"/>
              <w:autoSpaceDN w:val="0"/>
              <w:adjustRightInd w:val="0"/>
              <w:spacing w:before="0" w:line="240" w:lineRule="auto"/>
              <w:contextualSpacing/>
              <w:jc w:val="both"/>
              <w:rPr>
                <w:rFonts w:asciiTheme="minorHAnsi" w:hAnsiTheme="minorHAnsi"/>
              </w:rPr>
            </w:pPr>
            <w:r w:rsidRPr="00E86DB9">
              <w:rPr>
                <w:rFonts w:asciiTheme="minorHAnsi" w:hAnsiTheme="minorHAnsi"/>
              </w:rPr>
              <w:t xml:space="preserve">Oświadczenie „Analiza oddziaływania na środowisko, z uwzględnieniem potrzeb dotyczących przystosowania się do zmiany klimatu i łagodzenia zmiany klimatu, a także odporności na klęski żywiołowe”. </w:t>
            </w:r>
          </w:p>
          <w:p w:rsidR="00E86DB9" w:rsidRPr="00E86DB9" w:rsidRDefault="00E86DB9" w:rsidP="0037174E">
            <w:pPr>
              <w:pStyle w:val="Akapitzlist"/>
              <w:spacing w:line="240" w:lineRule="auto"/>
              <w:ind w:left="360"/>
              <w:rPr>
                <w:rFonts w:asciiTheme="minorHAnsi" w:hAnsiTheme="minorHAnsi"/>
              </w:rPr>
            </w:pPr>
          </w:p>
          <w:p w:rsidR="00E86DB9" w:rsidRPr="00E86DB9" w:rsidRDefault="00E86DB9" w:rsidP="0037174E">
            <w:pPr>
              <w:spacing w:after="120" w:line="240" w:lineRule="auto"/>
              <w:jc w:val="both"/>
              <w:rPr>
                <w:rFonts w:asciiTheme="minorHAnsi" w:eastAsia="Times New Roman" w:hAnsiTheme="minorHAnsi" w:cs="Arial"/>
                <w:lang w:eastAsia="pl-PL"/>
              </w:rPr>
            </w:pPr>
            <w:r w:rsidRPr="00E86DB9">
              <w:rPr>
                <w:rFonts w:asciiTheme="minorHAnsi" w:hAnsiTheme="minorHAnsi"/>
              </w:rPr>
              <w:t xml:space="preserve">Załącznik dotyczy </w:t>
            </w:r>
            <w:r w:rsidRPr="00E86DB9">
              <w:rPr>
                <w:rFonts w:asciiTheme="minorHAnsi" w:eastAsia="Times New Roman" w:hAnsiTheme="minorHAnsi" w:cs="Arial"/>
                <w:lang w:eastAsia="pl-PL"/>
              </w:rPr>
              <w:t xml:space="preserve">przedsięwzięć, tj. </w:t>
            </w:r>
            <w:r w:rsidRPr="00E86DB9">
              <w:rPr>
                <w:rFonts w:asciiTheme="minorHAnsi" w:hAnsiTheme="minorHAnsi"/>
              </w:rPr>
              <w:t>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r w:rsidRPr="00E86DB9">
              <w:rPr>
                <w:rFonts w:asciiTheme="minorHAnsi" w:eastAsia="Times New Roman" w:hAnsiTheme="minorHAnsi" w:cs="Arial"/>
                <w:lang w:eastAsia="pl-PL"/>
              </w:rPr>
              <w:t xml:space="preserve"> (zgodnie z ustawą z dnia 3 października 2008 r.  o udostępnianiu informacji o środowisku i jego ochronie, udziale społeczeństwa w ochronie środowiska oraz o ocenach oddziaływania na środowisko).</w:t>
            </w:r>
          </w:p>
          <w:p w:rsidR="00E86DB9" w:rsidRPr="00E86DB9" w:rsidRDefault="00E86DB9" w:rsidP="0037174E">
            <w:pPr>
              <w:spacing w:after="0" w:line="240" w:lineRule="auto"/>
              <w:jc w:val="both"/>
              <w:rPr>
                <w:rFonts w:asciiTheme="minorHAnsi" w:hAnsiTheme="minorHAnsi"/>
              </w:rPr>
            </w:pPr>
            <w:r w:rsidRPr="00E86DB9">
              <w:rPr>
                <w:rFonts w:asciiTheme="minorHAnsi" w:hAnsiTheme="minorHAnsi"/>
              </w:rPr>
              <w:t xml:space="preserve">W przypadku przedsięwzięć objętych </w:t>
            </w:r>
            <w:r w:rsidRPr="00E86DB9">
              <w:rPr>
                <w:rFonts w:asciiTheme="minorHAnsi" w:eastAsia="Times New Roman" w:hAnsiTheme="minorHAnsi"/>
                <w:bCs/>
                <w:lang w:eastAsia="pl-PL"/>
              </w:rPr>
              <w:t xml:space="preserve">Rozporządzeniem Rady Ministrów </w:t>
            </w:r>
            <w:r w:rsidRPr="00E86DB9">
              <w:rPr>
                <w:rFonts w:asciiTheme="minorHAnsi" w:eastAsia="Times New Roman" w:hAnsiTheme="minorHAnsi"/>
                <w:lang w:eastAsia="pl-PL"/>
              </w:rPr>
              <w:t xml:space="preserve">z dnia 9 listopada 2010 r. </w:t>
            </w:r>
            <w:r w:rsidRPr="00E86DB9">
              <w:rPr>
                <w:rFonts w:asciiTheme="minorHAnsi" w:eastAsia="Times New Roman" w:hAnsiTheme="minorHAnsi"/>
                <w:bCs/>
                <w:lang w:eastAsia="pl-PL"/>
              </w:rPr>
              <w:t>w sprawie przedsięwzięć mogących znacząco oddziaływać na środowisko (</w:t>
            </w:r>
            <w:r w:rsidRPr="00E86DB9">
              <w:rPr>
                <w:rFonts w:asciiTheme="minorHAnsi" w:hAnsiTheme="minorHAnsi"/>
                <w:bCs/>
              </w:rPr>
              <w:t>Dz.U. z 2016 poz. 71</w:t>
            </w:r>
            <w:r w:rsidRPr="00E86DB9">
              <w:rPr>
                <w:rFonts w:asciiTheme="minorHAnsi" w:eastAsia="Times New Roman" w:hAnsiTheme="minorHAnsi"/>
                <w:bCs/>
                <w:lang w:eastAsia="pl-PL"/>
              </w:rPr>
              <w:t xml:space="preserve">) </w:t>
            </w:r>
            <w:r w:rsidRPr="00E86DB9">
              <w:rPr>
                <w:rFonts w:asciiTheme="minorHAnsi" w:hAnsiTheme="minorHAnsi"/>
              </w:rPr>
              <w:t xml:space="preserve">- konieczne jest przedłożenie dokumentacji środowiskowej zgodnie z Wytycznymi Ministerstwa Infrastruktury i Rozwoju w zakresie dokumentowania postępowania w sprawie oceny oddziaływania na środowisko dla przedsięwzięć współfinansowanych z krajowych lub regionalnych programów operacyjnych zamieszczonych na stronie: </w:t>
            </w:r>
          </w:p>
          <w:p w:rsidR="00E86DB9" w:rsidRPr="00E86DB9" w:rsidRDefault="0094134E" w:rsidP="0037174E">
            <w:pPr>
              <w:spacing w:after="120" w:line="240" w:lineRule="auto"/>
              <w:jc w:val="both"/>
              <w:rPr>
                <w:rFonts w:asciiTheme="minorHAnsi" w:hAnsiTheme="minorHAnsi"/>
              </w:rPr>
            </w:pPr>
            <w:hyperlink r:id="rId24" w:history="1">
              <w:r w:rsidR="00E86DB9" w:rsidRPr="00E86DB9">
                <w:rPr>
                  <w:rStyle w:val="Hipercze"/>
                  <w:rFonts w:asciiTheme="minorHAnsi" w:hAnsiTheme="minorHAnsi"/>
                </w:rPr>
                <w:t>www.funduszeeuropejskie.gov.pl</w:t>
              </w:r>
            </w:hyperlink>
            <w:r w:rsidR="00E86DB9" w:rsidRPr="00E86DB9">
              <w:rPr>
                <w:rFonts w:asciiTheme="minorHAnsi" w:hAnsiTheme="minorHAnsi"/>
              </w:rPr>
              <w:t>.</w:t>
            </w:r>
          </w:p>
          <w:p w:rsidR="00E86DB9" w:rsidRPr="00E86DB9" w:rsidRDefault="00E86DB9" w:rsidP="0037174E">
            <w:pPr>
              <w:spacing w:after="120" w:line="240" w:lineRule="auto"/>
              <w:jc w:val="both"/>
              <w:rPr>
                <w:rFonts w:asciiTheme="minorHAnsi" w:hAnsiTheme="minorHAnsi"/>
              </w:rPr>
            </w:pPr>
            <w:r w:rsidRPr="00E86DB9">
              <w:rPr>
                <w:rFonts w:asciiTheme="minorHAnsi" w:hAnsiTheme="minorHAnsi"/>
              </w:rPr>
              <w:t>Ponadto w przypadku inwestycji o charakterze nieinfrastrukturalnym np. zakup sprzętu, urządzeń, taboru lub tzw. projektów „miękkich” np. szkolenia, kampania edukacyjna, dołączenie załącznika nie jest konieczne.</w:t>
            </w:r>
          </w:p>
          <w:p w:rsidR="00E86DB9" w:rsidRPr="00E86DB9" w:rsidRDefault="00E86DB9" w:rsidP="0037174E">
            <w:pPr>
              <w:spacing w:after="120" w:line="240" w:lineRule="auto"/>
              <w:jc w:val="both"/>
              <w:rPr>
                <w:rFonts w:asciiTheme="minorHAnsi" w:hAnsiTheme="minorHAnsi"/>
              </w:rPr>
            </w:pPr>
          </w:p>
          <w:p w:rsidR="00E86DB9" w:rsidRPr="00E86DB9" w:rsidRDefault="00E86DB9" w:rsidP="0037174E">
            <w:pPr>
              <w:pStyle w:val="Akapitzlist"/>
              <w:numPr>
                <w:ilvl w:val="0"/>
                <w:numId w:val="31"/>
              </w:numPr>
              <w:suppressAutoHyphens w:val="0"/>
              <w:autoSpaceDE w:val="0"/>
              <w:autoSpaceDN w:val="0"/>
              <w:adjustRightInd w:val="0"/>
              <w:spacing w:before="0" w:line="240" w:lineRule="auto"/>
              <w:contextualSpacing/>
              <w:jc w:val="both"/>
              <w:rPr>
                <w:rFonts w:asciiTheme="minorHAnsi" w:hAnsiTheme="minorHAnsi"/>
              </w:rPr>
            </w:pPr>
            <w:r w:rsidRPr="00E86DB9">
              <w:rPr>
                <w:rFonts w:asciiTheme="minorHAnsi" w:hAnsiTheme="minorHAnsi"/>
              </w:rPr>
              <w:t>Deklaracja organu odpowiedzialnego za monitorowanie obszarów Natura 2000.</w:t>
            </w:r>
          </w:p>
          <w:p w:rsidR="00E86DB9" w:rsidRPr="00E86DB9" w:rsidRDefault="00E86DB9" w:rsidP="0037174E">
            <w:pPr>
              <w:pStyle w:val="Akapitzlist"/>
              <w:spacing w:line="240" w:lineRule="auto"/>
              <w:ind w:left="360"/>
              <w:rPr>
                <w:rFonts w:asciiTheme="minorHAnsi" w:hAnsiTheme="minorHAnsi"/>
              </w:rPr>
            </w:pPr>
          </w:p>
          <w:p w:rsidR="00E86DB9" w:rsidRPr="00E86DB9" w:rsidRDefault="00E86DB9" w:rsidP="0037174E">
            <w:pPr>
              <w:spacing w:after="120" w:line="240" w:lineRule="auto"/>
              <w:jc w:val="both"/>
              <w:rPr>
                <w:rFonts w:asciiTheme="minorHAnsi" w:hAnsiTheme="minorHAnsi"/>
              </w:rPr>
            </w:pPr>
            <w:r w:rsidRPr="00E86DB9">
              <w:rPr>
                <w:rFonts w:asciiTheme="minorHAnsi" w:hAnsiTheme="minorHAnsi"/>
              </w:rPr>
              <w:t xml:space="preserve">Załącznik dotyczy </w:t>
            </w:r>
            <w:r w:rsidRPr="00E86DB9">
              <w:rPr>
                <w:rFonts w:asciiTheme="minorHAnsi" w:eastAsia="Times New Roman" w:hAnsiTheme="minorHAnsi" w:cs="Arial"/>
                <w:lang w:eastAsia="pl-PL"/>
              </w:rPr>
              <w:t xml:space="preserve">przedsięwzięć, tj. </w:t>
            </w:r>
            <w:r w:rsidRPr="00E86DB9">
              <w:rPr>
                <w:rFonts w:asciiTheme="minorHAnsi" w:hAnsiTheme="minorHAnsi"/>
              </w:rPr>
              <w:t>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r w:rsidRPr="00E86DB9">
              <w:rPr>
                <w:rFonts w:asciiTheme="minorHAnsi" w:eastAsia="Times New Roman" w:hAnsiTheme="minorHAnsi" w:cs="Arial"/>
                <w:lang w:eastAsia="pl-PL"/>
              </w:rPr>
              <w:t xml:space="preserve"> (zgodnie z ustawą z dnia 3 października 2008 r.  o udostępnianiu informacji o środowisku i jego ochronie, udziale społeczeństwa w ochronie środowiska oraz o ocenach oddziaływania na środowisko),</w:t>
            </w:r>
            <w:r w:rsidRPr="00E86DB9">
              <w:rPr>
                <w:rFonts w:asciiTheme="minorHAnsi" w:hAnsiTheme="minorHAnsi"/>
              </w:rPr>
              <w:t xml:space="preserve"> nie zakwalifikowanych do przedsięwzięć mogących znacząco oddziaływać na środowisko (zgodnie z  rozporządzeniem Rady Ministrów z dnia 9 listopada 2010 r. w sprawie przedsięwzięć mogących znacząco oddziaływać na środowisko) i/lub dla których przeprowadzono ocenę oddziaływania przedsięwzięcia na obszar Natura 2000 (informacje w tym zakresie znajdują się w uzasadnieniu decyzji środowiskowej). </w:t>
            </w:r>
          </w:p>
          <w:p w:rsidR="00E86DB9" w:rsidRPr="00E86DB9" w:rsidRDefault="00E86DB9" w:rsidP="0037174E">
            <w:pPr>
              <w:spacing w:after="120" w:line="240" w:lineRule="auto"/>
              <w:jc w:val="both"/>
              <w:rPr>
                <w:rFonts w:asciiTheme="minorHAnsi" w:hAnsiTheme="minorHAnsi"/>
              </w:rPr>
            </w:pPr>
            <w:r w:rsidRPr="00E86DB9">
              <w:rPr>
                <w:rFonts w:asciiTheme="minorHAnsi" w:hAnsiTheme="minorHAnsi"/>
              </w:rPr>
              <w:t xml:space="preserve">W przypadku inwestycji o charakterze nieinfrastrukturalnym np. zakup </w:t>
            </w:r>
            <w:r w:rsidRPr="00E86DB9">
              <w:rPr>
                <w:rFonts w:asciiTheme="minorHAnsi" w:hAnsiTheme="minorHAnsi"/>
              </w:rPr>
              <w:lastRenderedPageBreak/>
              <w:t>sprzętu, urządzeń, taboru lub tzw. projektów „miękkich” np. szkolenia, kampania edukacyjna, dołączenie załącznika nie jest konieczne.</w:t>
            </w:r>
          </w:p>
          <w:p w:rsidR="00E86DB9" w:rsidRPr="00E86DB9" w:rsidRDefault="00E86DB9" w:rsidP="0037174E">
            <w:pPr>
              <w:spacing w:line="240" w:lineRule="auto"/>
              <w:ind w:left="360"/>
              <w:rPr>
                <w:rFonts w:asciiTheme="minorHAnsi" w:hAnsiTheme="minorHAnsi"/>
                <w:sz w:val="2"/>
                <w:szCs w:val="2"/>
              </w:rPr>
            </w:pPr>
          </w:p>
          <w:p w:rsidR="00E86DB9" w:rsidRPr="00E86DB9" w:rsidRDefault="00E86DB9" w:rsidP="0037174E">
            <w:pPr>
              <w:pStyle w:val="Akapitzlist"/>
              <w:numPr>
                <w:ilvl w:val="0"/>
                <w:numId w:val="31"/>
              </w:numPr>
              <w:suppressAutoHyphens w:val="0"/>
              <w:autoSpaceDE w:val="0"/>
              <w:autoSpaceDN w:val="0"/>
              <w:adjustRightInd w:val="0"/>
              <w:spacing w:before="0" w:line="240" w:lineRule="auto"/>
              <w:contextualSpacing/>
              <w:jc w:val="both"/>
              <w:rPr>
                <w:rFonts w:asciiTheme="minorHAnsi" w:hAnsiTheme="minorHAnsi"/>
              </w:rPr>
            </w:pPr>
            <w:r w:rsidRPr="00E86DB9">
              <w:rPr>
                <w:rFonts w:asciiTheme="minorHAnsi" w:hAnsiTheme="minorHAnsi"/>
              </w:rPr>
              <w:t xml:space="preserve">Deklaracja właściwego organu odpowiedzialnego za gospodarkę wodną. </w:t>
            </w:r>
          </w:p>
          <w:p w:rsidR="00E86DB9" w:rsidRPr="00E86DB9" w:rsidRDefault="00E86DB9" w:rsidP="0037174E">
            <w:pPr>
              <w:spacing w:line="240" w:lineRule="auto"/>
              <w:jc w:val="both"/>
              <w:rPr>
                <w:rFonts w:asciiTheme="minorHAnsi" w:hAnsiTheme="minorHAnsi"/>
              </w:rPr>
            </w:pPr>
            <w:r w:rsidRPr="00E86DB9">
              <w:rPr>
                <w:rFonts w:asciiTheme="minorHAnsi" w:hAnsiTheme="minorHAnsi"/>
              </w:rPr>
              <w:t xml:space="preserve">Załącznik dotyczy </w:t>
            </w:r>
            <w:r w:rsidRPr="00E86DB9">
              <w:rPr>
                <w:rFonts w:asciiTheme="minorHAnsi" w:eastAsia="Times New Roman" w:hAnsiTheme="minorHAnsi" w:cs="Arial"/>
                <w:lang w:eastAsia="pl-PL"/>
              </w:rPr>
              <w:t xml:space="preserve">przedsięwzięć, tj. </w:t>
            </w:r>
            <w:r w:rsidRPr="00E86DB9">
              <w:rPr>
                <w:rFonts w:asciiTheme="minorHAnsi" w:hAnsiTheme="minorHAnsi"/>
              </w:rPr>
              <w:t>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r w:rsidRPr="00E86DB9">
              <w:rPr>
                <w:rFonts w:asciiTheme="minorHAnsi" w:eastAsia="Times New Roman" w:hAnsiTheme="minorHAnsi" w:cs="Arial"/>
                <w:lang w:eastAsia="pl-PL"/>
              </w:rPr>
              <w:t xml:space="preserve"> (zgodnie z ustawą z dnia 3 października 2008 r.  o udostępnianiu informacji o środowisku i jego ochronie, udziale społeczeństwa w ochronie środowiska oraz o ocenach oddziaływania na środowisko),</w:t>
            </w:r>
            <w:r w:rsidRPr="00E86DB9">
              <w:rPr>
                <w:rFonts w:asciiTheme="minorHAnsi" w:hAnsiTheme="minorHAnsi"/>
              </w:rPr>
              <w:t xml:space="preserve"> </w:t>
            </w:r>
            <w:r w:rsidRPr="00E86DB9">
              <w:rPr>
                <w:rFonts w:asciiTheme="minorHAnsi" w:hAnsiTheme="minorHAnsi" w:cs="Arial"/>
              </w:rPr>
              <w:t xml:space="preserve">sklasyfikowanych wg pkt 5.1 do kategorii B Oświadczenia „Analiza </w:t>
            </w:r>
            <w:r w:rsidRPr="00E86DB9">
              <w:rPr>
                <w:rFonts w:asciiTheme="minorHAnsi" w:hAnsiTheme="minorHAnsi"/>
                <w:bCs/>
                <w:kern w:val="3"/>
              </w:rPr>
              <w:t>oddziaływania na środowisko, z uwzględnieniem potrzeb dotyczących przystosowania się do zmiany klimatu i łagodzenia zmiany klimatu, a także odporności na klęski żywiołowe”</w:t>
            </w:r>
            <w:r w:rsidRPr="00E86DB9">
              <w:rPr>
                <w:rFonts w:asciiTheme="minorHAnsi" w:hAnsiTheme="minorHAnsi"/>
              </w:rPr>
              <w:t>.</w:t>
            </w:r>
          </w:p>
        </w:tc>
      </w:tr>
      <w:tr w:rsidR="005A17EF" w:rsidTr="00E86DB9">
        <w:tc>
          <w:tcPr>
            <w:tcW w:w="5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FD26CA" w:rsidP="007B2B8D">
            <w:pPr>
              <w:spacing w:after="0" w:line="240" w:lineRule="auto"/>
              <w:rPr>
                <w:b/>
                <w:bCs/>
              </w:rPr>
            </w:pPr>
            <w:r>
              <w:rPr>
                <w:b/>
                <w:bCs/>
              </w:rPr>
              <w:lastRenderedPageBreak/>
              <w:t>32.</w:t>
            </w:r>
          </w:p>
        </w:tc>
        <w:tc>
          <w:tcPr>
            <w:tcW w:w="22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FD26CA" w:rsidP="007B2B8D">
            <w:pPr>
              <w:pStyle w:val="Default"/>
              <w:spacing w:line="240" w:lineRule="auto"/>
              <w:rPr>
                <w:b/>
                <w:bCs/>
                <w:color w:val="00000A"/>
                <w:sz w:val="22"/>
                <w:szCs w:val="22"/>
              </w:rPr>
            </w:pPr>
            <w:r>
              <w:rPr>
                <w:b/>
                <w:bCs/>
                <w:color w:val="00000A"/>
                <w:sz w:val="22"/>
                <w:szCs w:val="22"/>
              </w:rPr>
              <w:t>Wymagania w zakresie realizacji projektu partnerskiego</w:t>
            </w:r>
          </w:p>
        </w:tc>
        <w:tc>
          <w:tcPr>
            <w:tcW w:w="68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FD26CA" w:rsidP="007B2B8D">
            <w:pPr>
              <w:spacing w:after="0" w:line="240" w:lineRule="auto"/>
              <w:jc w:val="both"/>
            </w:pPr>
            <w:r>
              <w:t xml:space="preserve">Projekt może być realizowany w partnerstwie. Partnerzy w projekcie to podmioty wnoszące do projektu zasoby ludzkie, organizacyjne, techniczne lub finansowe, realizujące wspólnie projekt. </w:t>
            </w:r>
          </w:p>
          <w:p w:rsidR="005A17EF" w:rsidRDefault="00FD26CA" w:rsidP="007B2B8D">
            <w:pPr>
              <w:spacing w:before="240" w:line="240" w:lineRule="auto"/>
              <w:jc w:val="both"/>
            </w:pPr>
            <w:r>
              <w:t>Partnerem w projekcie może być tylko podmiot wymieniony w katalogu beneficjentów obowiązującym dla danego naboru (patrz pkt 5).</w:t>
            </w:r>
          </w:p>
          <w:p w:rsidR="005A17EF" w:rsidRDefault="00FD26CA" w:rsidP="007B2B8D">
            <w:pPr>
              <w:spacing w:line="240" w:lineRule="auto"/>
              <w:jc w:val="both"/>
            </w:pPr>
            <w:r>
              <w:t xml:space="preserve">Beneficjent projektu, będący stroną umowy o dofinansowanie, pełni rolę partnera wiodącego. Niezależnie od podziału zadań i obowiązków w ramach partnerstwa, odpowiedzialność za prawidłową realizację projektu ponosi Beneficjent jako strona umowy o dofinansowanie. </w:t>
            </w:r>
          </w:p>
          <w:p w:rsidR="005A17EF" w:rsidRDefault="00FD26CA" w:rsidP="007B2B8D">
            <w:pPr>
              <w:spacing w:line="240" w:lineRule="auto"/>
              <w:jc w:val="both"/>
            </w:pPr>
            <w:r>
              <w:t xml:space="preserve">Dla przejrzystości finansowej w projekcie w przypadku przepływów finansowych między partnerami wymagane jest utworzenie odrębnych rachunków bankowych poszczególnych członków partnerstwa. </w:t>
            </w:r>
          </w:p>
          <w:p w:rsidR="005A17EF" w:rsidRDefault="00FD26CA" w:rsidP="007B2B8D">
            <w:pPr>
              <w:spacing w:after="0" w:line="240" w:lineRule="auto"/>
              <w:jc w:val="both"/>
            </w:pPr>
            <w:r>
              <w:t>Projekt partnerski jest realizowany na podstawie decyzji lub umowy o dofinansowanie projektu zawartej z Beneficjentem (partnerem wiodącym) działającym w imieniu i na rzecz partnerów w zakresie określonym umową partnerską, Wnioskodawca musi posiadać pełnomocnictwo do podpisania umowy i wniosku o dofinansowanie projektu w imieniu i na rzecz partnerów.</w:t>
            </w:r>
          </w:p>
          <w:p w:rsidR="005A17EF" w:rsidRDefault="00FD26CA" w:rsidP="007B2B8D">
            <w:pPr>
              <w:spacing w:line="240" w:lineRule="auto"/>
              <w:jc w:val="both"/>
            </w:pPr>
            <w:r>
              <w:t xml:space="preserve">Utworzenie lub zainicjowanie partnerstwa musi nastąpić przed złożeniem wniosku o dofinansowanie. Oznacza to, że partnerstwo musi zostać utworzone albo zainicjowane przed rozpoczęciem realizacji projektu. </w:t>
            </w:r>
          </w:p>
          <w:p w:rsidR="005A17EF" w:rsidRDefault="00FD26CA" w:rsidP="007B2B8D">
            <w:pPr>
              <w:spacing w:after="0" w:line="240" w:lineRule="auto"/>
              <w:jc w:val="both"/>
            </w:pPr>
            <w:r>
              <w:t>Stroną porozumienia oraz umowy o partnerstwie nie może być podmiot wykluczony z możliwości otrzymania dofinansowania.</w:t>
            </w:r>
          </w:p>
          <w:p w:rsidR="005A17EF" w:rsidRDefault="00FD26CA" w:rsidP="007B2B8D">
            <w:pPr>
              <w:spacing w:after="0" w:line="240" w:lineRule="auto"/>
              <w:jc w:val="both"/>
              <w:rPr>
                <w:rFonts w:cs="TimesNewRomanPSMT"/>
              </w:rPr>
            </w:pPr>
            <w:r>
              <w:rPr>
                <w:rFonts w:cs="TimesNewRomanPSMT"/>
              </w:rPr>
              <w:t>Porozumienie oraz umowa o partnerstwie określają w szczególności:</w:t>
            </w:r>
          </w:p>
          <w:p w:rsidR="005A17EF" w:rsidRDefault="00FD26CA" w:rsidP="007B2B8D">
            <w:pPr>
              <w:spacing w:after="0" w:line="240" w:lineRule="auto"/>
              <w:jc w:val="both"/>
              <w:rPr>
                <w:rFonts w:cs="TimesNewRomanPSMT"/>
              </w:rPr>
            </w:pPr>
            <w:r>
              <w:rPr>
                <w:rFonts w:cs="TimesNewRomanPSMT"/>
              </w:rPr>
              <w:t>1) przedmiot porozumienia albo umowy;</w:t>
            </w:r>
          </w:p>
          <w:p w:rsidR="005A17EF" w:rsidRDefault="00FD26CA" w:rsidP="007B2B8D">
            <w:pPr>
              <w:spacing w:after="0" w:line="240" w:lineRule="auto"/>
              <w:jc w:val="both"/>
              <w:rPr>
                <w:rFonts w:cs="TimesNewRomanPSMT"/>
              </w:rPr>
            </w:pPr>
            <w:r>
              <w:rPr>
                <w:rFonts w:cs="TimesNewRomanPSMT"/>
              </w:rPr>
              <w:t>2) prawa i obowiązki stron;</w:t>
            </w:r>
          </w:p>
          <w:p w:rsidR="005A17EF" w:rsidRDefault="00FD26CA" w:rsidP="007B2B8D">
            <w:pPr>
              <w:spacing w:after="0" w:line="240" w:lineRule="auto"/>
              <w:jc w:val="both"/>
              <w:rPr>
                <w:rFonts w:cs="TimesNewRomanPSMT"/>
              </w:rPr>
            </w:pPr>
            <w:r>
              <w:rPr>
                <w:rFonts w:cs="TimesNewRomanPSMT"/>
              </w:rPr>
              <w:t>3) zakres i formę udziału poszczególnych partnerów w projekcie;</w:t>
            </w:r>
          </w:p>
          <w:p w:rsidR="005A17EF" w:rsidRDefault="00FD26CA" w:rsidP="007B2B8D">
            <w:pPr>
              <w:spacing w:after="0" w:line="240" w:lineRule="auto"/>
              <w:jc w:val="both"/>
              <w:rPr>
                <w:rFonts w:cs="TimesNewRomanPSMT"/>
              </w:rPr>
            </w:pPr>
            <w:r>
              <w:rPr>
                <w:rFonts w:cs="TimesNewRomanPSMT"/>
              </w:rPr>
              <w:t xml:space="preserve">4) partnera wiodącego uprawnionego do reprezentowania pozostałych </w:t>
            </w:r>
            <w:r>
              <w:rPr>
                <w:rFonts w:cs="TimesNewRomanPSMT"/>
              </w:rPr>
              <w:lastRenderedPageBreak/>
              <w:t>partnerów projektu;</w:t>
            </w:r>
          </w:p>
          <w:p w:rsidR="005A17EF" w:rsidRDefault="00FD26CA" w:rsidP="007B2B8D">
            <w:pPr>
              <w:spacing w:after="0" w:line="240" w:lineRule="auto"/>
              <w:jc w:val="both"/>
              <w:rPr>
                <w:rFonts w:cs="TimesNewRomanPSMT"/>
              </w:rPr>
            </w:pPr>
            <w:r>
              <w:rPr>
                <w:rFonts w:cs="TimesNewRomanPSMT"/>
              </w:rPr>
              <w:t>5) sposób przekazywania dofinansowania na pokrycie kosztów ponoszonych przez poszczególnych partnerów projektu,</w:t>
            </w:r>
          </w:p>
          <w:p w:rsidR="005A17EF" w:rsidRDefault="00FD26CA" w:rsidP="007B2B8D">
            <w:pPr>
              <w:spacing w:after="0" w:line="240" w:lineRule="auto"/>
              <w:jc w:val="both"/>
              <w:rPr>
                <w:rFonts w:cs="TimesNewRomanPSMT"/>
              </w:rPr>
            </w:pPr>
            <w:r>
              <w:rPr>
                <w:rFonts w:cs="TimesNewRomanPSMT"/>
              </w:rPr>
              <w:t>umożliwiający określenie kwoty dofinansowania udzielonego każdemu z partnerów;</w:t>
            </w:r>
          </w:p>
          <w:p w:rsidR="005A17EF" w:rsidRDefault="00FD26CA" w:rsidP="007B2B8D">
            <w:pPr>
              <w:spacing w:after="0" w:line="240" w:lineRule="auto"/>
              <w:jc w:val="both"/>
              <w:rPr>
                <w:rFonts w:cs="TimesNewRomanPSMT"/>
              </w:rPr>
            </w:pPr>
            <w:r>
              <w:rPr>
                <w:rFonts w:cs="TimesNewRomanPSMT"/>
              </w:rPr>
              <w:t>6) sposób postępowania w przypadku naruszenia lub niewywiązania się stron z porozumienia lub umowy.</w:t>
            </w:r>
          </w:p>
          <w:p w:rsidR="005A17EF" w:rsidRDefault="005A17EF" w:rsidP="007B2B8D">
            <w:pPr>
              <w:spacing w:after="0" w:line="240" w:lineRule="auto"/>
              <w:jc w:val="both"/>
            </w:pPr>
          </w:p>
          <w:p w:rsidR="005A17EF" w:rsidRDefault="00FD26CA" w:rsidP="007B2B8D">
            <w:pPr>
              <w:spacing w:line="240" w:lineRule="auto"/>
              <w:jc w:val="both"/>
            </w:pPr>
            <w:r>
              <w:t>Należy pamiętać, iż zgodnie z art. 33, ust. 6 ustawy wdrożeniowej, porozumienie lub umowa o partnerstwie nie mogą być zawarte pomiędzy podmiotami powiązanymi w rozumieniu załącznika I do rozporządzenia Komisji (UE nr 651/2014 z dnia 17 czerwca 2014 r. uznającego niektóre rodzaje pomocy za zgodne z rynkiem wewnętrznym w zastosowaniu art. 107 i 108 Traktatu (Dz. Urz. UE L 187 z 26.06.2014, str.1).</w:t>
            </w:r>
          </w:p>
          <w:p w:rsidR="005A17EF" w:rsidRDefault="00FD26CA" w:rsidP="007B2B8D">
            <w:pPr>
              <w:spacing w:after="0" w:line="240" w:lineRule="auto"/>
              <w:jc w:val="both"/>
            </w:pPr>
            <w:r>
              <w:t>W przypadku projektów partnerskich realizowanych na podstawie umowy partnerskiej, podmiot, o którym mowa w art. 3 ust. 1 ustawy z dnia 29 stycznia 2004 r. Prawo zamówień publicznych (t.j. Dz. U. z 2010 r. Nr 113, poz. 759, z późn. zm.), ubiegający się o dofinansowanie dokonuje wyboru partnerów spoza sektora finansów publicznych z zachowaniem zasady przejrzystości i równego traktowania podmiotów z zachowaniem zasad określonych w art. 33 ust. 2 ustawy.</w:t>
            </w:r>
          </w:p>
          <w:p w:rsidR="005A17EF" w:rsidRDefault="00FD26CA" w:rsidP="007B2B8D">
            <w:pPr>
              <w:spacing w:before="120" w:after="120" w:line="240" w:lineRule="auto"/>
              <w:jc w:val="both"/>
            </w:pPr>
            <w:r>
              <w:t xml:space="preserve">Wybór partnerów spoza sektora finansów publicznych jest dokonywany przed złożeniem wniosku o dofinansowanie projektu partnerskiego. </w:t>
            </w:r>
          </w:p>
          <w:p w:rsidR="005A17EF" w:rsidRDefault="00FD26CA" w:rsidP="007B2B8D">
            <w:pPr>
              <w:spacing w:after="0" w:line="240" w:lineRule="auto"/>
              <w:jc w:val="both"/>
            </w:pPr>
            <w:r>
              <w:t>Udział partnerów i wniesienie zasobów ludzkich, organizacyjnych, technicznych lub finansowych, a także potencjału społecznego musi być adekwatny do celu projektu.</w:t>
            </w:r>
          </w:p>
        </w:tc>
      </w:tr>
    </w:tbl>
    <w:p w:rsidR="005A17EF" w:rsidRDefault="005A17EF" w:rsidP="007B2B8D">
      <w:pPr>
        <w:pStyle w:val="Default"/>
        <w:spacing w:line="240" w:lineRule="auto"/>
        <w:rPr>
          <w:b/>
          <w:bCs/>
          <w:color w:val="FF0000"/>
          <w:sz w:val="22"/>
          <w:szCs w:val="22"/>
        </w:rPr>
      </w:pPr>
    </w:p>
    <w:p w:rsidR="0037174E" w:rsidRDefault="0037174E" w:rsidP="007B2B8D">
      <w:pPr>
        <w:pStyle w:val="Default"/>
        <w:spacing w:line="240" w:lineRule="auto"/>
        <w:rPr>
          <w:b/>
          <w:bCs/>
          <w:color w:val="00000A"/>
          <w:sz w:val="22"/>
          <w:szCs w:val="22"/>
        </w:rPr>
      </w:pPr>
    </w:p>
    <w:p w:rsidR="005A17EF" w:rsidRDefault="00FD26CA" w:rsidP="007B2B8D">
      <w:pPr>
        <w:pStyle w:val="Default"/>
        <w:spacing w:line="240" w:lineRule="auto"/>
        <w:rPr>
          <w:b/>
          <w:bCs/>
          <w:color w:val="00000A"/>
          <w:sz w:val="22"/>
          <w:szCs w:val="22"/>
        </w:rPr>
      </w:pPr>
      <w:r>
        <w:rPr>
          <w:b/>
          <w:bCs/>
          <w:color w:val="00000A"/>
          <w:sz w:val="22"/>
          <w:szCs w:val="22"/>
        </w:rPr>
        <w:t xml:space="preserve">Załączniki: </w:t>
      </w:r>
    </w:p>
    <w:p w:rsidR="005A17EF" w:rsidRDefault="00FD26CA" w:rsidP="007B2B8D">
      <w:pPr>
        <w:pStyle w:val="Default"/>
        <w:spacing w:after="58" w:line="240" w:lineRule="auto"/>
        <w:jc w:val="both"/>
        <w:rPr>
          <w:color w:val="00000A"/>
          <w:sz w:val="22"/>
          <w:szCs w:val="22"/>
        </w:rPr>
      </w:pPr>
      <w:r>
        <w:rPr>
          <w:color w:val="00000A"/>
          <w:sz w:val="22"/>
          <w:szCs w:val="22"/>
        </w:rPr>
        <w:t xml:space="preserve">Załącznik nr 1 - zakres informacji wymagany na etapie sporządzania wniosku o dofinansowanie wraz ze wskazówkami pomocnymi przy </w:t>
      </w:r>
      <w:r w:rsidR="00A14EC2">
        <w:rPr>
          <w:color w:val="00000A"/>
          <w:sz w:val="22"/>
          <w:szCs w:val="22"/>
        </w:rPr>
        <w:t>wypełniani</w:t>
      </w:r>
      <w:r w:rsidR="00773226">
        <w:rPr>
          <w:color w:val="00000A"/>
          <w:sz w:val="22"/>
          <w:szCs w:val="22"/>
        </w:rPr>
        <w:t>u</w:t>
      </w:r>
      <w:r w:rsidR="00A14EC2">
        <w:rPr>
          <w:color w:val="00000A"/>
          <w:sz w:val="22"/>
          <w:szCs w:val="22"/>
        </w:rPr>
        <w:t xml:space="preserve"> wniosku </w:t>
      </w:r>
      <w:r>
        <w:rPr>
          <w:color w:val="00000A"/>
          <w:sz w:val="22"/>
          <w:szCs w:val="22"/>
        </w:rPr>
        <w:t xml:space="preserve">(EFRR). </w:t>
      </w:r>
    </w:p>
    <w:p w:rsidR="005A17EF" w:rsidRDefault="00FD26CA" w:rsidP="007B2B8D">
      <w:pPr>
        <w:pStyle w:val="Default"/>
        <w:spacing w:after="58" w:line="240" w:lineRule="auto"/>
        <w:rPr>
          <w:color w:val="00000A"/>
          <w:sz w:val="22"/>
          <w:szCs w:val="22"/>
        </w:rPr>
      </w:pPr>
      <w:r>
        <w:rPr>
          <w:color w:val="00000A"/>
          <w:sz w:val="22"/>
          <w:szCs w:val="22"/>
        </w:rPr>
        <w:t xml:space="preserve">Załącznik nr 2 - wzór umowy o dofinansowanie projektu (EFRR). </w:t>
      </w:r>
    </w:p>
    <w:p w:rsidR="00256B71" w:rsidRDefault="00256B71" w:rsidP="007B2B8D">
      <w:pPr>
        <w:pStyle w:val="Default"/>
        <w:spacing w:after="58" w:line="240" w:lineRule="auto"/>
        <w:rPr>
          <w:color w:val="00000A"/>
          <w:sz w:val="22"/>
          <w:szCs w:val="22"/>
        </w:rPr>
      </w:pPr>
      <w:r>
        <w:rPr>
          <w:color w:val="00000A"/>
          <w:sz w:val="22"/>
          <w:szCs w:val="22"/>
        </w:rPr>
        <w:t>Załącznik nr 3 – wzór decyzji o dofinansowanie projektu (EFRR)</w:t>
      </w:r>
    </w:p>
    <w:p w:rsidR="005A17EF" w:rsidRDefault="00FD26CA" w:rsidP="007B2B8D">
      <w:pPr>
        <w:pStyle w:val="Default"/>
        <w:spacing w:after="58" w:line="240" w:lineRule="auto"/>
        <w:jc w:val="both"/>
        <w:rPr>
          <w:color w:val="00000A"/>
          <w:sz w:val="22"/>
          <w:szCs w:val="22"/>
        </w:rPr>
      </w:pPr>
      <w:r>
        <w:rPr>
          <w:color w:val="00000A"/>
          <w:sz w:val="22"/>
          <w:szCs w:val="22"/>
        </w:rPr>
        <w:t xml:space="preserve">Załącznik nr </w:t>
      </w:r>
      <w:r w:rsidR="00256B71">
        <w:rPr>
          <w:color w:val="00000A"/>
          <w:sz w:val="22"/>
          <w:szCs w:val="22"/>
        </w:rPr>
        <w:t>4</w:t>
      </w:r>
      <w:r>
        <w:rPr>
          <w:color w:val="00000A"/>
          <w:sz w:val="22"/>
          <w:szCs w:val="22"/>
        </w:rPr>
        <w:t xml:space="preserve"> - wyciąg z kryteriów wyboru projektów (zatwierdzonych przez KM RPO WD 2014-2020 </w:t>
      </w:r>
      <w:r>
        <w:rPr>
          <w:color w:val="00000A"/>
          <w:sz w:val="22"/>
          <w:szCs w:val="22"/>
        </w:rPr>
        <w:br/>
        <w:t xml:space="preserve">uchwałą nr 2/15 z dnia 6 maja 2015 r. Komitetu Monitorującego RPO WD 2014-2020 z późniejszymi zmianami) obowiązujących w niniejszym naborze. </w:t>
      </w:r>
    </w:p>
    <w:p w:rsidR="005A17EF" w:rsidRDefault="00256B71" w:rsidP="007B2B8D">
      <w:pPr>
        <w:pStyle w:val="Default"/>
        <w:spacing w:after="58" w:line="240" w:lineRule="auto"/>
        <w:jc w:val="both"/>
        <w:rPr>
          <w:color w:val="FF0000"/>
          <w:sz w:val="22"/>
          <w:szCs w:val="22"/>
        </w:rPr>
      </w:pPr>
      <w:r>
        <w:rPr>
          <w:color w:val="00000A"/>
          <w:sz w:val="22"/>
          <w:szCs w:val="22"/>
        </w:rPr>
        <w:t>Załącznik nr 5</w:t>
      </w:r>
      <w:r w:rsidR="00FD26CA">
        <w:rPr>
          <w:color w:val="00000A"/>
          <w:sz w:val="22"/>
          <w:szCs w:val="22"/>
        </w:rPr>
        <w:t xml:space="preserve"> - zestawienie wskaźników na poziomie projektu dla Działania 3.3 </w:t>
      </w:r>
      <w:r w:rsidR="00FD26CA">
        <w:rPr>
          <w:rFonts w:cs="Arial"/>
          <w:color w:val="00000A"/>
          <w:sz w:val="22"/>
          <w:szCs w:val="22"/>
        </w:rPr>
        <w:t>Efektywność energetyczna w budynkach użyteczności publicznej i sektorze mieszkaniowym</w:t>
      </w:r>
      <w:r w:rsidR="00FD26CA">
        <w:rPr>
          <w:color w:val="00000A"/>
          <w:sz w:val="22"/>
          <w:szCs w:val="22"/>
        </w:rPr>
        <w:t>.</w:t>
      </w:r>
      <w:r w:rsidR="00FD26CA">
        <w:rPr>
          <w:color w:val="FF0000"/>
          <w:sz w:val="22"/>
          <w:szCs w:val="22"/>
        </w:rPr>
        <w:t xml:space="preserve"> </w:t>
      </w:r>
    </w:p>
    <w:p w:rsidR="005A17EF" w:rsidRDefault="005A17EF" w:rsidP="007B2B8D">
      <w:pPr>
        <w:pStyle w:val="Default"/>
        <w:spacing w:line="240" w:lineRule="auto"/>
        <w:rPr>
          <w:color w:val="FF0000"/>
          <w:sz w:val="22"/>
          <w:szCs w:val="22"/>
          <w:shd w:val="clear" w:color="auto" w:fill="FFFF00"/>
        </w:rPr>
      </w:pPr>
    </w:p>
    <w:p w:rsidR="005A17EF" w:rsidRDefault="005A17EF" w:rsidP="007B2B8D">
      <w:pPr>
        <w:spacing w:line="240" w:lineRule="auto"/>
        <w:jc w:val="center"/>
      </w:pPr>
    </w:p>
    <w:sectPr w:rsidR="005A17EF">
      <w:footerReference w:type="default" r:id="rId25"/>
      <w:pgSz w:w="12240" w:h="15840"/>
      <w:pgMar w:top="851" w:right="1417" w:bottom="1417" w:left="1417" w:header="0" w:footer="0" w:gutter="0"/>
      <w:cols w:space="708"/>
      <w:formProt w:val="0"/>
      <w:docGrid w:linePitch="2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34E" w:rsidRDefault="0094134E" w:rsidP="00933DED">
      <w:pPr>
        <w:spacing w:after="0" w:line="240" w:lineRule="auto"/>
      </w:pPr>
      <w:r>
        <w:separator/>
      </w:r>
    </w:p>
  </w:endnote>
  <w:endnote w:type="continuationSeparator" w:id="0">
    <w:p w:rsidR="0094134E" w:rsidRDefault="0094134E" w:rsidP="00933D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Droid Sans Fallback">
    <w:altName w:val="Times New Roman"/>
    <w:panose1 w:val="00000000000000000000"/>
    <w:charset w:val="00"/>
    <w:family w:val="roman"/>
    <w:notTrueType/>
    <w:pitch w:val="default"/>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1"/>
    <w:family w:val="swiss"/>
    <w:pitch w:val="variable"/>
  </w:font>
  <w:font w:name="Droid Sans Devanagari">
    <w:panose1 w:val="00000000000000000000"/>
    <w:charset w:val="00"/>
    <w:family w:val="roman"/>
    <w:notTrueType/>
    <w:pitch w:val="default"/>
  </w:font>
  <w:font w:name="TTE1ABE920t00">
    <w:panose1 w:val="00000000000000000000"/>
    <w:charset w:val="00"/>
    <w:family w:val="roman"/>
    <w:notTrueType/>
    <w:pitch w:val="default"/>
  </w:font>
  <w:font w:name="MS Sans Serif">
    <w:panose1 w:val="00000000000000000000"/>
    <w:charset w:val="EE"/>
    <w:family w:val="auto"/>
    <w:notTrueType/>
    <w:pitch w:val="default"/>
    <w:sig w:usb0="00000005" w:usb1="00000000" w:usb2="00000000" w:usb3="00000000" w:csb0="00000002"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TimesNewRoman,Bold">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370200"/>
      <w:docPartObj>
        <w:docPartGallery w:val="Page Numbers (Bottom of Page)"/>
        <w:docPartUnique/>
      </w:docPartObj>
    </w:sdtPr>
    <w:sdtEndPr/>
    <w:sdtContent>
      <w:p w:rsidR="003B595B" w:rsidRDefault="003B595B">
        <w:pPr>
          <w:pStyle w:val="Stopka"/>
          <w:jc w:val="right"/>
        </w:pPr>
        <w:r>
          <w:fldChar w:fldCharType="begin"/>
        </w:r>
        <w:r>
          <w:instrText>PAGE   \* MERGEFORMAT</w:instrText>
        </w:r>
        <w:r>
          <w:fldChar w:fldCharType="separate"/>
        </w:r>
        <w:r w:rsidR="00D54F77">
          <w:rPr>
            <w:noProof/>
          </w:rPr>
          <w:t>8</w:t>
        </w:r>
        <w:r>
          <w:fldChar w:fldCharType="end"/>
        </w:r>
      </w:p>
    </w:sdtContent>
  </w:sdt>
  <w:p w:rsidR="003B595B" w:rsidRDefault="003B595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34E" w:rsidRDefault="0094134E" w:rsidP="00933DED">
      <w:pPr>
        <w:spacing w:after="0" w:line="240" w:lineRule="auto"/>
      </w:pPr>
      <w:r>
        <w:separator/>
      </w:r>
    </w:p>
  </w:footnote>
  <w:footnote w:type="continuationSeparator" w:id="0">
    <w:p w:rsidR="0094134E" w:rsidRDefault="0094134E" w:rsidP="00933D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E12FA"/>
    <w:multiLevelType w:val="hybridMultilevel"/>
    <w:tmpl w:val="639839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61C16C8"/>
    <w:multiLevelType w:val="multilevel"/>
    <w:tmpl w:val="0E30A8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695270B"/>
    <w:multiLevelType w:val="hybridMultilevel"/>
    <w:tmpl w:val="51FA5ACC"/>
    <w:lvl w:ilvl="0" w:tplc="C3C2768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A19034E"/>
    <w:multiLevelType w:val="multilevel"/>
    <w:tmpl w:val="D26E3F6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108E4ECF"/>
    <w:multiLevelType w:val="hybridMultilevel"/>
    <w:tmpl w:val="1D8AA7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45F39CA"/>
    <w:multiLevelType w:val="multilevel"/>
    <w:tmpl w:val="54969822"/>
    <w:lvl w:ilvl="0">
      <w:start w:val="1"/>
      <w:numFmt w:val="bullet"/>
      <w:lvlText w:val=""/>
      <w:lvlJc w:val="left"/>
      <w:pPr>
        <w:ind w:left="720" w:hanging="360"/>
      </w:pPr>
      <w:rPr>
        <w:rFonts w:ascii="Symbol" w:hAnsi="Symbol" w:cs="Symbol" w:hint="default"/>
        <w:color w:val="00000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24B86E7B"/>
    <w:multiLevelType w:val="multilevel"/>
    <w:tmpl w:val="8D98ABB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7">
    <w:nsid w:val="24C42C61"/>
    <w:multiLevelType w:val="multilevel"/>
    <w:tmpl w:val="7DD4AF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64133A6"/>
    <w:multiLevelType w:val="multilevel"/>
    <w:tmpl w:val="7DD4AF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C8C3481"/>
    <w:multiLevelType w:val="multilevel"/>
    <w:tmpl w:val="FDFC4C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D863164"/>
    <w:multiLevelType w:val="multilevel"/>
    <w:tmpl w:val="2818A9E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nsid w:val="315B32A0"/>
    <w:multiLevelType w:val="hybridMultilevel"/>
    <w:tmpl w:val="F79CBB2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31E267B6"/>
    <w:multiLevelType w:val="multilevel"/>
    <w:tmpl w:val="0E30A8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1F42A03"/>
    <w:multiLevelType w:val="hybridMultilevel"/>
    <w:tmpl w:val="31469E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4F43382"/>
    <w:multiLevelType w:val="hybridMultilevel"/>
    <w:tmpl w:val="6A34C7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73116BB"/>
    <w:multiLevelType w:val="multilevel"/>
    <w:tmpl w:val="951845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CFE1D31"/>
    <w:multiLevelType w:val="hybridMultilevel"/>
    <w:tmpl w:val="3BD81DF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nsid w:val="49870753"/>
    <w:multiLevelType w:val="hybridMultilevel"/>
    <w:tmpl w:val="6C845E8C"/>
    <w:lvl w:ilvl="0" w:tplc="B868EA58">
      <w:numFmt w:val="bullet"/>
      <w:lvlText w:val="•"/>
      <w:lvlJc w:val="left"/>
      <w:pPr>
        <w:ind w:left="1065" w:hanging="705"/>
      </w:pPr>
      <w:rPr>
        <w:rFonts w:ascii="Calibri" w:eastAsia="Droid Sans Fallback" w:hAnsi="Calibr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4C6C10A4"/>
    <w:multiLevelType w:val="hybridMultilevel"/>
    <w:tmpl w:val="26FACD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5B5A5B56"/>
    <w:multiLevelType w:val="hybridMultilevel"/>
    <w:tmpl w:val="3F0AE4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5FDA017B"/>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2076D89"/>
    <w:multiLevelType w:val="hybridMultilevel"/>
    <w:tmpl w:val="DB0290E0"/>
    <w:lvl w:ilvl="0" w:tplc="B868EA58">
      <w:numFmt w:val="bullet"/>
      <w:lvlText w:val="•"/>
      <w:lvlJc w:val="left"/>
      <w:pPr>
        <w:ind w:left="1425" w:hanging="705"/>
      </w:pPr>
      <w:rPr>
        <w:rFonts w:ascii="Calibri" w:eastAsia="Droid Sans Fallback" w:hAnsi="Calibri" w:cs="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
    <w:nsid w:val="6491630C"/>
    <w:multiLevelType w:val="multilevel"/>
    <w:tmpl w:val="36D4C8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6AC3144F"/>
    <w:multiLevelType w:val="hybridMultilevel"/>
    <w:tmpl w:val="B7A4B5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6B0140DC"/>
    <w:multiLevelType w:val="multilevel"/>
    <w:tmpl w:val="F40615C4"/>
    <w:lvl w:ilvl="0">
      <w:start w:val="1"/>
      <w:numFmt w:val="lowerLetter"/>
      <w:lvlText w:val="%1"/>
      <w:lvlJc w:val="left"/>
      <w:pPr>
        <w:ind w:left="885" w:hanging="360"/>
      </w:pPr>
    </w:lvl>
    <w:lvl w:ilvl="1">
      <w:start w:val="1"/>
      <w:numFmt w:val="lowerLetter"/>
      <w:lvlText w:val="%2"/>
      <w:lvlJc w:val="left"/>
      <w:pPr>
        <w:ind w:left="1605" w:hanging="360"/>
      </w:pPr>
    </w:lvl>
    <w:lvl w:ilvl="2">
      <w:start w:val="1"/>
      <w:numFmt w:val="lowerRoman"/>
      <w:lvlText w:val="%3"/>
      <w:lvlJc w:val="right"/>
      <w:pPr>
        <w:ind w:left="2325" w:hanging="180"/>
      </w:pPr>
    </w:lvl>
    <w:lvl w:ilvl="3">
      <w:start w:val="1"/>
      <w:numFmt w:val="decimal"/>
      <w:lvlText w:val="%4"/>
      <w:lvlJc w:val="left"/>
      <w:pPr>
        <w:ind w:left="3045" w:hanging="360"/>
      </w:pPr>
    </w:lvl>
    <w:lvl w:ilvl="4">
      <w:start w:val="1"/>
      <w:numFmt w:val="lowerLetter"/>
      <w:lvlText w:val="%5"/>
      <w:lvlJc w:val="left"/>
      <w:pPr>
        <w:ind w:left="3765" w:hanging="360"/>
      </w:pPr>
    </w:lvl>
    <w:lvl w:ilvl="5">
      <w:start w:val="1"/>
      <w:numFmt w:val="lowerRoman"/>
      <w:lvlText w:val="%6"/>
      <w:lvlJc w:val="right"/>
      <w:pPr>
        <w:ind w:left="4485" w:hanging="180"/>
      </w:pPr>
    </w:lvl>
    <w:lvl w:ilvl="6">
      <w:start w:val="1"/>
      <w:numFmt w:val="decimal"/>
      <w:lvlText w:val="%7"/>
      <w:lvlJc w:val="left"/>
      <w:pPr>
        <w:ind w:left="5205" w:hanging="360"/>
      </w:pPr>
    </w:lvl>
    <w:lvl w:ilvl="7">
      <w:start w:val="1"/>
      <w:numFmt w:val="lowerLetter"/>
      <w:lvlText w:val="%8"/>
      <w:lvlJc w:val="left"/>
      <w:pPr>
        <w:ind w:left="5925" w:hanging="360"/>
      </w:pPr>
    </w:lvl>
    <w:lvl w:ilvl="8">
      <w:start w:val="1"/>
      <w:numFmt w:val="lowerRoman"/>
      <w:lvlText w:val="%9"/>
      <w:lvlJc w:val="right"/>
      <w:pPr>
        <w:ind w:left="6645" w:hanging="180"/>
      </w:pPr>
    </w:lvl>
  </w:abstractNum>
  <w:abstractNum w:abstractNumId="25">
    <w:nsid w:val="6BD50BF7"/>
    <w:multiLevelType w:val="multilevel"/>
    <w:tmpl w:val="5AD88708"/>
    <w:lvl w:ilvl="0">
      <w:start w:val="1"/>
      <w:numFmt w:val="bullet"/>
      <w:lvlText w:val=""/>
      <w:lvlJc w:val="left"/>
      <w:pPr>
        <w:ind w:left="1604" w:hanging="360"/>
      </w:pPr>
      <w:rPr>
        <w:rFonts w:ascii="Symbol" w:hAnsi="Symbol" w:cs="Symbol" w:hint="default"/>
      </w:rPr>
    </w:lvl>
    <w:lvl w:ilvl="1">
      <w:start w:val="1"/>
      <w:numFmt w:val="bullet"/>
      <w:lvlText w:val="o"/>
      <w:lvlJc w:val="left"/>
      <w:pPr>
        <w:ind w:left="2324" w:hanging="360"/>
      </w:pPr>
      <w:rPr>
        <w:rFonts w:ascii="Courier New" w:hAnsi="Courier New" w:cs="Courier New" w:hint="default"/>
      </w:rPr>
    </w:lvl>
    <w:lvl w:ilvl="2">
      <w:start w:val="1"/>
      <w:numFmt w:val="bullet"/>
      <w:lvlText w:val=""/>
      <w:lvlJc w:val="left"/>
      <w:pPr>
        <w:ind w:left="3044" w:hanging="360"/>
      </w:pPr>
      <w:rPr>
        <w:rFonts w:ascii="Wingdings" w:hAnsi="Wingdings" w:cs="Wingdings" w:hint="default"/>
      </w:rPr>
    </w:lvl>
    <w:lvl w:ilvl="3">
      <w:start w:val="1"/>
      <w:numFmt w:val="bullet"/>
      <w:lvlText w:val=""/>
      <w:lvlJc w:val="left"/>
      <w:pPr>
        <w:ind w:left="3764" w:hanging="360"/>
      </w:pPr>
      <w:rPr>
        <w:rFonts w:ascii="Symbol" w:hAnsi="Symbol" w:cs="Symbol" w:hint="default"/>
      </w:rPr>
    </w:lvl>
    <w:lvl w:ilvl="4">
      <w:start w:val="1"/>
      <w:numFmt w:val="bullet"/>
      <w:lvlText w:val="o"/>
      <w:lvlJc w:val="left"/>
      <w:pPr>
        <w:ind w:left="4484" w:hanging="360"/>
      </w:pPr>
      <w:rPr>
        <w:rFonts w:ascii="Courier New" w:hAnsi="Courier New" w:cs="Courier New" w:hint="default"/>
      </w:rPr>
    </w:lvl>
    <w:lvl w:ilvl="5">
      <w:start w:val="1"/>
      <w:numFmt w:val="bullet"/>
      <w:lvlText w:val=""/>
      <w:lvlJc w:val="left"/>
      <w:pPr>
        <w:ind w:left="5204" w:hanging="360"/>
      </w:pPr>
      <w:rPr>
        <w:rFonts w:ascii="Wingdings" w:hAnsi="Wingdings" w:cs="Wingdings" w:hint="default"/>
      </w:rPr>
    </w:lvl>
    <w:lvl w:ilvl="6">
      <w:start w:val="1"/>
      <w:numFmt w:val="bullet"/>
      <w:lvlText w:val=""/>
      <w:lvlJc w:val="left"/>
      <w:pPr>
        <w:ind w:left="5924" w:hanging="360"/>
      </w:pPr>
      <w:rPr>
        <w:rFonts w:ascii="Symbol" w:hAnsi="Symbol" w:cs="Symbol" w:hint="default"/>
      </w:rPr>
    </w:lvl>
    <w:lvl w:ilvl="7">
      <w:start w:val="1"/>
      <w:numFmt w:val="bullet"/>
      <w:lvlText w:val="o"/>
      <w:lvlJc w:val="left"/>
      <w:pPr>
        <w:ind w:left="6644" w:hanging="360"/>
      </w:pPr>
      <w:rPr>
        <w:rFonts w:ascii="Courier New" w:hAnsi="Courier New" w:cs="Courier New" w:hint="default"/>
      </w:rPr>
    </w:lvl>
    <w:lvl w:ilvl="8">
      <w:start w:val="1"/>
      <w:numFmt w:val="bullet"/>
      <w:lvlText w:val=""/>
      <w:lvlJc w:val="left"/>
      <w:pPr>
        <w:ind w:left="7364" w:hanging="360"/>
      </w:pPr>
      <w:rPr>
        <w:rFonts w:ascii="Wingdings" w:hAnsi="Wingdings" w:cs="Wingdings" w:hint="default"/>
      </w:rPr>
    </w:lvl>
  </w:abstractNum>
  <w:abstractNum w:abstractNumId="26">
    <w:nsid w:val="6FB83DFB"/>
    <w:multiLevelType w:val="multilevel"/>
    <w:tmpl w:val="7DD4AF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77E319FA"/>
    <w:multiLevelType w:val="multilevel"/>
    <w:tmpl w:val="857099DC"/>
    <w:lvl w:ilvl="0">
      <w:start w:val="1"/>
      <w:numFmt w:val="bullet"/>
      <w:lvlText w:val=""/>
      <w:lvlJc w:val="left"/>
      <w:pPr>
        <w:ind w:left="720" w:hanging="360"/>
      </w:pPr>
      <w:rPr>
        <w:rFonts w:ascii="Symbol" w:hAnsi="Symbol" w:cs="Symbol" w:hint="default"/>
        <w:color w:val="00000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nsid w:val="79126F22"/>
    <w:multiLevelType w:val="multilevel"/>
    <w:tmpl w:val="966AC608"/>
    <w:lvl w:ilvl="0">
      <w:start w:val="1"/>
      <w:numFmt w:val="bullet"/>
      <w:lvlText w:val=""/>
      <w:lvlJc w:val="left"/>
      <w:pPr>
        <w:ind w:left="2085" w:hanging="360"/>
      </w:pPr>
      <w:rPr>
        <w:rFonts w:ascii="Symbol" w:hAnsi="Symbol" w:cs="Symbol" w:hint="default"/>
      </w:rPr>
    </w:lvl>
    <w:lvl w:ilvl="1">
      <w:start w:val="1"/>
      <w:numFmt w:val="bullet"/>
      <w:lvlText w:val="o"/>
      <w:lvlJc w:val="left"/>
      <w:pPr>
        <w:ind w:left="2805" w:hanging="360"/>
      </w:pPr>
      <w:rPr>
        <w:rFonts w:ascii="Courier New" w:hAnsi="Courier New" w:cs="Courier New" w:hint="default"/>
      </w:rPr>
    </w:lvl>
    <w:lvl w:ilvl="2">
      <w:start w:val="1"/>
      <w:numFmt w:val="bullet"/>
      <w:lvlText w:val=""/>
      <w:lvlJc w:val="left"/>
      <w:pPr>
        <w:ind w:left="3525" w:hanging="360"/>
      </w:pPr>
      <w:rPr>
        <w:rFonts w:ascii="Wingdings" w:hAnsi="Wingdings" w:cs="Wingdings" w:hint="default"/>
      </w:rPr>
    </w:lvl>
    <w:lvl w:ilvl="3">
      <w:start w:val="1"/>
      <w:numFmt w:val="bullet"/>
      <w:lvlText w:val=""/>
      <w:lvlJc w:val="left"/>
      <w:pPr>
        <w:ind w:left="4245" w:hanging="360"/>
      </w:pPr>
      <w:rPr>
        <w:rFonts w:ascii="Symbol" w:hAnsi="Symbol" w:cs="Symbol" w:hint="default"/>
      </w:rPr>
    </w:lvl>
    <w:lvl w:ilvl="4">
      <w:start w:val="1"/>
      <w:numFmt w:val="bullet"/>
      <w:lvlText w:val="o"/>
      <w:lvlJc w:val="left"/>
      <w:pPr>
        <w:ind w:left="4965" w:hanging="360"/>
      </w:pPr>
      <w:rPr>
        <w:rFonts w:ascii="Courier New" w:hAnsi="Courier New" w:cs="Courier New" w:hint="default"/>
      </w:rPr>
    </w:lvl>
    <w:lvl w:ilvl="5">
      <w:start w:val="1"/>
      <w:numFmt w:val="bullet"/>
      <w:lvlText w:val=""/>
      <w:lvlJc w:val="left"/>
      <w:pPr>
        <w:ind w:left="5685" w:hanging="360"/>
      </w:pPr>
      <w:rPr>
        <w:rFonts w:ascii="Wingdings" w:hAnsi="Wingdings" w:cs="Wingdings" w:hint="default"/>
      </w:rPr>
    </w:lvl>
    <w:lvl w:ilvl="6">
      <w:start w:val="1"/>
      <w:numFmt w:val="bullet"/>
      <w:lvlText w:val=""/>
      <w:lvlJc w:val="left"/>
      <w:pPr>
        <w:ind w:left="6405" w:hanging="360"/>
      </w:pPr>
      <w:rPr>
        <w:rFonts w:ascii="Symbol" w:hAnsi="Symbol" w:cs="Symbol" w:hint="default"/>
      </w:rPr>
    </w:lvl>
    <w:lvl w:ilvl="7">
      <w:start w:val="1"/>
      <w:numFmt w:val="bullet"/>
      <w:lvlText w:val="o"/>
      <w:lvlJc w:val="left"/>
      <w:pPr>
        <w:ind w:left="7125" w:hanging="360"/>
      </w:pPr>
      <w:rPr>
        <w:rFonts w:ascii="Courier New" w:hAnsi="Courier New" w:cs="Courier New" w:hint="default"/>
      </w:rPr>
    </w:lvl>
    <w:lvl w:ilvl="8">
      <w:start w:val="1"/>
      <w:numFmt w:val="bullet"/>
      <w:lvlText w:val=""/>
      <w:lvlJc w:val="left"/>
      <w:pPr>
        <w:ind w:left="7845" w:hanging="360"/>
      </w:pPr>
      <w:rPr>
        <w:rFonts w:ascii="Wingdings" w:hAnsi="Wingdings" w:cs="Wingdings" w:hint="default"/>
      </w:rPr>
    </w:lvl>
  </w:abstractNum>
  <w:abstractNum w:abstractNumId="29">
    <w:nsid w:val="7AA72860"/>
    <w:multiLevelType w:val="hybridMultilevel"/>
    <w:tmpl w:val="E1EA6D38"/>
    <w:lvl w:ilvl="0" w:tplc="B868EA58">
      <w:numFmt w:val="bullet"/>
      <w:lvlText w:val="•"/>
      <w:lvlJc w:val="left"/>
      <w:pPr>
        <w:ind w:left="1065" w:hanging="705"/>
      </w:pPr>
      <w:rPr>
        <w:rFonts w:ascii="Calibri" w:eastAsia="Droid Sans Fallback" w:hAnsi="Calibr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7F746614"/>
    <w:multiLevelType w:val="multilevel"/>
    <w:tmpl w:val="D682D7F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6"/>
  </w:num>
  <w:num w:numId="2">
    <w:abstractNumId w:val="15"/>
  </w:num>
  <w:num w:numId="3">
    <w:abstractNumId w:val="3"/>
  </w:num>
  <w:num w:numId="4">
    <w:abstractNumId w:val="27"/>
  </w:num>
  <w:num w:numId="5">
    <w:abstractNumId w:val="5"/>
  </w:num>
  <w:num w:numId="6">
    <w:abstractNumId w:val="25"/>
  </w:num>
  <w:num w:numId="7">
    <w:abstractNumId w:val="24"/>
  </w:num>
  <w:num w:numId="8">
    <w:abstractNumId w:val="12"/>
  </w:num>
  <w:num w:numId="9">
    <w:abstractNumId w:val="9"/>
  </w:num>
  <w:num w:numId="10">
    <w:abstractNumId w:val="28"/>
  </w:num>
  <w:num w:numId="11">
    <w:abstractNumId w:val="20"/>
  </w:num>
  <w:num w:numId="12">
    <w:abstractNumId w:val="30"/>
  </w:num>
  <w:num w:numId="13">
    <w:abstractNumId w:val="22"/>
  </w:num>
  <w:num w:numId="14">
    <w:abstractNumId w:val="10"/>
  </w:num>
  <w:num w:numId="15">
    <w:abstractNumId w:val="13"/>
  </w:num>
  <w:num w:numId="16">
    <w:abstractNumId w:val="0"/>
  </w:num>
  <w:num w:numId="17">
    <w:abstractNumId w:val="18"/>
  </w:num>
  <w:num w:numId="18">
    <w:abstractNumId w:val="23"/>
  </w:num>
  <w:num w:numId="19">
    <w:abstractNumId w:val="19"/>
  </w:num>
  <w:num w:numId="20">
    <w:abstractNumId w:val="29"/>
  </w:num>
  <w:num w:numId="21">
    <w:abstractNumId w:val="21"/>
  </w:num>
  <w:num w:numId="22">
    <w:abstractNumId w:val="17"/>
  </w:num>
  <w:num w:numId="23">
    <w:abstractNumId w:val="14"/>
  </w:num>
  <w:num w:numId="24">
    <w:abstractNumId w:val="1"/>
  </w:num>
  <w:num w:numId="25">
    <w:abstractNumId w:val="7"/>
  </w:num>
  <w:num w:numId="26">
    <w:abstractNumId w:val="8"/>
  </w:num>
  <w:num w:numId="27">
    <w:abstractNumId w:val="16"/>
  </w:num>
  <w:num w:numId="28">
    <w:abstractNumId w:val="26"/>
  </w:num>
  <w:num w:numId="29">
    <w:abstractNumId w:val="4"/>
  </w:num>
  <w:num w:numId="30">
    <w:abstractNumId w:val="2"/>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trackRevisions/>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7EF"/>
    <w:rsid w:val="000317D2"/>
    <w:rsid w:val="0004710D"/>
    <w:rsid w:val="00074019"/>
    <w:rsid w:val="00090397"/>
    <w:rsid w:val="00096F95"/>
    <w:rsid w:val="000B21F6"/>
    <w:rsid w:val="000D3AFF"/>
    <w:rsid w:val="0014613D"/>
    <w:rsid w:val="0015155B"/>
    <w:rsid w:val="00152376"/>
    <w:rsid w:val="00163933"/>
    <w:rsid w:val="00180D8B"/>
    <w:rsid w:val="00191508"/>
    <w:rsid w:val="001A5001"/>
    <w:rsid w:val="001B596F"/>
    <w:rsid w:val="001C0126"/>
    <w:rsid w:val="001C5DBF"/>
    <w:rsid w:val="001C5DC0"/>
    <w:rsid w:val="001E4B05"/>
    <w:rsid w:val="002127E4"/>
    <w:rsid w:val="002162D8"/>
    <w:rsid w:val="00217179"/>
    <w:rsid w:val="00223AA0"/>
    <w:rsid w:val="0022534D"/>
    <w:rsid w:val="00256B71"/>
    <w:rsid w:val="00294102"/>
    <w:rsid w:val="0029675A"/>
    <w:rsid w:val="00297379"/>
    <w:rsid w:val="002E4400"/>
    <w:rsid w:val="00307FCA"/>
    <w:rsid w:val="00314742"/>
    <w:rsid w:val="0033615F"/>
    <w:rsid w:val="00345439"/>
    <w:rsid w:val="0037174E"/>
    <w:rsid w:val="003767D7"/>
    <w:rsid w:val="00387BFF"/>
    <w:rsid w:val="003B595B"/>
    <w:rsid w:val="003F22BD"/>
    <w:rsid w:val="003F754E"/>
    <w:rsid w:val="00402729"/>
    <w:rsid w:val="00402DC2"/>
    <w:rsid w:val="00457843"/>
    <w:rsid w:val="004C18FB"/>
    <w:rsid w:val="004C5F4B"/>
    <w:rsid w:val="004C734B"/>
    <w:rsid w:val="004E72BB"/>
    <w:rsid w:val="00531889"/>
    <w:rsid w:val="0054302A"/>
    <w:rsid w:val="00553CA4"/>
    <w:rsid w:val="00565CB6"/>
    <w:rsid w:val="0057465A"/>
    <w:rsid w:val="005A17EF"/>
    <w:rsid w:val="005A1CD6"/>
    <w:rsid w:val="005C4E26"/>
    <w:rsid w:val="005C6D11"/>
    <w:rsid w:val="005E2AA1"/>
    <w:rsid w:val="00625B6D"/>
    <w:rsid w:val="0063199E"/>
    <w:rsid w:val="00660580"/>
    <w:rsid w:val="0067668B"/>
    <w:rsid w:val="0068512B"/>
    <w:rsid w:val="00695795"/>
    <w:rsid w:val="006D7C97"/>
    <w:rsid w:val="00703639"/>
    <w:rsid w:val="0076274E"/>
    <w:rsid w:val="00773226"/>
    <w:rsid w:val="00773EBA"/>
    <w:rsid w:val="007B2B8D"/>
    <w:rsid w:val="007C2F7E"/>
    <w:rsid w:val="007D04D0"/>
    <w:rsid w:val="007F0901"/>
    <w:rsid w:val="00816EA9"/>
    <w:rsid w:val="00820F3B"/>
    <w:rsid w:val="00863F99"/>
    <w:rsid w:val="00891C06"/>
    <w:rsid w:val="008B2F58"/>
    <w:rsid w:val="008B59CD"/>
    <w:rsid w:val="008C16B9"/>
    <w:rsid w:val="008D0EC7"/>
    <w:rsid w:val="008D5100"/>
    <w:rsid w:val="009040DB"/>
    <w:rsid w:val="0090435E"/>
    <w:rsid w:val="00920485"/>
    <w:rsid w:val="00927BAF"/>
    <w:rsid w:val="00933DED"/>
    <w:rsid w:val="0094134E"/>
    <w:rsid w:val="00945E86"/>
    <w:rsid w:val="0096255E"/>
    <w:rsid w:val="00964070"/>
    <w:rsid w:val="0097069C"/>
    <w:rsid w:val="009778BA"/>
    <w:rsid w:val="00995A1A"/>
    <w:rsid w:val="009A2DAA"/>
    <w:rsid w:val="009C226D"/>
    <w:rsid w:val="009D0459"/>
    <w:rsid w:val="009E132A"/>
    <w:rsid w:val="00A06F39"/>
    <w:rsid w:val="00A116AB"/>
    <w:rsid w:val="00A14EC2"/>
    <w:rsid w:val="00A34E54"/>
    <w:rsid w:val="00A53D89"/>
    <w:rsid w:val="00A55CBD"/>
    <w:rsid w:val="00AB0D64"/>
    <w:rsid w:val="00AB0DD4"/>
    <w:rsid w:val="00AF7C30"/>
    <w:rsid w:val="00B0080F"/>
    <w:rsid w:val="00B25253"/>
    <w:rsid w:val="00B31434"/>
    <w:rsid w:val="00B32277"/>
    <w:rsid w:val="00B44F87"/>
    <w:rsid w:val="00B63E25"/>
    <w:rsid w:val="00B72912"/>
    <w:rsid w:val="00B76EE0"/>
    <w:rsid w:val="00B81F65"/>
    <w:rsid w:val="00B867CA"/>
    <w:rsid w:val="00BE5C10"/>
    <w:rsid w:val="00BF12C4"/>
    <w:rsid w:val="00BF16FD"/>
    <w:rsid w:val="00C01683"/>
    <w:rsid w:val="00C1149F"/>
    <w:rsid w:val="00C242B1"/>
    <w:rsid w:val="00C534A7"/>
    <w:rsid w:val="00C667E6"/>
    <w:rsid w:val="00CB0619"/>
    <w:rsid w:val="00CD012A"/>
    <w:rsid w:val="00CD4030"/>
    <w:rsid w:val="00CE2C06"/>
    <w:rsid w:val="00D2674A"/>
    <w:rsid w:val="00D54F77"/>
    <w:rsid w:val="00D624B0"/>
    <w:rsid w:val="00D720AE"/>
    <w:rsid w:val="00D74FB7"/>
    <w:rsid w:val="00DA6D09"/>
    <w:rsid w:val="00DB6A93"/>
    <w:rsid w:val="00DC6346"/>
    <w:rsid w:val="00DE1E6D"/>
    <w:rsid w:val="00DF5E7C"/>
    <w:rsid w:val="00E254E5"/>
    <w:rsid w:val="00E3690B"/>
    <w:rsid w:val="00E82F29"/>
    <w:rsid w:val="00E86DB9"/>
    <w:rsid w:val="00E913B5"/>
    <w:rsid w:val="00EA0C85"/>
    <w:rsid w:val="00EB17ED"/>
    <w:rsid w:val="00EC2278"/>
    <w:rsid w:val="00ED06E2"/>
    <w:rsid w:val="00EE097B"/>
    <w:rsid w:val="00F028D8"/>
    <w:rsid w:val="00F061DC"/>
    <w:rsid w:val="00F16198"/>
    <w:rsid w:val="00F53EFC"/>
    <w:rsid w:val="00F758CB"/>
    <w:rsid w:val="00F7766A"/>
    <w:rsid w:val="00FA50DB"/>
    <w:rsid w:val="00FB4D4B"/>
    <w:rsid w:val="00FD26CA"/>
    <w:rsid w:val="00FD4BE8"/>
    <w:rsid w:val="00FF21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uppressAutoHyphens/>
    </w:pPr>
    <w:rPr>
      <w:rFonts w:ascii="Calibri" w:eastAsia="Droid Sans Fallback" w:hAnsi="Calibri" w:cs="Calibri"/>
      <w:color w:val="00000A"/>
      <w:lang w:eastAsia="en-US"/>
    </w:rPr>
  </w:style>
  <w:style w:type="paragraph" w:styleId="Nagwek3">
    <w:name w:val="heading 3"/>
    <w:basedOn w:val="Normalny"/>
    <w:pPr>
      <w:spacing w:before="100" w:after="100" w:line="100" w:lineRule="atLeast"/>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rPr>
      <w:rFonts w:ascii="Tahoma" w:hAnsi="Tahoma" w:cs="Tahoma"/>
      <w:sz w:val="16"/>
      <w:szCs w:val="16"/>
    </w:rPr>
  </w:style>
  <w:style w:type="character" w:customStyle="1" w:styleId="NagwekZnak">
    <w:name w:val="Nagłówek Znak"/>
    <w:basedOn w:val="Domylnaczcionkaakapitu"/>
  </w:style>
  <w:style w:type="character" w:customStyle="1" w:styleId="StopkaZnak">
    <w:name w:val="Stopka Znak"/>
    <w:basedOn w:val="Domylnaczcionkaakapitu"/>
    <w:uiPriority w:val="99"/>
  </w:style>
  <w:style w:type="character" w:customStyle="1" w:styleId="AkapitzlistZnak">
    <w:name w:val="Akapit z listą Znak"/>
    <w:rPr>
      <w:rFonts w:ascii="Arial" w:eastAsia="Times New Roman" w:hAnsi="Arial" w:cs="Times New Roman"/>
      <w:szCs w:val="20"/>
      <w:lang w:eastAsia="pl-PL"/>
    </w:rPr>
  </w:style>
  <w:style w:type="character" w:customStyle="1" w:styleId="TekstprzypisudolnegoZnak">
    <w:name w:val="Tekst przypisu dolnego Znak"/>
    <w:basedOn w:val="Domylnaczcionkaakapitu"/>
    <w:rPr>
      <w:rFonts w:ascii="Times New Roman" w:eastAsia="Times New Roman" w:hAnsi="Times New Roman" w:cs="Times New Roman"/>
      <w:sz w:val="20"/>
      <w:szCs w:val="24"/>
      <w:lang w:eastAsia="pl-PL"/>
    </w:rPr>
  </w:style>
  <w:style w:type="character" w:styleId="Odwoanieprzypisudolnego">
    <w:name w:val="footnote reference"/>
    <w:rPr>
      <w:vertAlign w:val="superscript"/>
    </w:rPr>
  </w:style>
  <w:style w:type="character" w:customStyle="1" w:styleId="TekstkomentarzaZnak">
    <w:name w:val="Tekst komentarza Znak"/>
    <w:basedOn w:val="Domylnaczcionkaakapitu"/>
    <w:rPr>
      <w:rFonts w:ascii="Times New Roman" w:eastAsia="Times New Roman" w:hAnsi="Times New Roman" w:cs="Times New Roman"/>
      <w:sz w:val="20"/>
      <w:szCs w:val="20"/>
      <w:lang w:eastAsia="pl-PL"/>
    </w:rPr>
  </w:style>
  <w:style w:type="character" w:customStyle="1" w:styleId="czeinternetowe">
    <w:name w:val="Łącze internetowe"/>
    <w:basedOn w:val="Domylnaczcionkaakapitu"/>
    <w:rPr>
      <w:color w:val="0000FF"/>
      <w:u w:val="single"/>
    </w:rPr>
  </w:style>
  <w:style w:type="character" w:customStyle="1" w:styleId="Nagwek3Znak">
    <w:name w:val="Nagłówek 3 Znak"/>
    <w:basedOn w:val="Domylnaczcionkaakapitu"/>
    <w:rPr>
      <w:rFonts w:ascii="Times New Roman" w:eastAsia="Times New Roman" w:hAnsi="Times New Roman" w:cs="Times New Roman"/>
      <w:b/>
      <w:bCs/>
      <w:sz w:val="27"/>
      <w:szCs w:val="27"/>
      <w:lang w:eastAsia="pl-PL"/>
    </w:rPr>
  </w:style>
  <w:style w:type="character" w:styleId="Odwoaniedokomentarza">
    <w:name w:val="annotation reference"/>
    <w:basedOn w:val="Domylnaczcionkaakapitu"/>
    <w:rPr>
      <w:sz w:val="16"/>
      <w:szCs w:val="16"/>
    </w:rPr>
  </w:style>
  <w:style w:type="character" w:customStyle="1" w:styleId="TematkomentarzaZnak">
    <w:name w:val="Temat komentarza Znak"/>
    <w:basedOn w:val="TekstkomentarzaZnak"/>
    <w:rPr>
      <w:rFonts w:ascii="Times New Roman" w:eastAsia="Times New Roman" w:hAnsi="Times New Roman" w:cs="Times New Roman"/>
      <w:b/>
      <w:bCs/>
      <w:sz w:val="20"/>
      <w:szCs w:val="20"/>
      <w:lang w:eastAsia="pl-PL"/>
    </w:rPr>
  </w:style>
  <w:style w:type="character" w:customStyle="1" w:styleId="ListLabel1">
    <w:name w:val="ListLabel 1"/>
    <w:rPr>
      <w:b/>
    </w:rPr>
  </w:style>
  <w:style w:type="character" w:customStyle="1" w:styleId="ListLabel2">
    <w:name w:val="ListLabel 2"/>
    <w:rPr>
      <w:rFonts w:cs="Courier New"/>
    </w:rPr>
  </w:style>
  <w:style w:type="character" w:customStyle="1" w:styleId="ListLabel3">
    <w:name w:val="ListLabel 3"/>
    <w:rPr>
      <w:b/>
      <w:sz w:val="22"/>
      <w:szCs w:val="22"/>
    </w:rPr>
  </w:style>
  <w:style w:type="character" w:customStyle="1" w:styleId="ListLabel4">
    <w:name w:val="ListLabel 4"/>
    <w:rPr>
      <w:color w:val="00000A"/>
    </w:rPr>
  </w:style>
  <w:style w:type="character" w:customStyle="1" w:styleId="ListLabel5">
    <w:name w:val="ListLabel 5"/>
    <w:rPr>
      <w:rFonts w:cs="Symbol"/>
    </w:rPr>
  </w:style>
  <w:style w:type="character" w:customStyle="1" w:styleId="ListLabel6">
    <w:name w:val="ListLabel 6"/>
    <w:rPr>
      <w:rFonts w:cs="Courier New"/>
    </w:rPr>
  </w:style>
  <w:style w:type="character" w:customStyle="1" w:styleId="ListLabel7">
    <w:name w:val="ListLabel 7"/>
    <w:rPr>
      <w:rFonts w:cs="Wingdings"/>
    </w:rPr>
  </w:style>
  <w:style w:type="character" w:customStyle="1" w:styleId="ListLabel8">
    <w:name w:val="ListLabel 8"/>
    <w:rPr>
      <w:rFonts w:cs="Symbol"/>
      <w:color w:val="00000A"/>
    </w:rPr>
  </w:style>
  <w:style w:type="character" w:customStyle="1" w:styleId="h2">
    <w:name w:val="h2"/>
    <w:basedOn w:val="Domylnaczcionkaakapitu"/>
  </w:style>
  <w:style w:type="paragraph" w:styleId="Nagwek">
    <w:name w:val="header"/>
    <w:basedOn w:val="Normalny"/>
    <w:next w:val="Tretekstu"/>
    <w:pPr>
      <w:keepNext/>
      <w:spacing w:before="240" w:after="120"/>
    </w:pPr>
    <w:rPr>
      <w:rFonts w:ascii="Liberation Sans" w:hAnsi="Liberation Sans" w:cs="Droid Sans Devanagari"/>
      <w:sz w:val="28"/>
      <w:szCs w:val="28"/>
    </w:rPr>
  </w:style>
  <w:style w:type="paragraph" w:customStyle="1" w:styleId="Tretekstu">
    <w:name w:val="Treść tekstu"/>
    <w:basedOn w:val="Normalny"/>
    <w:pPr>
      <w:spacing w:after="120"/>
    </w:pPr>
  </w:style>
  <w:style w:type="paragraph" w:styleId="Lista">
    <w:name w:val="List"/>
    <w:basedOn w:val="Tretekstu"/>
    <w:rPr>
      <w:rFonts w:cs="Droid Sans Devanagari"/>
    </w:rPr>
  </w:style>
  <w:style w:type="paragraph" w:styleId="Podpis">
    <w:name w:val="Signature"/>
    <w:basedOn w:val="Normalny"/>
    <w:pPr>
      <w:suppressLineNumbers/>
      <w:spacing w:before="120" w:after="120"/>
    </w:pPr>
    <w:rPr>
      <w:rFonts w:cs="Droid Sans Devanagari"/>
      <w:i/>
      <w:iCs/>
      <w:sz w:val="24"/>
      <w:szCs w:val="24"/>
    </w:rPr>
  </w:style>
  <w:style w:type="paragraph" w:customStyle="1" w:styleId="Indeks">
    <w:name w:val="Indeks"/>
    <w:basedOn w:val="Normalny"/>
    <w:pPr>
      <w:suppressLineNumbers/>
    </w:pPr>
    <w:rPr>
      <w:rFonts w:cs="Droid Sans Devanagari"/>
    </w:rPr>
  </w:style>
  <w:style w:type="paragraph" w:styleId="Tekstdymka">
    <w:name w:val="Balloon Text"/>
    <w:basedOn w:val="Normalny"/>
    <w:pPr>
      <w:spacing w:after="0" w:line="100" w:lineRule="atLeast"/>
    </w:pPr>
    <w:rPr>
      <w:rFonts w:ascii="Tahoma" w:hAnsi="Tahoma" w:cs="Tahoma"/>
      <w:sz w:val="16"/>
      <w:szCs w:val="16"/>
    </w:rPr>
  </w:style>
  <w:style w:type="paragraph" w:customStyle="1" w:styleId="Gwka">
    <w:name w:val="Główka"/>
    <w:basedOn w:val="Normalny"/>
    <w:pPr>
      <w:tabs>
        <w:tab w:val="center" w:pos="4536"/>
        <w:tab w:val="right" w:pos="9072"/>
      </w:tabs>
      <w:spacing w:after="0" w:line="100" w:lineRule="atLeast"/>
    </w:pPr>
  </w:style>
  <w:style w:type="paragraph" w:styleId="Stopka">
    <w:name w:val="footer"/>
    <w:basedOn w:val="Normalny"/>
    <w:uiPriority w:val="99"/>
    <w:pPr>
      <w:tabs>
        <w:tab w:val="center" w:pos="4536"/>
        <w:tab w:val="right" w:pos="9072"/>
      </w:tabs>
      <w:spacing w:after="0" w:line="100" w:lineRule="atLeast"/>
    </w:pPr>
  </w:style>
  <w:style w:type="paragraph" w:customStyle="1" w:styleId="Default">
    <w:name w:val="Default"/>
    <w:pPr>
      <w:suppressAutoHyphens/>
      <w:spacing w:after="0" w:line="100" w:lineRule="atLeast"/>
    </w:pPr>
    <w:rPr>
      <w:rFonts w:ascii="Calibri" w:eastAsia="Droid Sans Fallback" w:hAnsi="Calibri" w:cs="Calibri"/>
      <w:color w:val="000000"/>
      <w:sz w:val="24"/>
      <w:szCs w:val="24"/>
      <w:lang w:eastAsia="en-US"/>
    </w:rPr>
  </w:style>
  <w:style w:type="paragraph" w:styleId="Akapitzlist">
    <w:name w:val="List Paragraph"/>
    <w:basedOn w:val="Normalny"/>
    <w:qFormat/>
    <w:pPr>
      <w:spacing w:before="200" w:after="0" w:line="320" w:lineRule="atLeast"/>
      <w:ind w:left="708"/>
    </w:pPr>
    <w:rPr>
      <w:rFonts w:ascii="Arial" w:eastAsia="Times New Roman" w:hAnsi="Arial" w:cs="Times New Roman"/>
      <w:szCs w:val="20"/>
      <w:lang w:eastAsia="pl-PL"/>
    </w:rPr>
  </w:style>
  <w:style w:type="paragraph" w:styleId="Poprawka">
    <w:name w:val="Revision"/>
    <w:pPr>
      <w:suppressAutoHyphens/>
      <w:spacing w:after="0" w:line="100" w:lineRule="atLeast"/>
    </w:pPr>
    <w:rPr>
      <w:rFonts w:ascii="Times New Roman" w:eastAsia="Times New Roman" w:hAnsi="Times New Roman" w:cs="Times New Roman"/>
      <w:color w:val="00000A"/>
      <w:sz w:val="24"/>
      <w:szCs w:val="24"/>
    </w:rPr>
  </w:style>
  <w:style w:type="paragraph" w:styleId="Tekstprzypisudolnego">
    <w:name w:val="footnote text"/>
    <w:basedOn w:val="Normalny"/>
    <w:pPr>
      <w:spacing w:after="0" w:line="100" w:lineRule="atLeast"/>
    </w:pPr>
    <w:rPr>
      <w:rFonts w:ascii="Times New Roman" w:eastAsia="Times New Roman" w:hAnsi="Times New Roman" w:cs="Times New Roman"/>
      <w:sz w:val="20"/>
      <w:szCs w:val="24"/>
      <w:lang w:eastAsia="pl-PL"/>
    </w:rPr>
  </w:style>
  <w:style w:type="paragraph" w:styleId="Tekstkomentarza">
    <w:name w:val="annotation text"/>
    <w:basedOn w:val="Normalny"/>
    <w:pPr>
      <w:overflowPunct w:val="0"/>
      <w:spacing w:after="0" w:line="100" w:lineRule="atLeast"/>
      <w:textAlignment w:val="baseline"/>
    </w:pPr>
    <w:rPr>
      <w:rFonts w:ascii="Times New Roman" w:eastAsia="Times New Roman" w:hAnsi="Times New Roman" w:cs="Times New Roman"/>
      <w:sz w:val="20"/>
      <w:szCs w:val="20"/>
      <w:lang w:eastAsia="pl-PL"/>
    </w:rPr>
  </w:style>
  <w:style w:type="paragraph" w:styleId="Tematkomentarza">
    <w:name w:val="annotation subject"/>
    <w:basedOn w:val="Tekstkomentarza"/>
    <w:pPr>
      <w:overflowPunct/>
      <w:spacing w:after="200"/>
      <w:textAlignment w:val="auto"/>
    </w:pPr>
    <w:rPr>
      <w:rFonts w:ascii="Calibri" w:hAnsi="Calibri" w:cs="Calibri"/>
      <w:b/>
      <w:bCs/>
      <w:lang w:eastAsia="en-US"/>
    </w:rPr>
  </w:style>
  <w:style w:type="character" w:styleId="Hipercze">
    <w:name w:val="Hyperlink"/>
    <w:rsid w:val="00E86DB9"/>
    <w:rPr>
      <w:color w:val="0000FF"/>
      <w:u w:val="single"/>
    </w:rPr>
  </w:style>
  <w:style w:type="paragraph" w:customStyle="1" w:styleId="xl33">
    <w:name w:val="xl33"/>
    <w:basedOn w:val="Normalny"/>
    <w:rsid w:val="00217179"/>
    <w:pPr>
      <w:suppressAutoHyphens w:val="0"/>
      <w:autoSpaceDE w:val="0"/>
      <w:autoSpaceDN w:val="0"/>
      <w:spacing w:before="100" w:after="100" w:line="240" w:lineRule="auto"/>
      <w:jc w:val="center"/>
    </w:pPr>
    <w:rPr>
      <w:rFonts w:ascii="Times New Roman" w:eastAsia="Times New Roman" w:hAnsi="Times New Roman" w:cs="Times New Roman"/>
      <w:color w:val="auto"/>
      <w:sz w:val="20"/>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uppressAutoHyphens/>
    </w:pPr>
    <w:rPr>
      <w:rFonts w:ascii="Calibri" w:eastAsia="Droid Sans Fallback" w:hAnsi="Calibri" w:cs="Calibri"/>
      <w:color w:val="00000A"/>
      <w:lang w:eastAsia="en-US"/>
    </w:rPr>
  </w:style>
  <w:style w:type="paragraph" w:styleId="Nagwek3">
    <w:name w:val="heading 3"/>
    <w:basedOn w:val="Normalny"/>
    <w:pPr>
      <w:spacing w:before="100" w:after="100" w:line="100" w:lineRule="atLeast"/>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rPr>
      <w:rFonts w:ascii="Tahoma" w:hAnsi="Tahoma" w:cs="Tahoma"/>
      <w:sz w:val="16"/>
      <w:szCs w:val="16"/>
    </w:rPr>
  </w:style>
  <w:style w:type="character" w:customStyle="1" w:styleId="NagwekZnak">
    <w:name w:val="Nagłówek Znak"/>
    <w:basedOn w:val="Domylnaczcionkaakapitu"/>
  </w:style>
  <w:style w:type="character" w:customStyle="1" w:styleId="StopkaZnak">
    <w:name w:val="Stopka Znak"/>
    <w:basedOn w:val="Domylnaczcionkaakapitu"/>
    <w:uiPriority w:val="99"/>
  </w:style>
  <w:style w:type="character" w:customStyle="1" w:styleId="AkapitzlistZnak">
    <w:name w:val="Akapit z listą Znak"/>
    <w:rPr>
      <w:rFonts w:ascii="Arial" w:eastAsia="Times New Roman" w:hAnsi="Arial" w:cs="Times New Roman"/>
      <w:szCs w:val="20"/>
      <w:lang w:eastAsia="pl-PL"/>
    </w:rPr>
  </w:style>
  <w:style w:type="character" w:customStyle="1" w:styleId="TekstprzypisudolnegoZnak">
    <w:name w:val="Tekst przypisu dolnego Znak"/>
    <w:basedOn w:val="Domylnaczcionkaakapitu"/>
    <w:rPr>
      <w:rFonts w:ascii="Times New Roman" w:eastAsia="Times New Roman" w:hAnsi="Times New Roman" w:cs="Times New Roman"/>
      <w:sz w:val="20"/>
      <w:szCs w:val="24"/>
      <w:lang w:eastAsia="pl-PL"/>
    </w:rPr>
  </w:style>
  <w:style w:type="character" w:styleId="Odwoanieprzypisudolnego">
    <w:name w:val="footnote reference"/>
    <w:rPr>
      <w:vertAlign w:val="superscript"/>
    </w:rPr>
  </w:style>
  <w:style w:type="character" w:customStyle="1" w:styleId="TekstkomentarzaZnak">
    <w:name w:val="Tekst komentarza Znak"/>
    <w:basedOn w:val="Domylnaczcionkaakapitu"/>
    <w:rPr>
      <w:rFonts w:ascii="Times New Roman" w:eastAsia="Times New Roman" w:hAnsi="Times New Roman" w:cs="Times New Roman"/>
      <w:sz w:val="20"/>
      <w:szCs w:val="20"/>
      <w:lang w:eastAsia="pl-PL"/>
    </w:rPr>
  </w:style>
  <w:style w:type="character" w:customStyle="1" w:styleId="czeinternetowe">
    <w:name w:val="Łącze internetowe"/>
    <w:basedOn w:val="Domylnaczcionkaakapitu"/>
    <w:rPr>
      <w:color w:val="0000FF"/>
      <w:u w:val="single"/>
    </w:rPr>
  </w:style>
  <w:style w:type="character" w:customStyle="1" w:styleId="Nagwek3Znak">
    <w:name w:val="Nagłówek 3 Znak"/>
    <w:basedOn w:val="Domylnaczcionkaakapitu"/>
    <w:rPr>
      <w:rFonts w:ascii="Times New Roman" w:eastAsia="Times New Roman" w:hAnsi="Times New Roman" w:cs="Times New Roman"/>
      <w:b/>
      <w:bCs/>
      <w:sz w:val="27"/>
      <w:szCs w:val="27"/>
      <w:lang w:eastAsia="pl-PL"/>
    </w:rPr>
  </w:style>
  <w:style w:type="character" w:styleId="Odwoaniedokomentarza">
    <w:name w:val="annotation reference"/>
    <w:basedOn w:val="Domylnaczcionkaakapitu"/>
    <w:rPr>
      <w:sz w:val="16"/>
      <w:szCs w:val="16"/>
    </w:rPr>
  </w:style>
  <w:style w:type="character" w:customStyle="1" w:styleId="TematkomentarzaZnak">
    <w:name w:val="Temat komentarza Znak"/>
    <w:basedOn w:val="TekstkomentarzaZnak"/>
    <w:rPr>
      <w:rFonts w:ascii="Times New Roman" w:eastAsia="Times New Roman" w:hAnsi="Times New Roman" w:cs="Times New Roman"/>
      <w:b/>
      <w:bCs/>
      <w:sz w:val="20"/>
      <w:szCs w:val="20"/>
      <w:lang w:eastAsia="pl-PL"/>
    </w:rPr>
  </w:style>
  <w:style w:type="character" w:customStyle="1" w:styleId="ListLabel1">
    <w:name w:val="ListLabel 1"/>
    <w:rPr>
      <w:b/>
    </w:rPr>
  </w:style>
  <w:style w:type="character" w:customStyle="1" w:styleId="ListLabel2">
    <w:name w:val="ListLabel 2"/>
    <w:rPr>
      <w:rFonts w:cs="Courier New"/>
    </w:rPr>
  </w:style>
  <w:style w:type="character" w:customStyle="1" w:styleId="ListLabel3">
    <w:name w:val="ListLabel 3"/>
    <w:rPr>
      <w:b/>
      <w:sz w:val="22"/>
      <w:szCs w:val="22"/>
    </w:rPr>
  </w:style>
  <w:style w:type="character" w:customStyle="1" w:styleId="ListLabel4">
    <w:name w:val="ListLabel 4"/>
    <w:rPr>
      <w:color w:val="00000A"/>
    </w:rPr>
  </w:style>
  <w:style w:type="character" w:customStyle="1" w:styleId="ListLabel5">
    <w:name w:val="ListLabel 5"/>
    <w:rPr>
      <w:rFonts w:cs="Symbol"/>
    </w:rPr>
  </w:style>
  <w:style w:type="character" w:customStyle="1" w:styleId="ListLabel6">
    <w:name w:val="ListLabel 6"/>
    <w:rPr>
      <w:rFonts w:cs="Courier New"/>
    </w:rPr>
  </w:style>
  <w:style w:type="character" w:customStyle="1" w:styleId="ListLabel7">
    <w:name w:val="ListLabel 7"/>
    <w:rPr>
      <w:rFonts w:cs="Wingdings"/>
    </w:rPr>
  </w:style>
  <w:style w:type="character" w:customStyle="1" w:styleId="ListLabel8">
    <w:name w:val="ListLabel 8"/>
    <w:rPr>
      <w:rFonts w:cs="Symbol"/>
      <w:color w:val="00000A"/>
    </w:rPr>
  </w:style>
  <w:style w:type="character" w:customStyle="1" w:styleId="h2">
    <w:name w:val="h2"/>
    <w:basedOn w:val="Domylnaczcionkaakapitu"/>
  </w:style>
  <w:style w:type="paragraph" w:styleId="Nagwek">
    <w:name w:val="header"/>
    <w:basedOn w:val="Normalny"/>
    <w:next w:val="Tretekstu"/>
    <w:pPr>
      <w:keepNext/>
      <w:spacing w:before="240" w:after="120"/>
    </w:pPr>
    <w:rPr>
      <w:rFonts w:ascii="Liberation Sans" w:hAnsi="Liberation Sans" w:cs="Droid Sans Devanagari"/>
      <w:sz w:val="28"/>
      <w:szCs w:val="28"/>
    </w:rPr>
  </w:style>
  <w:style w:type="paragraph" w:customStyle="1" w:styleId="Tretekstu">
    <w:name w:val="Treść tekstu"/>
    <w:basedOn w:val="Normalny"/>
    <w:pPr>
      <w:spacing w:after="120"/>
    </w:pPr>
  </w:style>
  <w:style w:type="paragraph" w:styleId="Lista">
    <w:name w:val="List"/>
    <w:basedOn w:val="Tretekstu"/>
    <w:rPr>
      <w:rFonts w:cs="Droid Sans Devanagari"/>
    </w:rPr>
  </w:style>
  <w:style w:type="paragraph" w:styleId="Podpis">
    <w:name w:val="Signature"/>
    <w:basedOn w:val="Normalny"/>
    <w:pPr>
      <w:suppressLineNumbers/>
      <w:spacing w:before="120" w:after="120"/>
    </w:pPr>
    <w:rPr>
      <w:rFonts w:cs="Droid Sans Devanagari"/>
      <w:i/>
      <w:iCs/>
      <w:sz w:val="24"/>
      <w:szCs w:val="24"/>
    </w:rPr>
  </w:style>
  <w:style w:type="paragraph" w:customStyle="1" w:styleId="Indeks">
    <w:name w:val="Indeks"/>
    <w:basedOn w:val="Normalny"/>
    <w:pPr>
      <w:suppressLineNumbers/>
    </w:pPr>
    <w:rPr>
      <w:rFonts w:cs="Droid Sans Devanagari"/>
    </w:rPr>
  </w:style>
  <w:style w:type="paragraph" w:styleId="Tekstdymka">
    <w:name w:val="Balloon Text"/>
    <w:basedOn w:val="Normalny"/>
    <w:pPr>
      <w:spacing w:after="0" w:line="100" w:lineRule="atLeast"/>
    </w:pPr>
    <w:rPr>
      <w:rFonts w:ascii="Tahoma" w:hAnsi="Tahoma" w:cs="Tahoma"/>
      <w:sz w:val="16"/>
      <w:szCs w:val="16"/>
    </w:rPr>
  </w:style>
  <w:style w:type="paragraph" w:customStyle="1" w:styleId="Gwka">
    <w:name w:val="Główka"/>
    <w:basedOn w:val="Normalny"/>
    <w:pPr>
      <w:tabs>
        <w:tab w:val="center" w:pos="4536"/>
        <w:tab w:val="right" w:pos="9072"/>
      </w:tabs>
      <w:spacing w:after="0" w:line="100" w:lineRule="atLeast"/>
    </w:pPr>
  </w:style>
  <w:style w:type="paragraph" w:styleId="Stopka">
    <w:name w:val="footer"/>
    <w:basedOn w:val="Normalny"/>
    <w:uiPriority w:val="99"/>
    <w:pPr>
      <w:tabs>
        <w:tab w:val="center" w:pos="4536"/>
        <w:tab w:val="right" w:pos="9072"/>
      </w:tabs>
      <w:spacing w:after="0" w:line="100" w:lineRule="atLeast"/>
    </w:pPr>
  </w:style>
  <w:style w:type="paragraph" w:customStyle="1" w:styleId="Default">
    <w:name w:val="Default"/>
    <w:pPr>
      <w:suppressAutoHyphens/>
      <w:spacing w:after="0" w:line="100" w:lineRule="atLeast"/>
    </w:pPr>
    <w:rPr>
      <w:rFonts w:ascii="Calibri" w:eastAsia="Droid Sans Fallback" w:hAnsi="Calibri" w:cs="Calibri"/>
      <w:color w:val="000000"/>
      <w:sz w:val="24"/>
      <w:szCs w:val="24"/>
      <w:lang w:eastAsia="en-US"/>
    </w:rPr>
  </w:style>
  <w:style w:type="paragraph" w:styleId="Akapitzlist">
    <w:name w:val="List Paragraph"/>
    <w:basedOn w:val="Normalny"/>
    <w:qFormat/>
    <w:pPr>
      <w:spacing w:before="200" w:after="0" w:line="320" w:lineRule="atLeast"/>
      <w:ind w:left="708"/>
    </w:pPr>
    <w:rPr>
      <w:rFonts w:ascii="Arial" w:eastAsia="Times New Roman" w:hAnsi="Arial" w:cs="Times New Roman"/>
      <w:szCs w:val="20"/>
      <w:lang w:eastAsia="pl-PL"/>
    </w:rPr>
  </w:style>
  <w:style w:type="paragraph" w:styleId="Poprawka">
    <w:name w:val="Revision"/>
    <w:pPr>
      <w:suppressAutoHyphens/>
      <w:spacing w:after="0" w:line="100" w:lineRule="atLeast"/>
    </w:pPr>
    <w:rPr>
      <w:rFonts w:ascii="Times New Roman" w:eastAsia="Times New Roman" w:hAnsi="Times New Roman" w:cs="Times New Roman"/>
      <w:color w:val="00000A"/>
      <w:sz w:val="24"/>
      <w:szCs w:val="24"/>
    </w:rPr>
  </w:style>
  <w:style w:type="paragraph" w:styleId="Tekstprzypisudolnego">
    <w:name w:val="footnote text"/>
    <w:basedOn w:val="Normalny"/>
    <w:pPr>
      <w:spacing w:after="0" w:line="100" w:lineRule="atLeast"/>
    </w:pPr>
    <w:rPr>
      <w:rFonts w:ascii="Times New Roman" w:eastAsia="Times New Roman" w:hAnsi="Times New Roman" w:cs="Times New Roman"/>
      <w:sz w:val="20"/>
      <w:szCs w:val="24"/>
      <w:lang w:eastAsia="pl-PL"/>
    </w:rPr>
  </w:style>
  <w:style w:type="paragraph" w:styleId="Tekstkomentarza">
    <w:name w:val="annotation text"/>
    <w:basedOn w:val="Normalny"/>
    <w:pPr>
      <w:overflowPunct w:val="0"/>
      <w:spacing w:after="0" w:line="100" w:lineRule="atLeast"/>
      <w:textAlignment w:val="baseline"/>
    </w:pPr>
    <w:rPr>
      <w:rFonts w:ascii="Times New Roman" w:eastAsia="Times New Roman" w:hAnsi="Times New Roman" w:cs="Times New Roman"/>
      <w:sz w:val="20"/>
      <w:szCs w:val="20"/>
      <w:lang w:eastAsia="pl-PL"/>
    </w:rPr>
  </w:style>
  <w:style w:type="paragraph" w:styleId="Tematkomentarza">
    <w:name w:val="annotation subject"/>
    <w:basedOn w:val="Tekstkomentarza"/>
    <w:pPr>
      <w:overflowPunct/>
      <w:spacing w:after="200"/>
      <w:textAlignment w:val="auto"/>
    </w:pPr>
    <w:rPr>
      <w:rFonts w:ascii="Calibri" w:hAnsi="Calibri" w:cs="Calibri"/>
      <w:b/>
      <w:bCs/>
      <w:lang w:eastAsia="en-US"/>
    </w:rPr>
  </w:style>
  <w:style w:type="character" w:styleId="Hipercze">
    <w:name w:val="Hyperlink"/>
    <w:rsid w:val="00E86DB9"/>
    <w:rPr>
      <w:color w:val="0000FF"/>
      <w:u w:val="single"/>
    </w:rPr>
  </w:style>
  <w:style w:type="paragraph" w:customStyle="1" w:styleId="xl33">
    <w:name w:val="xl33"/>
    <w:basedOn w:val="Normalny"/>
    <w:rsid w:val="00217179"/>
    <w:pPr>
      <w:suppressAutoHyphens w:val="0"/>
      <w:autoSpaceDE w:val="0"/>
      <w:autoSpaceDN w:val="0"/>
      <w:spacing w:before="100" w:after="100" w:line="240" w:lineRule="auto"/>
      <w:jc w:val="center"/>
    </w:pPr>
    <w:rPr>
      <w:rFonts w:ascii="Times New Roman" w:eastAsia="Times New Roman" w:hAnsi="Times New Roman" w:cs="Times New Roman"/>
      <w:color w:val="auto"/>
      <w:sz w:val="20"/>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159519">
      <w:bodyDiv w:val="1"/>
      <w:marLeft w:val="0"/>
      <w:marRight w:val="0"/>
      <w:marTop w:val="0"/>
      <w:marBottom w:val="0"/>
      <w:divBdr>
        <w:top w:val="none" w:sz="0" w:space="0" w:color="auto"/>
        <w:left w:val="none" w:sz="0" w:space="0" w:color="auto"/>
        <w:bottom w:val="none" w:sz="0" w:space="0" w:color="auto"/>
        <w:right w:val="none" w:sz="0" w:space="0" w:color="auto"/>
      </w:divBdr>
    </w:div>
    <w:div w:id="511338268">
      <w:bodyDiv w:val="1"/>
      <w:marLeft w:val="0"/>
      <w:marRight w:val="0"/>
      <w:marTop w:val="0"/>
      <w:marBottom w:val="0"/>
      <w:divBdr>
        <w:top w:val="none" w:sz="0" w:space="0" w:color="auto"/>
        <w:left w:val="none" w:sz="0" w:space="0" w:color="auto"/>
        <w:bottom w:val="none" w:sz="0" w:space="0" w:color="auto"/>
        <w:right w:val="none" w:sz="0" w:space="0" w:color="auto"/>
      </w:divBdr>
    </w:div>
    <w:div w:id="972833628">
      <w:bodyDiv w:val="1"/>
      <w:marLeft w:val="0"/>
      <w:marRight w:val="0"/>
      <w:marTop w:val="0"/>
      <w:marBottom w:val="0"/>
      <w:divBdr>
        <w:top w:val="none" w:sz="0" w:space="0" w:color="auto"/>
        <w:left w:val="none" w:sz="0" w:space="0" w:color="auto"/>
        <w:bottom w:val="none" w:sz="0" w:space="0" w:color="auto"/>
        <w:right w:val="none" w:sz="0" w:space="0" w:color="auto"/>
      </w:divBdr>
    </w:div>
    <w:div w:id="1090277245">
      <w:bodyDiv w:val="1"/>
      <w:marLeft w:val="0"/>
      <w:marRight w:val="0"/>
      <w:marTop w:val="0"/>
      <w:marBottom w:val="0"/>
      <w:divBdr>
        <w:top w:val="none" w:sz="0" w:space="0" w:color="auto"/>
        <w:left w:val="none" w:sz="0" w:space="0" w:color="auto"/>
        <w:bottom w:val="none" w:sz="0" w:space="0" w:color="auto"/>
        <w:right w:val="none" w:sz="0" w:space="0" w:color="auto"/>
      </w:divBdr>
      <w:divsChild>
        <w:div w:id="460734730">
          <w:marLeft w:val="0"/>
          <w:marRight w:val="0"/>
          <w:marTop w:val="0"/>
          <w:marBottom w:val="0"/>
          <w:divBdr>
            <w:top w:val="none" w:sz="0" w:space="0" w:color="auto"/>
            <w:left w:val="none" w:sz="0" w:space="0" w:color="auto"/>
            <w:bottom w:val="none" w:sz="0" w:space="0" w:color="auto"/>
            <w:right w:val="none" w:sz="0" w:space="0" w:color="auto"/>
          </w:divBdr>
        </w:div>
        <w:div w:id="998116645">
          <w:marLeft w:val="0"/>
          <w:marRight w:val="0"/>
          <w:marTop w:val="0"/>
          <w:marBottom w:val="0"/>
          <w:divBdr>
            <w:top w:val="none" w:sz="0" w:space="0" w:color="auto"/>
            <w:left w:val="none" w:sz="0" w:space="0" w:color="auto"/>
            <w:bottom w:val="none" w:sz="0" w:space="0" w:color="auto"/>
            <w:right w:val="none" w:sz="0" w:space="0" w:color="auto"/>
          </w:divBdr>
        </w:div>
        <w:div w:id="1292059576">
          <w:marLeft w:val="0"/>
          <w:marRight w:val="0"/>
          <w:marTop w:val="0"/>
          <w:marBottom w:val="0"/>
          <w:divBdr>
            <w:top w:val="none" w:sz="0" w:space="0" w:color="auto"/>
            <w:left w:val="none" w:sz="0" w:space="0" w:color="auto"/>
            <w:bottom w:val="none" w:sz="0" w:space="0" w:color="auto"/>
            <w:right w:val="none" w:sz="0" w:space="0" w:color="auto"/>
          </w:divBdr>
        </w:div>
        <w:div w:id="1953629217">
          <w:marLeft w:val="0"/>
          <w:marRight w:val="0"/>
          <w:marTop w:val="0"/>
          <w:marBottom w:val="0"/>
          <w:divBdr>
            <w:top w:val="none" w:sz="0" w:space="0" w:color="auto"/>
            <w:left w:val="none" w:sz="0" w:space="0" w:color="auto"/>
            <w:bottom w:val="none" w:sz="0" w:space="0" w:color="auto"/>
            <w:right w:val="none" w:sz="0" w:space="0" w:color="auto"/>
          </w:divBdr>
        </w:div>
        <w:div w:id="1768888880">
          <w:marLeft w:val="0"/>
          <w:marRight w:val="0"/>
          <w:marTop w:val="0"/>
          <w:marBottom w:val="0"/>
          <w:divBdr>
            <w:top w:val="none" w:sz="0" w:space="0" w:color="auto"/>
            <w:left w:val="none" w:sz="0" w:space="0" w:color="auto"/>
            <w:bottom w:val="none" w:sz="0" w:space="0" w:color="auto"/>
            <w:right w:val="none" w:sz="0" w:space="0" w:color="auto"/>
          </w:divBdr>
        </w:div>
        <w:div w:id="914169283">
          <w:marLeft w:val="0"/>
          <w:marRight w:val="0"/>
          <w:marTop w:val="0"/>
          <w:marBottom w:val="0"/>
          <w:divBdr>
            <w:top w:val="none" w:sz="0" w:space="0" w:color="auto"/>
            <w:left w:val="none" w:sz="0" w:space="0" w:color="auto"/>
            <w:bottom w:val="none" w:sz="0" w:space="0" w:color="auto"/>
            <w:right w:val="none" w:sz="0" w:space="0" w:color="auto"/>
          </w:divBdr>
        </w:div>
        <w:div w:id="1457480484">
          <w:marLeft w:val="0"/>
          <w:marRight w:val="0"/>
          <w:marTop w:val="0"/>
          <w:marBottom w:val="0"/>
          <w:divBdr>
            <w:top w:val="none" w:sz="0" w:space="0" w:color="auto"/>
            <w:left w:val="none" w:sz="0" w:space="0" w:color="auto"/>
            <w:bottom w:val="none" w:sz="0" w:space="0" w:color="auto"/>
            <w:right w:val="none" w:sz="0" w:space="0" w:color="auto"/>
          </w:divBdr>
        </w:div>
        <w:div w:id="1981494627">
          <w:marLeft w:val="0"/>
          <w:marRight w:val="0"/>
          <w:marTop w:val="0"/>
          <w:marBottom w:val="0"/>
          <w:divBdr>
            <w:top w:val="none" w:sz="0" w:space="0" w:color="auto"/>
            <w:left w:val="none" w:sz="0" w:space="0" w:color="auto"/>
            <w:bottom w:val="none" w:sz="0" w:space="0" w:color="auto"/>
            <w:right w:val="none" w:sz="0" w:space="0" w:color="auto"/>
          </w:divBdr>
        </w:div>
      </w:divsChild>
    </w:div>
    <w:div w:id="19385167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unduszeeuropejskie.gov.pl/" TargetMode="External"/><Relationship Id="rId18" Type="http://schemas.openxmlformats.org/officeDocument/2006/relationships/hyperlink" Target="mailto:pife@dolnyslask.pl"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mailto:pife.walbrzych@dolnyslask.pl" TargetMode="External"/><Relationship Id="rId7" Type="http://schemas.openxmlformats.org/officeDocument/2006/relationships/endnotes" Target="endnotes.xml"/><Relationship Id="rId12" Type="http://schemas.openxmlformats.org/officeDocument/2006/relationships/hyperlink" Target="http://www.rpo.dolnyslask.pl/" TargetMode="External"/><Relationship Id="rId17" Type="http://schemas.openxmlformats.org/officeDocument/2006/relationships/hyperlink" Target="http://www.funduszeeuropejskie.gov.pl/"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rpo.dolnyslask.pl/" TargetMode="External"/><Relationship Id="rId20" Type="http://schemas.openxmlformats.org/officeDocument/2006/relationships/hyperlink" Target="mailto:pife.legnica@dolnyslask.p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unduszeeuropejskie.gov.pl/" TargetMode="External"/><Relationship Id="rId24" Type="http://schemas.openxmlformats.org/officeDocument/2006/relationships/hyperlink" Target="http://www.funduszeeuropejskie.gov.pl" TargetMode="External"/><Relationship Id="rId5" Type="http://schemas.openxmlformats.org/officeDocument/2006/relationships/webSettings" Target="webSettings.xml"/><Relationship Id="rId15" Type="http://schemas.openxmlformats.org/officeDocument/2006/relationships/hyperlink" Target="http://www.rpo.dolnyslask.pl/" TargetMode="External"/><Relationship Id="rId23" Type="http://schemas.openxmlformats.org/officeDocument/2006/relationships/hyperlink" Target="http://www.rpo.dolnyslask.pl/" TargetMode="External"/><Relationship Id="rId10" Type="http://schemas.openxmlformats.org/officeDocument/2006/relationships/hyperlink" Target="http://www.funduszeeuropejskie.gov.pl/" TargetMode="External"/><Relationship Id="rId19" Type="http://schemas.openxmlformats.org/officeDocument/2006/relationships/hyperlink" Target="mailto:pife.jeleniagora@dolnyslask.pl" TargetMode="External"/><Relationship Id="rId4" Type="http://schemas.openxmlformats.org/officeDocument/2006/relationships/settings" Target="settings.xml"/><Relationship Id="rId9" Type="http://schemas.openxmlformats.org/officeDocument/2006/relationships/hyperlink" Target="http://www.rpo.dolnyslask.pl/" TargetMode="External"/><Relationship Id="rId14" Type="http://schemas.openxmlformats.org/officeDocument/2006/relationships/hyperlink" Target="http://www.rpo.dolnyslask.pl/" TargetMode="External"/><Relationship Id="rId22" Type="http://schemas.openxmlformats.org/officeDocument/2006/relationships/hyperlink" Target="http://www.rpo.dolnyslask.pl/"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10441</Words>
  <Characters>62650</Characters>
  <Application>Microsoft Office Word</Application>
  <DocSecurity>0</DocSecurity>
  <Lines>522</Lines>
  <Paragraphs>145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Filip  Baranowski</cp:lastModifiedBy>
  <cp:revision>3</cp:revision>
  <cp:lastPrinted>2016-01-27T12:02:00Z</cp:lastPrinted>
  <dcterms:created xsi:type="dcterms:W3CDTF">2016-04-28T14:15:00Z</dcterms:created>
  <dcterms:modified xsi:type="dcterms:W3CDTF">2016-04-28T14:15:00Z</dcterms:modified>
</cp:coreProperties>
</file>