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A5C" w:rsidRDefault="00BD73AC">
      <w:pPr>
        <w:pStyle w:val="Gwka"/>
        <w:spacing w:before="120" w:after="120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6003925" cy="103632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925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7C3A5C" w:rsidRDefault="00BD73AC">
      <w:pPr>
        <w:spacing w:line="10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32"/>
          <w:szCs w:val="32"/>
        </w:rPr>
        <w:t xml:space="preserve">Zarząd Województwa Dolnośląskiego </w:t>
      </w:r>
      <w:r>
        <w:rPr>
          <w:b/>
          <w:color w:val="000000"/>
          <w:sz w:val="32"/>
          <w:szCs w:val="32"/>
        </w:rPr>
        <w:br/>
      </w:r>
      <w:r>
        <w:rPr>
          <w:b/>
          <w:color w:val="000000"/>
          <w:sz w:val="28"/>
          <w:szCs w:val="28"/>
        </w:rPr>
        <w:t>pełniący rolę</w:t>
      </w:r>
    </w:p>
    <w:p w:rsidR="007C3A5C" w:rsidRDefault="00BD73AC">
      <w:pPr>
        <w:spacing w:line="10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Instytucji Zarządzającej </w:t>
      </w:r>
    </w:p>
    <w:p w:rsidR="007C3A5C" w:rsidRDefault="00BD73AC">
      <w:pPr>
        <w:spacing w:line="10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Regionalnym Programem Operacyjnym Województwa Dolnośląskiego </w:t>
      </w:r>
      <w:r>
        <w:rPr>
          <w:b/>
          <w:color w:val="000000"/>
          <w:sz w:val="28"/>
          <w:szCs w:val="28"/>
        </w:rPr>
        <w:br/>
        <w:t>2014-2020</w:t>
      </w:r>
    </w:p>
    <w:p w:rsidR="007C3A5C" w:rsidRDefault="00BD73AC">
      <w:pPr>
        <w:spacing w:line="100" w:lineRule="atLeast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ogłasza nabór wniosków o dofinansowanie realizacji projektów</w:t>
      </w:r>
    </w:p>
    <w:p w:rsidR="007C3A5C" w:rsidRDefault="00BD73AC">
      <w:pPr>
        <w:spacing w:line="100" w:lineRule="atLeast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ze środków Europejskiego Funduszu Rozwoju Regionalnego</w:t>
      </w:r>
    </w:p>
    <w:p w:rsidR="007C3A5C" w:rsidRDefault="00BD73AC">
      <w:pPr>
        <w:spacing w:line="100" w:lineRule="atLeast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 ramach Regionalnego Programu Operacyjnego Województwa Dolnośląskiego 2014-2020</w:t>
      </w:r>
    </w:p>
    <w:p w:rsidR="007C3A5C" w:rsidRDefault="007C3A5C">
      <w:pPr>
        <w:spacing w:line="100" w:lineRule="atLeast"/>
        <w:contextualSpacing/>
        <w:jc w:val="center"/>
        <w:rPr>
          <w:b/>
          <w:bCs/>
          <w:sz w:val="24"/>
          <w:szCs w:val="24"/>
        </w:rPr>
      </w:pPr>
    </w:p>
    <w:p w:rsidR="007C3A5C" w:rsidRDefault="007C3A5C">
      <w:pPr>
        <w:spacing w:line="100" w:lineRule="atLeast"/>
      </w:pPr>
    </w:p>
    <w:p w:rsidR="007C3A5C" w:rsidRDefault="00BD73AC">
      <w:pPr>
        <w:pStyle w:val="Gwka"/>
        <w:spacing w:before="120" w:after="12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Oś priorytetowa 3 Gospodarka niskoemisyjna</w:t>
      </w:r>
    </w:p>
    <w:p w:rsidR="007C3A5C" w:rsidRDefault="007C3A5C">
      <w:pPr>
        <w:pStyle w:val="Gwka"/>
        <w:spacing w:before="120" w:after="120"/>
        <w:jc w:val="center"/>
        <w:rPr>
          <w:rFonts w:cs="Arial"/>
          <w:sz w:val="32"/>
          <w:szCs w:val="32"/>
        </w:rPr>
      </w:pPr>
    </w:p>
    <w:p w:rsidR="007C3A5C" w:rsidRDefault="007C3A5C">
      <w:pPr>
        <w:pStyle w:val="Gwka"/>
        <w:spacing w:before="120" w:after="120"/>
        <w:jc w:val="center"/>
        <w:rPr>
          <w:rFonts w:cs="Arial"/>
          <w:b/>
          <w:sz w:val="32"/>
          <w:szCs w:val="32"/>
        </w:rPr>
      </w:pPr>
    </w:p>
    <w:p w:rsidR="007C3A5C" w:rsidRDefault="00BD73AC">
      <w:pPr>
        <w:pStyle w:val="Gwka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  <w:bookmarkStart w:id="0" w:name="_Toc422949625"/>
      <w:bookmarkStart w:id="1" w:name="_Toc430826812"/>
      <w:bookmarkEnd w:id="0"/>
      <w:bookmarkEnd w:id="1"/>
      <w:r>
        <w:rPr>
          <w:rFonts w:cs="Arial"/>
          <w:b/>
          <w:sz w:val="32"/>
          <w:szCs w:val="32"/>
          <w:u w:val="single"/>
        </w:rPr>
        <w:t>Działanie 3.3 Efektywność energetyczna w budynkach użyteczności publicznej i sektorze mieszkaniowym</w:t>
      </w:r>
    </w:p>
    <w:p w:rsidR="007C3A5C" w:rsidRDefault="007C3A5C">
      <w:pPr>
        <w:pStyle w:val="Gwka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</w:p>
    <w:p w:rsidR="007C3A5C" w:rsidRDefault="00BD73AC">
      <w:pPr>
        <w:tabs>
          <w:tab w:val="left" w:pos="2835"/>
        </w:tabs>
        <w:spacing w:line="100" w:lineRule="atLeast"/>
        <w:jc w:val="center"/>
        <w:rPr>
          <w:rFonts w:cs="Arial"/>
          <w:b/>
          <w:sz w:val="32"/>
          <w:szCs w:val="32"/>
        </w:rPr>
      </w:pPr>
      <w:bookmarkStart w:id="2" w:name="_Toc4229496251"/>
      <w:bookmarkStart w:id="3" w:name="_Toc4308268121"/>
      <w:bookmarkEnd w:id="2"/>
      <w:bookmarkEnd w:id="3"/>
      <w:r>
        <w:rPr>
          <w:rFonts w:cs="Arial"/>
          <w:b/>
          <w:sz w:val="32"/>
          <w:szCs w:val="32"/>
        </w:rPr>
        <w:t>Poddziałanie 3.3.1 Efektywność energetyczna w budynkach użyteczności publicznej i sektorze mieszkaniowym</w:t>
      </w:r>
    </w:p>
    <w:p w:rsidR="007C3A5C" w:rsidRDefault="00BD73AC">
      <w:pPr>
        <w:pStyle w:val="Gwka"/>
        <w:spacing w:before="120" w:after="12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- OSI</w:t>
      </w:r>
    </w:p>
    <w:p w:rsidR="007C3A5C" w:rsidRDefault="007C3A5C">
      <w:pPr>
        <w:pStyle w:val="Gwka"/>
        <w:spacing w:before="120" w:after="120"/>
        <w:jc w:val="center"/>
      </w:pPr>
    </w:p>
    <w:p w:rsidR="007C3A5C" w:rsidRDefault="007C3A5C">
      <w:pPr>
        <w:pStyle w:val="Gwka"/>
        <w:spacing w:before="120" w:after="120"/>
        <w:jc w:val="center"/>
      </w:pPr>
    </w:p>
    <w:p w:rsidR="007C3A5C" w:rsidRDefault="007C3A5C">
      <w:pPr>
        <w:pStyle w:val="Gwka"/>
        <w:spacing w:before="120" w:after="120"/>
        <w:jc w:val="center"/>
      </w:pPr>
    </w:p>
    <w:p w:rsidR="007C3A5C" w:rsidRDefault="00BD73AC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Nr naboru RPDS.03.03.01-IZ.00-02-063/16</w:t>
      </w:r>
    </w:p>
    <w:p w:rsidR="007C3A5C" w:rsidRDefault="007C3A5C">
      <w:pPr>
        <w:spacing w:line="100" w:lineRule="atLeast"/>
        <w:jc w:val="center"/>
        <w:rPr>
          <w:b/>
          <w:sz w:val="28"/>
          <w:szCs w:val="28"/>
        </w:rPr>
      </w:pPr>
    </w:p>
    <w:p w:rsidR="007C3A5C" w:rsidRDefault="007C3A5C">
      <w:pPr>
        <w:spacing w:line="100" w:lineRule="atLeast"/>
      </w:pPr>
    </w:p>
    <w:p w:rsidR="007C3A5C" w:rsidRDefault="007C3A5C">
      <w:pPr>
        <w:spacing w:line="100" w:lineRule="atLeast"/>
      </w:pPr>
    </w:p>
    <w:p w:rsidR="007C3A5C" w:rsidRDefault="007C3A5C">
      <w:pPr>
        <w:spacing w:line="100" w:lineRule="atLeast"/>
        <w:rPr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26"/>
        <w:gridCol w:w="2207"/>
        <w:gridCol w:w="6889"/>
      </w:tblGrid>
      <w:tr w:rsidR="007C3A5C" w:rsidTr="008F375B"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C3A5C" w:rsidRDefault="00BD73AC">
            <w:pPr>
              <w:spacing w:after="0"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C3A5C" w:rsidRDefault="00BD73AC">
            <w:pPr>
              <w:pStyle w:val="Nagwek1"/>
              <w:spacing w:before="120" w:after="120" w:line="100" w:lineRule="atLeas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Informacje ogólne</w:t>
            </w:r>
          </w:p>
          <w:p w:rsidR="007C3A5C" w:rsidRDefault="007C3A5C">
            <w:pPr>
              <w:spacing w:after="0" w:line="100" w:lineRule="atLeast"/>
              <w:rPr>
                <w:b/>
                <w:bCs/>
                <w:color w:val="000000"/>
              </w:rPr>
            </w:pPr>
          </w:p>
        </w:tc>
        <w:tc>
          <w:tcPr>
            <w:tcW w:w="6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C3A5C" w:rsidRDefault="00BD73AC">
            <w:pPr>
              <w:pStyle w:val="Gwka"/>
              <w:spacing w:before="120" w:after="120"/>
              <w:jc w:val="both"/>
              <w:rPr>
                <w:rFonts w:cs="Arial"/>
              </w:rPr>
            </w:pPr>
            <w:r>
              <w:rPr>
                <w:color w:val="000000"/>
              </w:rPr>
              <w:t xml:space="preserve">Nabór w trybie konkursowym </w:t>
            </w:r>
            <w:r>
              <w:rPr>
                <w:rFonts w:cs="Arial"/>
              </w:rPr>
              <w:t>w ramach Regionalnego Programu Operacyjnego Województwa Dolnośląskiego 2014-2020 Osi Priorytetowej 3 Gospodarka niskoemisyjna Działanie 3.3 Efektywność energetyczna w budynkach użyteczności publicznej i sektorze mieszkaniowym, Poddziałanie 3.3.1 Efektywność energetyczna w budynkach użyteczności publicznej i sektorze mieszkaniowym – OSI</w:t>
            </w:r>
          </w:p>
          <w:p w:rsidR="007C3A5C" w:rsidRDefault="00BD73AC">
            <w:pPr>
              <w:pStyle w:val="Gwka"/>
              <w:spacing w:before="120" w:after="120"/>
              <w:jc w:val="both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Nabór w trybie konkursowym - ukierunkowany na Obszary Strategicznej Interwencji:</w:t>
            </w:r>
          </w:p>
          <w:p w:rsidR="007C3A5C" w:rsidRDefault="00BD73AC">
            <w:pPr>
              <w:pStyle w:val="Gwka"/>
              <w:numPr>
                <w:ilvl w:val="0"/>
                <w:numId w:val="1"/>
              </w:numPr>
              <w:spacing w:before="120" w:after="120"/>
              <w:jc w:val="both"/>
              <w:rPr>
                <w:color w:val="000000"/>
              </w:rPr>
            </w:pPr>
            <w:r>
              <w:t>Zachodni Obszar Interwencji</w:t>
            </w:r>
            <w:r>
              <w:rPr>
                <w:rStyle w:val="Zakotwiczenieprzypisudolnego"/>
              </w:rPr>
              <w:footnoteReference w:id="1"/>
            </w:r>
            <w:r>
              <w:rPr>
                <w:color w:val="000000"/>
              </w:rPr>
              <w:t xml:space="preserve"> (ZOI);</w:t>
            </w:r>
          </w:p>
          <w:p w:rsidR="007C3A5C" w:rsidRDefault="00BD73AC">
            <w:pPr>
              <w:pStyle w:val="Akapitzlist"/>
              <w:numPr>
                <w:ilvl w:val="0"/>
                <w:numId w:val="1"/>
              </w:numPr>
              <w:spacing w:line="100" w:lineRule="atLeast"/>
              <w:jc w:val="both"/>
              <w:rPr>
                <w:rFonts w:ascii="Calibri" w:hAnsi="Calibri" w:cs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szCs w:val="22"/>
              </w:rPr>
              <w:t>Legnicko-Głogowski Obszar Interwencji</w:t>
            </w:r>
            <w:r>
              <w:rPr>
                <w:rStyle w:val="Zakotwiczenieprzypisudolnego"/>
                <w:rFonts w:ascii="Calibri" w:hAnsi="Calibri"/>
                <w:szCs w:val="22"/>
              </w:rPr>
              <w:footnoteReference w:id="2"/>
            </w:r>
            <w:r>
              <w:rPr>
                <w:rFonts w:ascii="Calibri" w:hAnsi="Calibri"/>
                <w:szCs w:val="22"/>
              </w:rPr>
              <w:t xml:space="preserve"> (</w:t>
            </w:r>
            <w:r>
              <w:rPr>
                <w:rFonts w:ascii="Calibri" w:hAnsi="Calibri" w:cs="Calibri"/>
                <w:color w:val="000000"/>
                <w:szCs w:val="22"/>
              </w:rPr>
              <w:t>LGOI)</w:t>
            </w:r>
            <w:r>
              <w:rPr>
                <w:rFonts w:ascii="Calibri" w:hAnsi="Calibri" w:cs="Calibri"/>
                <w:b/>
                <w:color w:val="000000"/>
                <w:szCs w:val="22"/>
              </w:rPr>
              <w:t>;</w:t>
            </w:r>
          </w:p>
          <w:p w:rsidR="007C3A5C" w:rsidRDefault="00BD73AC">
            <w:pPr>
              <w:pStyle w:val="Akapitzlist"/>
              <w:numPr>
                <w:ilvl w:val="0"/>
                <w:numId w:val="1"/>
              </w:numPr>
              <w:spacing w:line="100" w:lineRule="atLeast"/>
              <w:jc w:val="both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/>
                <w:szCs w:val="22"/>
              </w:rPr>
              <w:t>Obszar Interwencji Doliny Baryczy</w:t>
            </w:r>
            <w:r>
              <w:rPr>
                <w:rStyle w:val="Zakotwiczenieprzypisudolnego"/>
                <w:rFonts w:ascii="Calibri" w:hAnsi="Calibri"/>
                <w:szCs w:val="22"/>
              </w:rPr>
              <w:footnoteReference w:id="3"/>
            </w:r>
            <w:r>
              <w:rPr>
                <w:rFonts w:ascii="Calibri" w:hAnsi="Calibri"/>
                <w:szCs w:val="22"/>
              </w:rPr>
              <w:t xml:space="preserve"> (</w:t>
            </w:r>
            <w:r>
              <w:rPr>
                <w:rFonts w:ascii="Calibri" w:hAnsi="Calibri" w:cs="Calibri"/>
                <w:color w:val="000000"/>
                <w:szCs w:val="22"/>
              </w:rPr>
              <w:t>OIDB);</w:t>
            </w:r>
          </w:p>
          <w:p w:rsidR="007C3A5C" w:rsidRDefault="00BD73AC">
            <w:pPr>
              <w:pStyle w:val="Akapitzlist"/>
              <w:numPr>
                <w:ilvl w:val="0"/>
                <w:numId w:val="1"/>
              </w:numPr>
              <w:spacing w:line="100" w:lineRule="atLeast"/>
              <w:jc w:val="both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/>
                <w:szCs w:val="22"/>
              </w:rPr>
              <w:t>Obszar Interwencji Równiny Wrocławskiej</w:t>
            </w:r>
            <w:r>
              <w:rPr>
                <w:rStyle w:val="Zakotwiczenieprzypisudolnego"/>
                <w:rFonts w:ascii="Calibri" w:hAnsi="Calibri"/>
                <w:szCs w:val="22"/>
              </w:rPr>
              <w:footnoteReference w:id="4"/>
            </w:r>
            <w:r>
              <w:rPr>
                <w:rFonts w:ascii="Calibri" w:hAnsi="Calibri"/>
                <w:szCs w:val="22"/>
              </w:rPr>
              <w:t xml:space="preserve"> (</w:t>
            </w:r>
            <w:r>
              <w:rPr>
                <w:rFonts w:ascii="Calibri" w:hAnsi="Calibri" w:cs="Calibri"/>
                <w:color w:val="000000"/>
                <w:szCs w:val="22"/>
              </w:rPr>
              <w:t>OIRW);</w:t>
            </w:r>
          </w:p>
          <w:p w:rsidR="007C3A5C" w:rsidRDefault="00BD73AC">
            <w:pPr>
              <w:pStyle w:val="Akapitzlist"/>
              <w:numPr>
                <w:ilvl w:val="0"/>
                <w:numId w:val="1"/>
              </w:numPr>
              <w:spacing w:line="100" w:lineRule="atLeast"/>
              <w:jc w:val="both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/>
                <w:szCs w:val="22"/>
              </w:rPr>
              <w:t>Obszar Ziemia Dzierżoniowsko-Kłodzko-Ząbkowicka</w:t>
            </w:r>
            <w:r>
              <w:rPr>
                <w:rStyle w:val="Zakotwiczenieprzypisudolnego"/>
                <w:rFonts w:ascii="Calibri" w:hAnsi="Calibri"/>
                <w:szCs w:val="22"/>
              </w:rPr>
              <w:footnoteReference w:id="5"/>
            </w:r>
            <w:r>
              <w:rPr>
                <w:rFonts w:ascii="Calibri" w:hAnsi="Calibri"/>
                <w:szCs w:val="22"/>
              </w:rPr>
              <w:t xml:space="preserve"> (</w:t>
            </w:r>
            <w:r>
              <w:rPr>
                <w:rFonts w:ascii="Calibri" w:hAnsi="Calibri" w:cs="Calibri"/>
                <w:color w:val="000000"/>
                <w:szCs w:val="22"/>
              </w:rPr>
              <w:t>ZKD);</w:t>
            </w:r>
          </w:p>
          <w:p w:rsidR="007C3A5C" w:rsidRDefault="00BD73AC">
            <w:pPr>
              <w:spacing w:before="120" w:after="120" w:line="10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Na każdy z ww. obszarów OSI przeznaczona jest odrębna alokacja i dla każdego OSI tworzone będą odrębne listy rankingowe projektów.</w:t>
            </w:r>
          </w:p>
          <w:p w:rsidR="007C3A5C" w:rsidRDefault="00BD73AC">
            <w:pPr>
              <w:spacing w:before="120" w:after="120" w:line="10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W ramach naboru (dostępnej alokacji) aplikować mogą wnioskodawcy, których budynki zlokalizowane są na obszarze danego OSI.</w:t>
            </w:r>
          </w:p>
        </w:tc>
      </w:tr>
      <w:tr w:rsidR="007C3A5C" w:rsidTr="008F375B"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C3A5C" w:rsidRDefault="00BD73AC">
            <w:pPr>
              <w:spacing w:after="0"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C3A5C" w:rsidRDefault="00BD73AC">
            <w:pPr>
              <w:spacing w:after="0"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Pełna nazwa i adres </w:t>
            </w:r>
            <w:r>
              <w:rPr>
                <w:b/>
                <w:bCs/>
                <w:color w:val="000000"/>
              </w:rPr>
              <w:lastRenderedPageBreak/>
              <w:t>właściwej instytucji</w:t>
            </w:r>
            <w:r>
              <w:rPr>
                <w:b/>
              </w:rPr>
              <w:t xml:space="preserve"> organizującej konkurs</w:t>
            </w:r>
            <w:r>
              <w:rPr>
                <w:b/>
                <w:bCs/>
                <w:color w:val="000000"/>
              </w:rPr>
              <w:t xml:space="preserve">: </w:t>
            </w:r>
          </w:p>
        </w:tc>
        <w:tc>
          <w:tcPr>
            <w:tcW w:w="6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C3A5C" w:rsidRDefault="00BD73AC">
            <w:pPr>
              <w:pStyle w:val="Akapitzlist"/>
              <w:spacing w:before="120" w:after="120" w:line="100" w:lineRule="atLeast"/>
              <w:ind w:left="0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lastRenderedPageBreak/>
              <w:t xml:space="preserve">Konkurs ogłasza Instytucja Zarządzająca Regionalnym Programem </w:t>
            </w:r>
            <w:r>
              <w:rPr>
                <w:rFonts w:ascii="Calibri" w:hAnsi="Calibri"/>
                <w:szCs w:val="22"/>
              </w:rPr>
              <w:lastRenderedPageBreak/>
              <w:t xml:space="preserve">Operacyjnym Województwa Dolnośląskiego 2014-2020 pełniąca rolę Instytucji Organizującej Konkurs. </w:t>
            </w:r>
          </w:p>
          <w:p w:rsidR="007C3A5C" w:rsidRDefault="00BD73AC">
            <w:pPr>
              <w:pStyle w:val="Akapitzlist"/>
              <w:spacing w:before="120" w:after="120" w:line="100" w:lineRule="atLeast"/>
              <w:ind w:left="0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Funkcję Instytucji Zarządzającej pełni Zarząd Województwa Dolnośląskiego. </w:t>
            </w:r>
          </w:p>
          <w:p w:rsidR="007C3A5C" w:rsidRDefault="00BD73AC" w:rsidP="007D7011">
            <w:pPr>
              <w:pStyle w:val="Akapitzlist"/>
              <w:spacing w:before="120" w:after="120" w:line="100" w:lineRule="atLeast"/>
              <w:ind w:left="0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Zadania związane z naborem realizuje Departament Funduszy Europejskich w Urzędzie Marszałkowskim Województwa Dolnośląskiego, </w:t>
            </w:r>
            <w:r>
              <w:rPr>
                <w:rFonts w:ascii="Calibri" w:hAnsi="Calibri"/>
                <w:bCs/>
              </w:rPr>
              <w:t>ul. Mazowiecka 17, 50-412 Wrocław</w:t>
            </w:r>
            <w:r>
              <w:rPr>
                <w:rFonts w:ascii="Calibri" w:hAnsi="Calibri"/>
                <w:szCs w:val="22"/>
              </w:rPr>
              <w:t xml:space="preserve">. </w:t>
            </w:r>
          </w:p>
        </w:tc>
      </w:tr>
      <w:tr w:rsidR="007C3A5C" w:rsidTr="008F375B"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C3A5C" w:rsidRDefault="00BD73AC">
            <w:pPr>
              <w:spacing w:after="0"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3. 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C3A5C" w:rsidRDefault="00BD73AC">
            <w:pPr>
              <w:spacing w:after="0"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Przedmiot konkursu, w tym typy projektów podlegających dofinansowaniu: </w:t>
            </w:r>
          </w:p>
        </w:tc>
        <w:tc>
          <w:tcPr>
            <w:tcW w:w="6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C3A5C" w:rsidRDefault="00BD73AC">
            <w:pPr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Przedmiotem konkursu jest typ projektu określony dla działania 3.3 </w:t>
            </w:r>
            <w:r>
              <w:rPr>
                <w:rFonts w:cs="Arial"/>
              </w:rPr>
              <w:t>Efektywność energetyczna w budynkach użyteczności publicznej i sektorze mieszkaniowym</w:t>
            </w:r>
            <w:r>
              <w:rPr>
                <w:color w:val="000000"/>
              </w:rPr>
              <w:t xml:space="preserve"> w osi priorytetowej 3 Gospodarka niskoemisyjna w trybie konkursowym, tj.:</w:t>
            </w:r>
          </w:p>
          <w:p w:rsidR="007C3A5C" w:rsidRDefault="007C3A5C">
            <w:pPr>
              <w:spacing w:after="0" w:line="100" w:lineRule="atLeast"/>
              <w:jc w:val="both"/>
              <w:rPr>
                <w:color w:val="000000"/>
              </w:rPr>
            </w:pPr>
          </w:p>
          <w:p w:rsidR="007C3A5C" w:rsidRDefault="00BD73AC">
            <w:pPr>
              <w:pStyle w:val="Default"/>
              <w:jc w:val="both"/>
              <w:rPr>
                <w:rFonts w:cs="Arial"/>
                <w:color w:val="00000A"/>
                <w:sz w:val="22"/>
                <w:szCs w:val="22"/>
              </w:rPr>
            </w:pPr>
            <w:r>
              <w:rPr>
                <w:rFonts w:cs="Arial"/>
                <w:color w:val="00000A"/>
                <w:sz w:val="22"/>
                <w:szCs w:val="22"/>
              </w:rPr>
              <w:t>Typ 3.3 A Projekty związane z kompleksową modernizacją energetyczną budynków użyteczności publicznej.</w:t>
            </w:r>
          </w:p>
          <w:p w:rsidR="007C3A5C" w:rsidRDefault="007C3A5C">
            <w:pPr>
              <w:pStyle w:val="Default"/>
              <w:jc w:val="both"/>
              <w:rPr>
                <w:rFonts w:cs="Arial"/>
                <w:color w:val="00000A"/>
                <w:sz w:val="22"/>
                <w:szCs w:val="22"/>
              </w:rPr>
            </w:pPr>
          </w:p>
          <w:p w:rsidR="007C3A5C" w:rsidRDefault="00BD73AC">
            <w:pPr>
              <w:pStyle w:val="Default"/>
              <w:jc w:val="both"/>
              <w:rPr>
                <w:rFonts w:cs="Arial"/>
                <w:color w:val="00000A"/>
                <w:sz w:val="22"/>
                <w:szCs w:val="22"/>
              </w:rPr>
            </w:pPr>
            <w:r>
              <w:rPr>
                <w:rFonts w:cs="Arial"/>
                <w:color w:val="00000A"/>
                <w:sz w:val="22"/>
                <w:szCs w:val="22"/>
              </w:rPr>
              <w:t xml:space="preserve">Budynki użyteczności publicznej - zgodnie z definicją ujętą </w:t>
            </w:r>
            <w:r w:rsidR="003C40F2">
              <w:rPr>
                <w:rFonts w:cs="Arial"/>
                <w:color w:val="00000A"/>
                <w:sz w:val="22"/>
                <w:szCs w:val="22"/>
              </w:rPr>
              <w:br/>
            </w:r>
            <w:r>
              <w:rPr>
                <w:rFonts w:cs="Arial"/>
                <w:color w:val="00000A"/>
                <w:sz w:val="22"/>
                <w:szCs w:val="22"/>
              </w:rPr>
              <w:t xml:space="preserve">w Rozporządzeniu Ministra Infrastruktury z dnia 12 kwietnia 2002 r. </w:t>
            </w:r>
            <w:r w:rsidR="003C40F2">
              <w:rPr>
                <w:rFonts w:cs="Arial"/>
                <w:color w:val="00000A"/>
                <w:sz w:val="22"/>
                <w:szCs w:val="22"/>
              </w:rPr>
              <w:br/>
            </w:r>
            <w:r>
              <w:rPr>
                <w:rFonts w:cs="Arial"/>
                <w:color w:val="00000A"/>
                <w:sz w:val="22"/>
                <w:szCs w:val="22"/>
              </w:rPr>
              <w:t xml:space="preserve">w sprawie warunków technicznych, jakim powinny odpowiadać budynki i ich usytuowanie (Dz. U. z dnia 15 czerwca 2002 r. z </w:t>
            </w:r>
            <w:proofErr w:type="spellStart"/>
            <w:r>
              <w:rPr>
                <w:rFonts w:cs="Arial"/>
                <w:color w:val="00000A"/>
                <w:sz w:val="22"/>
                <w:szCs w:val="22"/>
              </w:rPr>
              <w:t>poźn</w:t>
            </w:r>
            <w:proofErr w:type="spellEnd"/>
            <w:r>
              <w:rPr>
                <w:rFonts w:cs="Arial"/>
                <w:color w:val="00000A"/>
                <w:sz w:val="22"/>
                <w:szCs w:val="22"/>
              </w:rPr>
              <w:t>. zm.). Jeśli budynek zamieszkania zbiorowego spełnia jednocześnie definicję budynku użyteczności publicznej, również może być przedmiotem projektu.</w:t>
            </w:r>
          </w:p>
          <w:p w:rsidR="007C3A5C" w:rsidRDefault="007C3A5C">
            <w:pPr>
              <w:pStyle w:val="Default"/>
              <w:jc w:val="both"/>
              <w:rPr>
                <w:rFonts w:cs="Arial"/>
                <w:color w:val="00000A"/>
                <w:sz w:val="22"/>
                <w:szCs w:val="22"/>
              </w:rPr>
            </w:pPr>
          </w:p>
          <w:p w:rsidR="007C3A5C" w:rsidRDefault="00BD73AC">
            <w:pPr>
              <w:spacing w:after="0" w:line="10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Kategorią interwencji dla niniejszego konkursu jest kategoria 013 Renowacja infrastruktury publicznej dla celów efektywności energetycznej, projekty demonstracyjne i środki wsparcia.</w:t>
            </w:r>
          </w:p>
        </w:tc>
      </w:tr>
      <w:tr w:rsidR="007C3A5C" w:rsidTr="008F375B"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C3A5C" w:rsidRDefault="00BD73AC">
            <w:pPr>
              <w:spacing w:after="0"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4. 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C3A5C" w:rsidRDefault="00BD73AC">
            <w:pPr>
              <w:spacing w:after="0"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Typy beneficjentów: </w:t>
            </w:r>
          </w:p>
        </w:tc>
        <w:tc>
          <w:tcPr>
            <w:tcW w:w="6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C3A5C" w:rsidRDefault="00BD73AC">
            <w:pPr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O dofinansowanie w ramach konkursu mogą ubiegać się następujące typy beneficjentów: </w:t>
            </w:r>
          </w:p>
          <w:p w:rsidR="007C3A5C" w:rsidRDefault="00BD73AC">
            <w:pPr>
              <w:pStyle w:val="Akapitzlist"/>
              <w:numPr>
                <w:ilvl w:val="0"/>
                <w:numId w:val="2"/>
              </w:numPr>
              <w:spacing w:line="100" w:lineRule="atLeast"/>
              <w:contextualSpacing/>
              <w:jc w:val="both"/>
              <w:rPr>
                <w:rFonts w:ascii="Calibri" w:eastAsia="TTE1ABE920t00" w:hAnsi="Calibri" w:cs="Arial"/>
              </w:rPr>
            </w:pPr>
            <w:r>
              <w:rPr>
                <w:rFonts w:ascii="Calibri" w:eastAsia="TTE1ABE920t00" w:hAnsi="Calibri" w:cs="Arial"/>
              </w:rPr>
              <w:t xml:space="preserve">jednostki samorządu terytorialnego, ich związki i stowarzyszenia; </w:t>
            </w:r>
          </w:p>
          <w:p w:rsidR="007C3A5C" w:rsidRDefault="00BD73AC">
            <w:pPr>
              <w:pStyle w:val="Akapitzlist"/>
              <w:numPr>
                <w:ilvl w:val="0"/>
                <w:numId w:val="2"/>
              </w:numPr>
              <w:spacing w:line="100" w:lineRule="atLeast"/>
              <w:contextualSpacing/>
              <w:jc w:val="both"/>
              <w:rPr>
                <w:rFonts w:ascii="Calibri" w:eastAsia="TTE1ABE920t00" w:hAnsi="Calibri" w:cs="Arial"/>
              </w:rPr>
            </w:pPr>
            <w:r>
              <w:rPr>
                <w:rFonts w:ascii="Calibri" w:eastAsia="TTE1ABE920t00" w:hAnsi="Calibri" w:cs="Arial"/>
              </w:rPr>
              <w:t xml:space="preserve">podmioty publiczne, których właścicielem jest JST lub dla których podmiotem założycielskim jest JST; </w:t>
            </w:r>
          </w:p>
          <w:p w:rsidR="007C3A5C" w:rsidRDefault="00BD73AC">
            <w:pPr>
              <w:pStyle w:val="Akapitzlist"/>
              <w:numPr>
                <w:ilvl w:val="0"/>
                <w:numId w:val="2"/>
              </w:numPr>
              <w:spacing w:line="100" w:lineRule="atLeast"/>
              <w:contextualSpacing/>
              <w:jc w:val="both"/>
              <w:rPr>
                <w:rFonts w:ascii="Calibri" w:eastAsia="TTE1ABE920t00" w:hAnsi="Calibri" w:cs="Arial"/>
              </w:rPr>
            </w:pPr>
            <w:r>
              <w:rPr>
                <w:rFonts w:ascii="Calibri" w:eastAsia="TTE1ABE920t00" w:hAnsi="Calibri" w:cs="Arial"/>
              </w:rPr>
              <w:t xml:space="preserve">jednostki organizacyjne JST; </w:t>
            </w:r>
          </w:p>
          <w:p w:rsidR="007C3A5C" w:rsidRDefault="00BD73AC">
            <w:pPr>
              <w:pStyle w:val="Akapitzlist"/>
              <w:numPr>
                <w:ilvl w:val="0"/>
                <w:numId w:val="2"/>
              </w:numPr>
              <w:spacing w:line="100" w:lineRule="atLeast"/>
              <w:contextualSpacing/>
              <w:jc w:val="both"/>
              <w:rPr>
                <w:rFonts w:ascii="Calibri" w:eastAsia="TTE1ABE920t00" w:hAnsi="Calibri" w:cs="Arial"/>
              </w:rPr>
            </w:pPr>
            <w:r>
              <w:rPr>
                <w:rFonts w:ascii="Calibri" w:eastAsia="TTE1ABE920t00" w:hAnsi="Calibri" w:cs="Arial"/>
              </w:rPr>
              <w:t xml:space="preserve">spółdzielnie mieszkaniowe i wspólnoty mieszkaniowe; </w:t>
            </w:r>
          </w:p>
          <w:p w:rsidR="007C3A5C" w:rsidRDefault="00BD73AC">
            <w:pPr>
              <w:pStyle w:val="Akapitzlist"/>
              <w:numPr>
                <w:ilvl w:val="0"/>
                <w:numId w:val="2"/>
              </w:numPr>
              <w:spacing w:line="100" w:lineRule="atLeast"/>
              <w:contextualSpacing/>
              <w:jc w:val="both"/>
              <w:rPr>
                <w:rFonts w:ascii="Calibri" w:eastAsia="TTE1ABE920t00" w:hAnsi="Calibri" w:cs="Arial"/>
              </w:rPr>
            </w:pPr>
            <w:r>
              <w:rPr>
                <w:rFonts w:ascii="Calibri" w:eastAsia="TTE1ABE920t00" w:hAnsi="Calibri" w:cs="Arial"/>
              </w:rPr>
              <w:t>towarzystwa budownictwa społecznego;</w:t>
            </w:r>
          </w:p>
          <w:p w:rsidR="007C3A5C" w:rsidRDefault="00BD73AC">
            <w:pPr>
              <w:pStyle w:val="Akapitzlist"/>
              <w:numPr>
                <w:ilvl w:val="0"/>
                <w:numId w:val="2"/>
              </w:numPr>
              <w:spacing w:line="100" w:lineRule="atLeast"/>
              <w:contextualSpacing/>
              <w:jc w:val="both"/>
              <w:rPr>
                <w:rFonts w:ascii="Calibri" w:eastAsia="TTE1ABE920t00" w:hAnsi="Calibri" w:cs="Arial"/>
              </w:rPr>
            </w:pPr>
            <w:r>
              <w:rPr>
                <w:rFonts w:ascii="Calibri" w:eastAsia="TTE1ABE920t00" w:hAnsi="Calibri" w:cs="Arial"/>
              </w:rPr>
              <w:t xml:space="preserve">organizacje pozarządowe; </w:t>
            </w:r>
          </w:p>
          <w:p w:rsidR="007C3A5C" w:rsidRDefault="00BD73AC">
            <w:pPr>
              <w:pStyle w:val="Akapitzlist"/>
              <w:numPr>
                <w:ilvl w:val="0"/>
                <w:numId w:val="2"/>
              </w:numPr>
              <w:spacing w:line="100" w:lineRule="atLeast"/>
              <w:contextualSpacing/>
              <w:jc w:val="both"/>
              <w:rPr>
                <w:rFonts w:ascii="Calibri" w:eastAsia="TTE1ABE920t00" w:hAnsi="Calibri" w:cs="Arial"/>
              </w:rPr>
            </w:pPr>
            <w:r>
              <w:rPr>
                <w:rFonts w:ascii="Calibri" w:eastAsia="TTE1ABE920t00" w:hAnsi="Calibri" w:cs="Arial"/>
              </w:rPr>
              <w:t xml:space="preserve">PGL Lasy Państwowe i jego jednostki organizacyjne; </w:t>
            </w:r>
          </w:p>
          <w:p w:rsidR="007C3A5C" w:rsidRDefault="00BD73AC">
            <w:pPr>
              <w:pStyle w:val="Akapitzlist"/>
              <w:numPr>
                <w:ilvl w:val="0"/>
                <w:numId w:val="2"/>
              </w:numPr>
              <w:spacing w:line="100" w:lineRule="atLeast"/>
              <w:contextualSpacing/>
              <w:jc w:val="both"/>
              <w:rPr>
                <w:rFonts w:ascii="Calibri" w:eastAsia="TTE1ABE920t00" w:hAnsi="Calibri" w:cs="Arial"/>
              </w:rPr>
            </w:pPr>
            <w:r>
              <w:rPr>
                <w:rFonts w:ascii="Calibri" w:eastAsia="TTE1ABE920t00" w:hAnsi="Calibri" w:cs="Arial"/>
              </w:rPr>
              <w:t>kościoły, związki wyznaniowe oraz osoby prawne kościołów i związków wyznaniowych.</w:t>
            </w:r>
          </w:p>
          <w:p w:rsidR="007C3A5C" w:rsidRDefault="007C3A5C">
            <w:pPr>
              <w:pStyle w:val="Akapitzlist"/>
              <w:spacing w:before="0" w:line="100" w:lineRule="atLeast"/>
              <w:ind w:left="360"/>
              <w:contextualSpacing/>
              <w:jc w:val="both"/>
              <w:rPr>
                <w:rFonts w:eastAsia="TTE1ABE920t00" w:cs="Arial"/>
              </w:rPr>
            </w:pPr>
          </w:p>
          <w:p w:rsidR="007C3A5C" w:rsidRDefault="00BD73AC" w:rsidP="003861AD">
            <w:pPr>
              <w:spacing w:line="100" w:lineRule="atLeast"/>
              <w:contextualSpacing/>
              <w:jc w:val="both"/>
              <w:rPr>
                <w:rFonts w:eastAsia="TTE1ABE920t00" w:cs="Arial"/>
              </w:rPr>
            </w:pPr>
            <w:r>
              <w:rPr>
                <w:rFonts w:eastAsia="TTE1ABE920t00" w:cs="Arial"/>
              </w:rPr>
              <w:t>Do identyfikacji podmiotu publicznego należy stosować definicję zapisaną w ustawie z dnia 19 grudnia 2008 r. o partnerstwie publiczno-prywatnym. Podmioty publiczne mogą realizować projekt w zakresie budynków użyteczności publicznej.</w:t>
            </w:r>
          </w:p>
        </w:tc>
      </w:tr>
      <w:tr w:rsidR="007C3A5C" w:rsidTr="008F375B"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C3A5C" w:rsidRDefault="00BD73AC">
            <w:pPr>
              <w:spacing w:after="0"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C3A5C" w:rsidRDefault="00BD73AC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Kwota przeznaczona na dofinansowanie projektów </w:t>
            </w:r>
            <w:r>
              <w:rPr>
                <w:b/>
                <w:bCs/>
                <w:sz w:val="22"/>
                <w:szCs w:val="22"/>
              </w:rPr>
              <w:br/>
              <w:t xml:space="preserve">w konkursie: </w:t>
            </w:r>
          </w:p>
          <w:p w:rsidR="007C3A5C" w:rsidRDefault="007C3A5C">
            <w:pPr>
              <w:spacing w:after="0" w:line="100" w:lineRule="atLeast"/>
              <w:rPr>
                <w:b/>
                <w:bCs/>
                <w:color w:val="000000"/>
              </w:rPr>
            </w:pPr>
          </w:p>
        </w:tc>
        <w:tc>
          <w:tcPr>
            <w:tcW w:w="6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C3A5C" w:rsidRDefault="00BD73AC">
            <w:pPr>
              <w:spacing w:after="0" w:line="100" w:lineRule="atLeast"/>
              <w:jc w:val="both"/>
              <w:rPr>
                <w:b/>
              </w:rPr>
            </w:pPr>
            <w:r>
              <w:t xml:space="preserve">Ogółem alokacja przeznaczona na konkurs wynosi </w:t>
            </w:r>
            <w:r>
              <w:rPr>
                <w:b/>
                <w:bCs/>
              </w:rPr>
              <w:t xml:space="preserve">15 388 222 </w:t>
            </w:r>
            <w:r>
              <w:rPr>
                <w:b/>
              </w:rPr>
              <w:t xml:space="preserve"> EUR</w:t>
            </w:r>
            <w:r>
              <w:t xml:space="preserve"> tj. </w:t>
            </w:r>
            <w:r>
              <w:rPr>
                <w:b/>
                <w:bCs/>
              </w:rPr>
              <w:t>65 246 061,28</w:t>
            </w:r>
            <w:r>
              <w:t xml:space="preserve"> </w:t>
            </w:r>
            <w:r>
              <w:rPr>
                <w:b/>
              </w:rPr>
              <w:t>PLN</w:t>
            </w:r>
          </w:p>
          <w:p w:rsidR="007C3A5C" w:rsidRDefault="00BD73AC">
            <w:pPr>
              <w:spacing w:after="0" w:line="100" w:lineRule="atLeast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Alokacja w ramach konkursu zostanie podzielona na 5 OSI:</w:t>
            </w:r>
          </w:p>
          <w:p w:rsidR="007C3A5C" w:rsidRDefault="00BD73AC" w:rsidP="007D7011">
            <w:pPr>
              <w:pStyle w:val="Gwka"/>
              <w:numPr>
                <w:ilvl w:val="0"/>
                <w:numId w:val="5"/>
              </w:numPr>
              <w:spacing w:after="120"/>
              <w:jc w:val="both"/>
              <w:rPr>
                <w:color w:val="000000"/>
              </w:rPr>
            </w:pPr>
            <w:r>
              <w:t>Zachodni Obszar Interwencji</w:t>
            </w:r>
            <w:r>
              <w:rPr>
                <w:color w:val="000000"/>
              </w:rPr>
              <w:t xml:space="preserve"> (ZOI) </w:t>
            </w:r>
            <w:r>
              <w:rPr>
                <w:b/>
                <w:bCs/>
                <w:color w:val="000000"/>
              </w:rPr>
              <w:t>2 751 233 EUR tj. 11 665 228 PLN</w:t>
            </w:r>
            <w:r>
              <w:rPr>
                <w:color w:val="000000"/>
              </w:rPr>
              <w:t>;</w:t>
            </w:r>
          </w:p>
          <w:p w:rsidR="007C3A5C" w:rsidRDefault="00BD73AC" w:rsidP="007D7011">
            <w:pPr>
              <w:pStyle w:val="Akapitzlist"/>
              <w:numPr>
                <w:ilvl w:val="0"/>
                <w:numId w:val="5"/>
              </w:numPr>
              <w:spacing w:before="0" w:line="100" w:lineRule="atLeast"/>
              <w:jc w:val="both"/>
              <w:rPr>
                <w:rFonts w:ascii="Calibri" w:hAnsi="Calibri" w:cs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szCs w:val="22"/>
              </w:rPr>
              <w:lastRenderedPageBreak/>
              <w:t>Legnicko-Głogowski Obszar Interwencji (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LGOI) </w:t>
            </w: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4 563 860  EUR </w:t>
            </w:r>
            <w:r w:rsidR="007D7011">
              <w:rPr>
                <w:rFonts w:ascii="Calibri" w:hAnsi="Calibri" w:cs="Calibri"/>
                <w:color w:val="000000"/>
                <w:szCs w:val="22"/>
              </w:rPr>
              <w:t xml:space="preserve">tj. </w:t>
            </w: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19 350 766 PLN</w:t>
            </w:r>
            <w:r>
              <w:rPr>
                <w:rFonts w:ascii="Calibri" w:hAnsi="Calibri" w:cs="Calibri"/>
                <w:b/>
                <w:color w:val="000000"/>
                <w:szCs w:val="22"/>
              </w:rPr>
              <w:t>;</w:t>
            </w:r>
          </w:p>
          <w:p w:rsidR="007C3A5C" w:rsidRDefault="00BD73AC" w:rsidP="007D7011">
            <w:pPr>
              <w:pStyle w:val="Akapitzlist"/>
              <w:numPr>
                <w:ilvl w:val="0"/>
                <w:numId w:val="5"/>
              </w:numPr>
              <w:spacing w:before="0" w:line="100" w:lineRule="atLeast"/>
              <w:jc w:val="both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/>
                <w:szCs w:val="22"/>
              </w:rPr>
              <w:t>Obszar Interwencji Doliny Baryczy (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OIDB) </w:t>
            </w: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2 312 520 EUR</w:t>
            </w:r>
            <w:r w:rsidR="007D7011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Cs w:val="22"/>
              </w:rPr>
              <w:t>tj.</w:t>
            </w:r>
            <w:r w:rsidR="007D7011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9 805 085 PLN</w:t>
            </w:r>
            <w:r>
              <w:rPr>
                <w:rFonts w:ascii="Calibri" w:hAnsi="Calibri" w:cs="Calibri"/>
                <w:color w:val="000000"/>
                <w:szCs w:val="22"/>
              </w:rPr>
              <w:t>;</w:t>
            </w:r>
          </w:p>
          <w:p w:rsidR="007C3A5C" w:rsidRDefault="00BD73AC" w:rsidP="007D7011">
            <w:pPr>
              <w:pStyle w:val="Akapitzlist"/>
              <w:numPr>
                <w:ilvl w:val="0"/>
                <w:numId w:val="5"/>
              </w:numPr>
              <w:spacing w:before="0" w:line="100" w:lineRule="atLeast"/>
              <w:jc w:val="both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/>
                <w:szCs w:val="22"/>
              </w:rPr>
              <w:t>Obszar Interwencji Równiny Wrocławskiej (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OIRW) </w:t>
            </w: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2 307 180 EUR</w:t>
            </w:r>
            <w:r w:rsidR="007D7011">
              <w:rPr>
                <w:rFonts w:ascii="Calibri" w:hAnsi="Calibri" w:cs="Calibri"/>
                <w:color w:val="000000"/>
                <w:szCs w:val="22"/>
              </w:rPr>
              <w:t xml:space="preserve"> tj. </w:t>
            </w: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9 782 443 PLN</w:t>
            </w:r>
            <w:r>
              <w:rPr>
                <w:rFonts w:ascii="Calibri" w:hAnsi="Calibri" w:cs="Calibri"/>
                <w:color w:val="000000"/>
                <w:szCs w:val="22"/>
              </w:rPr>
              <w:t>;</w:t>
            </w:r>
          </w:p>
          <w:p w:rsidR="007C3A5C" w:rsidRDefault="00BD73AC" w:rsidP="007D7011">
            <w:pPr>
              <w:pStyle w:val="Akapitzlist"/>
              <w:numPr>
                <w:ilvl w:val="0"/>
                <w:numId w:val="5"/>
              </w:numPr>
              <w:spacing w:before="0" w:line="100" w:lineRule="atLeast"/>
              <w:jc w:val="both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szCs w:val="22"/>
              </w:rPr>
              <w:t>Obszar Ziemia Dzierżoniowsko-Kłodzko-Ząbkowicka (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ZKD) </w:t>
            </w: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3 453 429 EUR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="007D7011">
              <w:rPr>
                <w:rFonts w:ascii="Calibri" w:hAnsi="Calibri" w:cs="Calibri"/>
                <w:color w:val="000000"/>
                <w:szCs w:val="22"/>
              </w:rPr>
              <w:t xml:space="preserve">tj. </w:t>
            </w: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14 642 539 PLN</w:t>
            </w:r>
          </w:p>
          <w:p w:rsidR="007C3A5C" w:rsidRDefault="007C3A5C">
            <w:pPr>
              <w:pStyle w:val="Akapitzlist"/>
              <w:spacing w:before="0" w:line="100" w:lineRule="atLeast"/>
              <w:jc w:val="both"/>
            </w:pPr>
          </w:p>
          <w:p w:rsidR="007C3A5C" w:rsidRDefault="00BD73AC">
            <w:pPr>
              <w:spacing w:after="0" w:line="100" w:lineRule="atLeast"/>
              <w:jc w:val="both"/>
              <w:rPr>
                <w:rFonts w:cs="MS Sans Serif"/>
              </w:rPr>
            </w:pPr>
            <w:r>
              <w:rPr>
                <w:rFonts w:cs="MS Sans Serif"/>
              </w:rPr>
              <w:t xml:space="preserve">Alokacja przeliczona po kursie Europejskiego Banku Centralnego (EBC) obowiązującym w styczniu 2016 r.,  </w:t>
            </w:r>
            <w:r w:rsidRPr="007D7011">
              <w:rPr>
                <w:rFonts w:cs="MS Sans Serif"/>
                <w:b/>
              </w:rPr>
              <w:t>1 EUR = 4,2400 PLN</w:t>
            </w:r>
            <w:r>
              <w:rPr>
                <w:rFonts w:cs="MS Sans Serif"/>
              </w:rPr>
              <w:t xml:space="preserve">. </w:t>
            </w:r>
          </w:p>
          <w:p w:rsidR="007C3A5C" w:rsidRDefault="007C3A5C">
            <w:pPr>
              <w:spacing w:after="0" w:line="100" w:lineRule="atLeast"/>
              <w:jc w:val="both"/>
              <w:rPr>
                <w:rFonts w:cs="MS Sans Serif"/>
              </w:rPr>
            </w:pPr>
          </w:p>
          <w:p w:rsidR="007C3A5C" w:rsidRDefault="00BD73AC">
            <w:pPr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Ze względu na kurs euro limit dostępnych środków może ulec zmianie. </w:t>
            </w:r>
            <w:r w:rsidR="003C40F2">
              <w:rPr>
                <w:color w:val="000000"/>
              </w:rPr>
              <w:br/>
            </w:r>
            <w:bookmarkStart w:id="4" w:name="_GoBack"/>
            <w:bookmarkEnd w:id="4"/>
            <w:r>
              <w:rPr>
                <w:color w:val="000000"/>
              </w:rPr>
              <w:t xml:space="preserve">Z tego powodu dokładna kwota dofinansowania zostanie określona na etapie wyboru projektów przez Zarząd Województwa Dolnośląskiego. </w:t>
            </w:r>
          </w:p>
        </w:tc>
      </w:tr>
      <w:tr w:rsidR="007C3A5C" w:rsidTr="008F375B"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C3A5C" w:rsidRDefault="00BD73AC">
            <w:pPr>
              <w:spacing w:after="0"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6.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C3A5C" w:rsidRDefault="00BD73AC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Minimalna wartość projektu:</w:t>
            </w:r>
          </w:p>
        </w:tc>
        <w:tc>
          <w:tcPr>
            <w:tcW w:w="6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C3A5C" w:rsidRDefault="00BD73AC">
            <w:pPr>
              <w:spacing w:before="120" w:after="12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Minimalna </w:t>
            </w:r>
            <w:r w:rsidR="00FB77F4">
              <w:rPr>
                <w:color w:val="000000"/>
              </w:rPr>
              <w:t xml:space="preserve">całkowita </w:t>
            </w:r>
            <w:r>
              <w:rPr>
                <w:color w:val="000000"/>
              </w:rPr>
              <w:t>wartość projektu: 50 000 PLN</w:t>
            </w:r>
          </w:p>
        </w:tc>
      </w:tr>
      <w:tr w:rsidR="007C3A5C" w:rsidTr="008F375B"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C3A5C" w:rsidRDefault="00BD73AC">
            <w:pPr>
              <w:spacing w:after="0"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C3A5C" w:rsidRDefault="00BD73AC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Maksymalna wartość projektu:</w:t>
            </w:r>
          </w:p>
        </w:tc>
        <w:tc>
          <w:tcPr>
            <w:tcW w:w="6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C3A5C" w:rsidRDefault="00BD73AC">
            <w:pPr>
              <w:spacing w:after="0" w:line="100" w:lineRule="atLeast"/>
              <w:jc w:val="both"/>
              <w:rPr>
                <w:rFonts w:cs="Arial"/>
                <w:color w:val="FF0000"/>
              </w:rPr>
            </w:pPr>
            <w:r>
              <w:rPr>
                <w:color w:val="000000"/>
              </w:rPr>
              <w:t>Nie dotyczy</w:t>
            </w:r>
            <w:r>
              <w:rPr>
                <w:rFonts w:cs="Arial"/>
                <w:color w:val="FF0000"/>
              </w:rPr>
              <w:t xml:space="preserve"> </w:t>
            </w:r>
          </w:p>
        </w:tc>
      </w:tr>
      <w:tr w:rsidR="007C3A5C" w:rsidTr="008F375B"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C3A5C" w:rsidRDefault="00BD73AC">
            <w:pPr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C3A5C" w:rsidRDefault="00BD73AC">
            <w:pPr>
              <w:pStyle w:val="Default"/>
              <w:rPr>
                <w:b/>
                <w:bCs/>
                <w:color w:val="00000A"/>
                <w:sz w:val="22"/>
                <w:szCs w:val="22"/>
              </w:rPr>
            </w:pPr>
            <w:r>
              <w:rPr>
                <w:b/>
                <w:bCs/>
                <w:color w:val="00000A"/>
                <w:sz w:val="22"/>
                <w:szCs w:val="22"/>
              </w:rPr>
              <w:t xml:space="preserve">Maksymalny dopuszczalny poziom dofinansowania projektu lub maksymalna dopuszczalna kwota do dofinansowania projektu: </w:t>
            </w:r>
          </w:p>
          <w:p w:rsidR="007C3A5C" w:rsidRDefault="007C3A5C">
            <w:pPr>
              <w:spacing w:after="0" w:line="100" w:lineRule="atLeast"/>
              <w:rPr>
                <w:b/>
                <w:bCs/>
              </w:rPr>
            </w:pPr>
          </w:p>
        </w:tc>
        <w:tc>
          <w:tcPr>
            <w:tcW w:w="6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C3A5C" w:rsidRDefault="00BD73AC">
            <w:pPr>
              <w:spacing w:after="0" w:line="100" w:lineRule="atLeast"/>
              <w:jc w:val="both"/>
            </w:pPr>
            <w:r>
              <w:t xml:space="preserve">Maksymalny poziom dofinansowania UE na poziomie projektu wynosi: </w:t>
            </w:r>
          </w:p>
          <w:p w:rsidR="007C3A5C" w:rsidRDefault="00BD73AC">
            <w:pPr>
              <w:pStyle w:val="Akapitzlist"/>
              <w:numPr>
                <w:ilvl w:val="0"/>
                <w:numId w:val="3"/>
              </w:numPr>
              <w:spacing w:before="0" w:line="100" w:lineRule="atLeas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 przypadku projektów nie generujących dochodu oraz nie objętych regułami pomocy publicznej – 85%;</w:t>
            </w:r>
          </w:p>
          <w:p w:rsidR="007C3A5C" w:rsidRDefault="00BD73AC">
            <w:pPr>
              <w:pStyle w:val="Akapitzlist"/>
              <w:numPr>
                <w:ilvl w:val="0"/>
                <w:numId w:val="3"/>
              </w:numPr>
              <w:spacing w:before="0" w:line="100" w:lineRule="atLeas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 przypadku projektów nieobjętych regułami pomocy publicznej ale generujących dochód – zgodnie z wyliczeniami luki finansowej ale nie więcej niż 85%;</w:t>
            </w:r>
          </w:p>
          <w:p w:rsidR="007C3A5C" w:rsidRDefault="00BD73AC">
            <w:pPr>
              <w:pStyle w:val="Akapitzlist"/>
              <w:numPr>
                <w:ilvl w:val="0"/>
                <w:numId w:val="3"/>
              </w:numPr>
              <w:spacing w:before="0" w:line="100" w:lineRule="atLeas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 przypadku projektów objętych regułami pomocy publicznej i generujących dochód – w wysokości wynikającej z reguł pomocy publicznej ale nie więcej niż 85%;</w:t>
            </w:r>
          </w:p>
          <w:p w:rsidR="007C3A5C" w:rsidRDefault="00BD73AC">
            <w:pPr>
              <w:pStyle w:val="Akapitzlist"/>
              <w:numPr>
                <w:ilvl w:val="0"/>
                <w:numId w:val="3"/>
              </w:numPr>
              <w:spacing w:before="0" w:line="100" w:lineRule="atLeas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 przypadku projektów objętych regułami pomocy publicznej i nie generującymi dochodu – w wysokości wynikającej z reguł pomocy publicznej ale nie więcej niż 85%.</w:t>
            </w:r>
          </w:p>
          <w:p w:rsidR="007C3A5C" w:rsidRDefault="00BD73AC">
            <w:pPr>
              <w:spacing w:line="100" w:lineRule="atLeast"/>
              <w:contextualSpacing/>
              <w:jc w:val="both"/>
            </w:pPr>
            <w:r>
              <w:t>W przypadku projektów częściowo objętych pomocą publiczną powyższe zasady stosuje się do każdej z części, co oznacza, że poziom dofinansowania projektu określa się oddzielnie dla każdej części. W takim przypadku łączny poziom maksymalnego dofinansowania w projekcie może być wyższy niż wynikający z reguł pomocy publicznej (ale nie więcej niż 85%).</w:t>
            </w:r>
          </w:p>
        </w:tc>
      </w:tr>
      <w:tr w:rsidR="007C3A5C" w:rsidTr="008F375B"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C3A5C" w:rsidRDefault="00BD73AC">
            <w:pPr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C3A5C" w:rsidRDefault="00BD73AC">
            <w:pPr>
              <w:pStyle w:val="Default"/>
              <w:rPr>
                <w:b/>
                <w:bCs/>
                <w:color w:val="00000A"/>
                <w:sz w:val="22"/>
                <w:szCs w:val="22"/>
              </w:rPr>
            </w:pPr>
            <w:r>
              <w:rPr>
                <w:b/>
                <w:bCs/>
                <w:color w:val="00000A"/>
                <w:sz w:val="22"/>
                <w:szCs w:val="22"/>
              </w:rPr>
              <w:t xml:space="preserve">Minimalny wkład własny beneficjenta jako % wydatków kwalifikowalnych: </w:t>
            </w:r>
          </w:p>
          <w:p w:rsidR="007C3A5C" w:rsidRDefault="007C3A5C">
            <w:pPr>
              <w:pStyle w:val="Default"/>
              <w:rPr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6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C3A5C" w:rsidRDefault="00BD73AC">
            <w:pPr>
              <w:spacing w:after="0" w:line="100" w:lineRule="atLeast"/>
              <w:jc w:val="both"/>
            </w:pPr>
            <w:r>
              <w:t xml:space="preserve">Minimalny wkład własny beneficjenta na poziomie projektu wynosi: </w:t>
            </w:r>
          </w:p>
          <w:p w:rsidR="007C3A5C" w:rsidRDefault="00BD73AC">
            <w:pPr>
              <w:pStyle w:val="Akapitzlist"/>
              <w:numPr>
                <w:ilvl w:val="0"/>
                <w:numId w:val="4"/>
              </w:numPr>
              <w:spacing w:before="0" w:line="100" w:lineRule="atLeas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 przypadku projektów nie generujących dochodu oraz nie objętych regułami pomocy publicznej – 15%;</w:t>
            </w:r>
          </w:p>
          <w:p w:rsidR="007C3A5C" w:rsidRDefault="00BD73AC">
            <w:pPr>
              <w:pStyle w:val="Akapitzlist"/>
              <w:numPr>
                <w:ilvl w:val="0"/>
                <w:numId w:val="4"/>
              </w:numPr>
              <w:spacing w:before="0" w:line="100" w:lineRule="atLeas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 przypadku projektów nieobjętych regułami pomocy publicznej ale generujących dochód – zgodnie z wyliczeniami luki finansowej ale nie mniej niż 15%;</w:t>
            </w:r>
          </w:p>
          <w:p w:rsidR="007C3A5C" w:rsidRDefault="00BD73AC">
            <w:pPr>
              <w:pStyle w:val="Akapitzlist"/>
              <w:numPr>
                <w:ilvl w:val="0"/>
                <w:numId w:val="4"/>
              </w:numPr>
              <w:spacing w:before="0" w:line="100" w:lineRule="atLeas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 przypadku projektów objętych regułami pomocy publicznej i generujących dochód – w wysokości wynikającej z reguł pomocy publicznej ale nie mniej niż 15%;</w:t>
            </w:r>
          </w:p>
          <w:p w:rsidR="007C3A5C" w:rsidRDefault="00BD73AC">
            <w:pPr>
              <w:pStyle w:val="Akapitzlist"/>
              <w:numPr>
                <w:ilvl w:val="0"/>
                <w:numId w:val="4"/>
              </w:numPr>
              <w:spacing w:before="0" w:line="100" w:lineRule="atLeas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 przypadku projektów objętych regułami pomocy publicznej i nie generującymi dochodu – w wysokości wynikającej z reguł pomocy publicznej ale nie mniej niż 15%.</w:t>
            </w:r>
          </w:p>
        </w:tc>
      </w:tr>
      <w:tr w:rsidR="008F375B" w:rsidTr="008F375B"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75B" w:rsidRDefault="008F375B">
            <w:pPr>
              <w:spacing w:after="0" w:line="100" w:lineRule="atLeast"/>
              <w:rPr>
                <w:b/>
                <w:bCs/>
                <w:color w:val="000000"/>
              </w:rPr>
            </w:pPr>
            <w:bookmarkStart w:id="5" w:name="_GoBack1"/>
            <w:bookmarkEnd w:id="5"/>
            <w:r>
              <w:rPr>
                <w:b/>
                <w:bCs/>
                <w:color w:val="000000"/>
              </w:rPr>
              <w:lastRenderedPageBreak/>
              <w:t>10.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375B" w:rsidRDefault="008F375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Termin, miejsce </w:t>
            </w:r>
            <w:r>
              <w:rPr>
                <w:b/>
                <w:bCs/>
                <w:sz w:val="22"/>
                <w:szCs w:val="22"/>
              </w:rPr>
              <w:br/>
              <w:t xml:space="preserve">i forma składania wniosków o dofinansowanie projektu: </w:t>
            </w:r>
          </w:p>
          <w:p w:rsidR="008F375B" w:rsidRDefault="008F375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5F7E" w:rsidRDefault="00045F7E" w:rsidP="00045F7E">
            <w:pPr>
              <w:spacing w:before="120" w:after="120" w:line="100" w:lineRule="atLeast"/>
              <w:jc w:val="both"/>
            </w:pPr>
            <w:r w:rsidRPr="001D2576">
              <w:t xml:space="preserve">Wnioskodawca wypełnia wniosek o dofinansowanie za pośrednictwem aplikacji – generator wniosków o dofinansowanie EFRR - dostępny na stronie snow-umwd.dolnyslask.pl i przesyła do IOK w ramach </w:t>
            </w:r>
            <w:r>
              <w:t>niniejszego konkursu w terminie:</w:t>
            </w:r>
          </w:p>
          <w:p w:rsidR="00045F7E" w:rsidRDefault="00045F7E" w:rsidP="00045F7E">
            <w:pPr>
              <w:spacing w:before="120" w:after="120" w:line="100" w:lineRule="atLeast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od godz. 8.00 dnia 6 maja 2016 r. do godz. 15.00 dnia 25 maja 2016 r.</w:t>
            </w:r>
          </w:p>
          <w:p w:rsidR="008F375B" w:rsidRDefault="00045F7E" w:rsidP="00045F7E">
            <w:pPr>
              <w:spacing w:before="120" w:after="120" w:line="100" w:lineRule="atLeast"/>
              <w:jc w:val="both"/>
              <w:rPr>
                <w:rFonts w:cs="Arial"/>
              </w:rPr>
            </w:pPr>
            <w:r w:rsidRPr="00423EF8">
              <w:rPr>
                <w:rFonts w:cs="Arial"/>
              </w:rPr>
              <w:t>Ponadto do siedziby IOK należy dostarczyć jeden egzemplarz wydrukowanej z aplikacji generator wniosków papierowej wersji wniosku, opatrzonej czytelnym podpisem/</w:t>
            </w:r>
            <w:proofErr w:type="spellStart"/>
            <w:r w:rsidRPr="00423EF8">
              <w:rPr>
                <w:rFonts w:cs="Arial"/>
              </w:rPr>
              <w:t>ami</w:t>
            </w:r>
            <w:proofErr w:type="spellEnd"/>
            <w:r w:rsidRPr="00423EF8">
              <w:rPr>
                <w:rFonts w:cs="Arial"/>
              </w:rPr>
              <w:t xml:space="preserve"> lub parafą i z pieczęcią imienną osoby/</w:t>
            </w:r>
            <w:proofErr w:type="spellStart"/>
            <w:r w:rsidRPr="00423EF8">
              <w:rPr>
                <w:rFonts w:cs="Arial"/>
              </w:rPr>
              <w:t>ób</w:t>
            </w:r>
            <w:proofErr w:type="spellEnd"/>
            <w:r w:rsidRPr="00423EF8">
              <w:rPr>
                <w:rFonts w:cs="Arial"/>
              </w:rPr>
              <w:t xml:space="preserve"> uprawnionej/</w:t>
            </w:r>
            <w:proofErr w:type="spellStart"/>
            <w:r w:rsidRPr="00423EF8">
              <w:rPr>
                <w:rFonts w:cs="Arial"/>
              </w:rPr>
              <w:t>ych</w:t>
            </w:r>
            <w:proofErr w:type="spellEnd"/>
            <w:r w:rsidRPr="00423EF8">
              <w:rPr>
                <w:rFonts w:cs="Arial"/>
              </w:rPr>
              <w:t xml:space="preserve"> do reprezentowania Wnioskodawcy (wraz z podpisanymi załącznikami) w terminie do godz. 15.00 dnia </w:t>
            </w:r>
            <w:r>
              <w:rPr>
                <w:rFonts w:cs="Arial"/>
              </w:rPr>
              <w:t>25</w:t>
            </w:r>
            <w:r w:rsidRPr="00423EF8">
              <w:rPr>
                <w:rFonts w:cs="Arial"/>
              </w:rPr>
              <w:t xml:space="preserve"> maja 2016 r. Jednocześnie, wymaganą analizę finansową (w postaci arkuszy kalkulacyjnych w formacie Excel z aktywnymi formułami) przedłożyć należy na nośniku CD.</w:t>
            </w:r>
          </w:p>
        </w:tc>
      </w:tr>
      <w:tr w:rsidR="007C3A5C" w:rsidTr="008F375B"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C3A5C" w:rsidRDefault="00BD73AC">
            <w:pPr>
              <w:spacing w:after="0"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C3A5C" w:rsidRDefault="00BD73AC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Sposób i miejsce udostępnienia regulaminu:</w:t>
            </w:r>
          </w:p>
        </w:tc>
        <w:tc>
          <w:tcPr>
            <w:tcW w:w="6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C3A5C" w:rsidRDefault="00BD73AC" w:rsidP="005D1B8E">
            <w:pPr>
              <w:tabs>
                <w:tab w:val="left" w:pos="284"/>
              </w:tabs>
              <w:spacing w:line="100" w:lineRule="atLeast"/>
              <w:jc w:val="both"/>
              <w:rPr>
                <w:rStyle w:val="czeinternetowe"/>
              </w:rPr>
            </w:pPr>
            <w:r>
              <w:t xml:space="preserve">Wszystkie kwestie dotyczące naboru opisane zostały w Regulaminie, który dostępny jest wraz z załącznikami na stronie internetowej </w:t>
            </w:r>
            <w:hyperlink r:id="rId9">
              <w:r>
                <w:rPr>
                  <w:rStyle w:val="czeinternetowe"/>
                  <w:color w:val="00000A"/>
                </w:rPr>
                <w:t>www.rpo.dolnyslask.pl</w:t>
              </w:r>
            </w:hyperlink>
            <w:r>
              <w:t xml:space="preserve"> oraz na portalu Funduszy Europejskich (</w:t>
            </w:r>
            <w:hyperlink r:id="rId10">
              <w:r>
                <w:rPr>
                  <w:rStyle w:val="czeinternetowe"/>
                  <w:color w:val="00000A"/>
                </w:rPr>
                <w:t>www.funduszeeuropejskie.gov.pl</w:t>
              </w:r>
            </w:hyperlink>
            <w:r>
              <w:t>)</w:t>
            </w:r>
            <w:hyperlink r:id="rId11">
              <w:r>
                <w:rPr>
                  <w:rStyle w:val="czeinternetowe"/>
                </w:rPr>
                <w:t>.</w:t>
              </w:r>
            </w:hyperlink>
          </w:p>
        </w:tc>
      </w:tr>
    </w:tbl>
    <w:p w:rsidR="007C3A5C" w:rsidRDefault="007C3A5C">
      <w:pPr>
        <w:pStyle w:val="Default"/>
      </w:pPr>
    </w:p>
    <w:sectPr w:rsidR="007C3A5C">
      <w:pgSz w:w="12240" w:h="15840"/>
      <w:pgMar w:top="851" w:right="1417" w:bottom="1417" w:left="1417" w:header="0" w:footer="0" w:gutter="0"/>
      <w:cols w:space="708"/>
      <w:formProt w:val="0"/>
      <w:docGrid w:linePitch="2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D26" w:rsidRDefault="00951D26">
      <w:pPr>
        <w:spacing w:after="0" w:line="240" w:lineRule="auto"/>
      </w:pPr>
      <w:r>
        <w:separator/>
      </w:r>
    </w:p>
  </w:endnote>
  <w:endnote w:type="continuationSeparator" w:id="0">
    <w:p w:rsidR="00951D26" w:rsidRDefault="00951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Droid Sans Devanagari">
    <w:panose1 w:val="00000000000000000000"/>
    <w:charset w:val="00"/>
    <w:family w:val="roman"/>
    <w:notTrueType/>
    <w:pitch w:val="default"/>
  </w:font>
  <w:font w:name="EUAlbertina">
    <w:altName w:val="Times New Roman"/>
    <w:charset w:val="00"/>
    <w:family w:val="roman"/>
    <w:pitch w:val="default"/>
    <w:sig w:usb0="00000001" w:usb1="00000000" w:usb2="00000000" w:usb3="00000000" w:csb0="00000003" w:csb1="00000000"/>
  </w:font>
  <w:font w:name="TTE1ABE92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D26" w:rsidRDefault="00951D26">
      <w:r>
        <w:separator/>
      </w:r>
    </w:p>
  </w:footnote>
  <w:footnote w:type="continuationSeparator" w:id="0">
    <w:p w:rsidR="00951D26" w:rsidRDefault="00951D26">
      <w:r>
        <w:continuationSeparator/>
      </w:r>
    </w:p>
  </w:footnote>
  <w:footnote w:id="1">
    <w:p w:rsidR="007C3A5C" w:rsidRDefault="00BD73AC" w:rsidP="00332645">
      <w:pPr>
        <w:pStyle w:val="Tekstprzypisudolnego"/>
        <w:tabs>
          <w:tab w:val="left" w:pos="284"/>
        </w:tabs>
        <w:jc w:val="both"/>
        <w:rPr>
          <w:rFonts w:ascii="Calibri" w:hAnsi="Calibri"/>
        </w:rPr>
      </w:pPr>
      <w:r>
        <w:rPr>
          <w:rStyle w:val="Odwoanieprzypisudolnego"/>
          <w:rFonts w:ascii="Calibri" w:hAnsi="Calibri"/>
        </w:rPr>
        <w:footnoteRef/>
      </w:r>
      <w:r>
        <w:rPr>
          <w:rStyle w:val="Odwoanieprzypisudolnego"/>
          <w:rFonts w:ascii="Calibri" w:hAnsi="Calibri"/>
        </w:rPr>
        <w:tab/>
      </w:r>
      <w:r>
        <w:rPr>
          <w:rStyle w:val="Odwoanieprzypisudolnego"/>
          <w:rFonts w:ascii="Calibri" w:hAnsi="Calibri"/>
        </w:rPr>
        <w:tab/>
      </w:r>
      <w:r>
        <w:rPr>
          <w:rFonts w:ascii="Calibri" w:hAnsi="Calibri"/>
        </w:rPr>
        <w:t xml:space="preserve"> W skład Zachodniego Obszaru Interwencji wchodzą Gminy: miejskie - Bolesławiec, Lubań, Świeradów-Zdrój, Zawidów, Zgorzelec; wiejskie- Bolesławiec, Gromadka, Osiecznica, Warta Bolesławiecka, Lubań, Platerówka, Siekierczyn, Sulików, Zgorzelec oraz miejsko-wiejskiej - Nowogrodziec, Leśna, Olszyna, Lwówek Śląski, Bogatynia, Pieńsk, Węgliniec.</w:t>
      </w:r>
    </w:p>
  </w:footnote>
  <w:footnote w:id="2">
    <w:p w:rsidR="007C3A5C" w:rsidRDefault="00BD73AC" w:rsidP="00332645">
      <w:pPr>
        <w:pStyle w:val="Tekstprzypisudolnego"/>
        <w:tabs>
          <w:tab w:val="left" w:pos="284"/>
        </w:tabs>
        <w:jc w:val="both"/>
        <w:rPr>
          <w:rFonts w:ascii="Calibri" w:hAnsi="Calibri"/>
        </w:rPr>
      </w:pPr>
      <w:r>
        <w:rPr>
          <w:rStyle w:val="Odwoanieprzypisudolnego"/>
          <w:rFonts w:ascii="Calibri" w:hAnsi="Calibri"/>
        </w:rPr>
        <w:footnoteRef/>
      </w:r>
      <w:r>
        <w:rPr>
          <w:rStyle w:val="Odwoanieprzypisudolnego"/>
          <w:rFonts w:ascii="Calibri" w:hAnsi="Calibri"/>
        </w:rPr>
        <w:tab/>
      </w:r>
      <w:r>
        <w:rPr>
          <w:rStyle w:val="Odwoanieprzypisudolnego"/>
          <w:rFonts w:ascii="Calibri" w:hAnsi="Calibri"/>
        </w:rPr>
        <w:tab/>
      </w:r>
      <w:r>
        <w:rPr>
          <w:rFonts w:ascii="Calibri" w:hAnsi="Calibri"/>
        </w:rPr>
        <w:t xml:space="preserve"> W skład Legnicko-Głogowskiego Obszaru interwencji wchodzą Gminy: miejskie - Jawor, Głogów, Chojnów, Lubin, Legnica; wiejskie - Męcinka, Mściwojów, Paszowice, Wądroże Wielkie, Złotoryja, Głogów, Jerzmanowa, Kotla, Pęcław, Żukowice, Chojnów, Krotoszyce, Kunice, Legnickie Pole, Marciszów, Miłkowice, Ruja, Lubin, Rudna, Gaworzyce, Grębocice, Radwanice oraz miejsko-wiejskiej – Prochowice, Ścinawa, Chocianów, Polkowice, Przemków, Bolków.</w:t>
      </w:r>
    </w:p>
  </w:footnote>
  <w:footnote w:id="3">
    <w:p w:rsidR="007C3A5C" w:rsidRDefault="00BD73AC" w:rsidP="00332645">
      <w:pPr>
        <w:pStyle w:val="Tekstprzypisudolnego"/>
        <w:tabs>
          <w:tab w:val="left" w:pos="0"/>
          <w:tab w:val="left" w:pos="426"/>
          <w:tab w:val="left" w:pos="709"/>
        </w:tabs>
        <w:jc w:val="both"/>
        <w:rPr>
          <w:rFonts w:ascii="Calibri" w:hAnsi="Calibri"/>
        </w:rPr>
      </w:pPr>
      <w:r>
        <w:rPr>
          <w:rStyle w:val="Odwoanieprzypisudolnego"/>
          <w:rFonts w:ascii="Calibri" w:hAnsi="Calibri"/>
        </w:rPr>
        <w:footnoteRef/>
      </w:r>
      <w:r>
        <w:rPr>
          <w:rStyle w:val="Odwoanieprzypisudolnego"/>
          <w:rFonts w:ascii="Calibri" w:hAnsi="Calibri"/>
        </w:rPr>
        <w:tab/>
      </w:r>
      <w:r>
        <w:rPr>
          <w:rStyle w:val="Odwoanieprzypisudolnego"/>
          <w:rFonts w:ascii="Calibri" w:hAnsi="Calibri"/>
        </w:rPr>
        <w:tab/>
      </w:r>
      <w:r>
        <w:rPr>
          <w:rFonts w:ascii="Calibri" w:hAnsi="Calibri"/>
        </w:rPr>
        <w:t xml:space="preserve"> W skład Obszaru Interwencji Doliny Baryczy wchodzą Gminy: wiejskie - Jemielno, Niechlów, Cieszków, Krośnice, Dobroszyce, Dziadowa Kłoda, Zawonia, Wińsko oraz miejsko-wiejskie – Góra, Wąsosz, Milicz, Bierutów, Międzybórz, Syców, Twardogóra, Prusice, Żmigród, Brzeg Dolny, Wołów.</w:t>
      </w:r>
    </w:p>
  </w:footnote>
  <w:footnote w:id="4">
    <w:p w:rsidR="007C3A5C" w:rsidRDefault="00BD73AC" w:rsidP="00332645">
      <w:pPr>
        <w:pStyle w:val="Tekstprzypisudolnego"/>
        <w:tabs>
          <w:tab w:val="left" w:pos="567"/>
        </w:tabs>
        <w:jc w:val="both"/>
        <w:rPr>
          <w:rFonts w:ascii="Calibri" w:hAnsi="Calibri"/>
        </w:rPr>
      </w:pPr>
      <w:r>
        <w:rPr>
          <w:rStyle w:val="Odwoanieprzypisudolnego"/>
          <w:rFonts w:ascii="Calibri" w:hAnsi="Calibri"/>
        </w:rPr>
        <w:footnoteRef/>
      </w:r>
      <w:r>
        <w:rPr>
          <w:rStyle w:val="Odwoanieprzypisudolnego"/>
          <w:rFonts w:ascii="Calibri" w:hAnsi="Calibri"/>
        </w:rPr>
        <w:tab/>
      </w:r>
      <w:r>
        <w:rPr>
          <w:rStyle w:val="Odwoanieprzypisudolnego"/>
          <w:rFonts w:ascii="Calibri" w:hAnsi="Calibri"/>
        </w:rPr>
        <w:tab/>
      </w:r>
      <w:r>
        <w:rPr>
          <w:rFonts w:ascii="Calibri" w:hAnsi="Calibri"/>
        </w:rPr>
        <w:t xml:space="preserve"> W skład Obszaru Interwencji Równiny Wrocławskiej wchodzą Gminy: miejskie – Oława, wiejskie – Domaniów, Oława, Borów, Kondratowice, Przeworno, Kostomłoty, Malczyce, Udanin, Jordanów Śląski, Mietków oraz miejsko-wiejskie – Strzelin, Wiązów, Środa Śląska.</w:t>
      </w:r>
    </w:p>
  </w:footnote>
  <w:footnote w:id="5">
    <w:p w:rsidR="007C3A5C" w:rsidRDefault="00BD73AC" w:rsidP="00332645">
      <w:pPr>
        <w:pStyle w:val="Tekstprzypisudolnego"/>
        <w:tabs>
          <w:tab w:val="left" w:pos="567"/>
        </w:tabs>
        <w:jc w:val="both"/>
        <w:rPr>
          <w:rFonts w:ascii="Calibri" w:hAnsi="Calibri"/>
        </w:rPr>
      </w:pPr>
      <w:r>
        <w:rPr>
          <w:rStyle w:val="Odwoanieprzypisudolnego"/>
          <w:rFonts w:ascii="Calibri" w:hAnsi="Calibri"/>
        </w:rPr>
        <w:footnoteRef/>
      </w:r>
      <w:r>
        <w:rPr>
          <w:rStyle w:val="Odwoanieprzypisudolnego"/>
          <w:rFonts w:ascii="Calibri" w:hAnsi="Calibri"/>
        </w:rPr>
        <w:tab/>
      </w:r>
      <w:r>
        <w:rPr>
          <w:rStyle w:val="Odwoanieprzypisudolnego"/>
          <w:rFonts w:ascii="Calibri" w:hAnsi="Calibri"/>
        </w:rPr>
        <w:tab/>
      </w:r>
      <w:r>
        <w:rPr>
          <w:rFonts w:ascii="Calibri" w:hAnsi="Calibri"/>
        </w:rPr>
        <w:t xml:space="preserve"> W skład Obszaru Ziemia Dzierżoniowsko-Kłodzko-Ząbkowicka wchodzą Gminy: miejskie –  Bielawa, Dzierżoniów, Pieszyce, Piława Górna, Duszniki-Zdrój, Kłodzko, </w:t>
      </w:r>
      <w:proofErr w:type="spellStart"/>
      <w:r>
        <w:rPr>
          <w:rFonts w:ascii="Calibri" w:hAnsi="Calibri"/>
        </w:rPr>
        <w:t>Kudowa-Zdrój</w:t>
      </w:r>
      <w:proofErr w:type="spellEnd"/>
      <w:r>
        <w:rPr>
          <w:rFonts w:ascii="Calibri" w:hAnsi="Calibri"/>
        </w:rPr>
        <w:t xml:space="preserve">, Polanica-Zdrój; wiejskie – Dzierżoniów, Łagiewniki, Kłodzko, Lewin Kłodzki, Ciepłowody, Kamieniec Ząbkowicki, Stoszowice oraz miejsko-wiejskie – Niemcza, Bystrzyca Kłodzka, Lądek-Zdrój, Międzylesie, Radków, Stronie Śląskie, Szczytna, </w:t>
      </w:r>
      <w:proofErr w:type="spellStart"/>
      <w:r>
        <w:rPr>
          <w:rFonts w:ascii="Calibri" w:hAnsi="Calibri"/>
        </w:rPr>
        <w:t>Bardo</w:t>
      </w:r>
      <w:proofErr w:type="spellEnd"/>
      <w:r>
        <w:rPr>
          <w:rFonts w:ascii="Calibri" w:hAnsi="Calibri"/>
        </w:rPr>
        <w:t>, Ząbkowice Śląskie, Ziębice, Złoty Stok.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B60F0"/>
    <w:multiLevelType w:val="multilevel"/>
    <w:tmpl w:val="63C856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D44220B"/>
    <w:multiLevelType w:val="multilevel"/>
    <w:tmpl w:val="71EAB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4B7350B8"/>
    <w:multiLevelType w:val="multilevel"/>
    <w:tmpl w:val="D366AF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BB65092"/>
    <w:multiLevelType w:val="multilevel"/>
    <w:tmpl w:val="4C222E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DD56FEA"/>
    <w:multiLevelType w:val="multilevel"/>
    <w:tmpl w:val="43322C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12169E9"/>
    <w:multiLevelType w:val="multilevel"/>
    <w:tmpl w:val="D612F8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C3A5C"/>
    <w:rsid w:val="00017F60"/>
    <w:rsid w:val="000411F3"/>
    <w:rsid w:val="00042101"/>
    <w:rsid w:val="00045F7E"/>
    <w:rsid w:val="00071984"/>
    <w:rsid w:val="001363A7"/>
    <w:rsid w:val="001868C8"/>
    <w:rsid w:val="00216BEC"/>
    <w:rsid w:val="00302FAE"/>
    <w:rsid w:val="00332645"/>
    <w:rsid w:val="003861AD"/>
    <w:rsid w:val="003C40F2"/>
    <w:rsid w:val="005D1B8E"/>
    <w:rsid w:val="007C3A5C"/>
    <w:rsid w:val="007D7011"/>
    <w:rsid w:val="008F375B"/>
    <w:rsid w:val="00951D26"/>
    <w:rsid w:val="00A651F6"/>
    <w:rsid w:val="00BD73AC"/>
    <w:rsid w:val="00D82C9A"/>
    <w:rsid w:val="00DF60C8"/>
    <w:rsid w:val="00E664D4"/>
    <w:rsid w:val="00FB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ascii="Calibri" w:eastAsia="Droid Sans Fallback" w:hAnsi="Calibri" w:cs="Calibri"/>
      <w:color w:val="00000A"/>
      <w:lang w:eastAsia="en-US"/>
    </w:rPr>
  </w:style>
  <w:style w:type="paragraph" w:styleId="Nagwek1">
    <w:name w:val="heading 1"/>
    <w:basedOn w:val="Normalny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sz w:val="32"/>
      <w:szCs w:val="32"/>
      <w:lang w:eastAsia="pl-PL"/>
    </w:rPr>
  </w:style>
  <w:style w:type="paragraph" w:styleId="Nagwek3">
    <w:name w:val="heading 3"/>
    <w:basedOn w:val="Normalny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AkapitzlistZnak">
    <w:name w:val="Akapit z listą Znak"/>
    <w:rPr>
      <w:rFonts w:ascii="Arial" w:eastAsia="Times New Roman" w:hAnsi="Arial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rPr>
      <w:vertAlign w:val="superscript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Nagwek1Znak">
    <w:name w:val="Nagłówek 1 Znak"/>
    <w:basedOn w:val="Domylnaczcionkaakapitu"/>
    <w:rPr>
      <w:rFonts w:ascii="Arial" w:eastAsia="Times New Roman" w:hAnsi="Arial" w:cs="Arial"/>
      <w:b/>
      <w:bCs/>
      <w:sz w:val="32"/>
      <w:szCs w:val="32"/>
      <w:lang w:eastAsia="pl-PL"/>
    </w:rPr>
  </w:style>
  <w:style w:type="character" w:customStyle="1" w:styleId="h2">
    <w:name w:val="h2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rPr>
      <w:rFonts w:ascii="Cambria" w:hAnsi="Cambria"/>
      <w:b/>
      <w:bCs/>
      <w:color w:val="4F81BD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Times New Roman"/>
      <w:b w:val="0"/>
      <w:i w:val="0"/>
      <w:color w:val="000000"/>
      <w:sz w:val="24"/>
    </w:rPr>
  </w:style>
  <w:style w:type="character" w:customStyle="1" w:styleId="ListLabel4">
    <w:name w:val="ListLabel 4"/>
    <w:rPr>
      <w:color w:val="00000A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Symbol"/>
      <w:color w:val="00000A"/>
    </w:rPr>
  </w:style>
  <w:style w:type="character" w:customStyle="1" w:styleId="ListLabel9">
    <w:name w:val="ListLabel 9"/>
    <w:rPr>
      <w:rFonts w:cs="OpenSymbol"/>
    </w:rPr>
  </w:style>
  <w:style w:type="character" w:customStyle="1" w:styleId="Znakiprzypiswdolnych">
    <w:name w:val="Znaki przypisów dolnych"/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hAnsi="Liberation Sans" w:cs="Droid Sans Devanagari"/>
      <w:sz w:val="28"/>
      <w:szCs w:val="28"/>
    </w:rPr>
  </w:style>
  <w:style w:type="paragraph" w:customStyle="1" w:styleId="Tretekstu">
    <w:name w:val="Treść tekstu"/>
    <w:basedOn w:val="Normalny"/>
    <w:pPr>
      <w:widowControl w:val="0"/>
      <w:spacing w:after="120" w:line="10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retekstu"/>
    <w:rPr>
      <w:rFonts w:cs="Droid Sans Devanagari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Droid Sans Devanagari"/>
    </w:rPr>
  </w:style>
  <w:style w:type="paragraph" w:styleId="Tekstdymka">
    <w:name w:val="Balloon Text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pPr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after="0" w:line="100" w:lineRule="atLeast"/>
    </w:pPr>
    <w:rPr>
      <w:rFonts w:ascii="Calibri" w:eastAsia="Droid Sans Fallback" w:hAnsi="Calibri"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Tekstprzypisudolnego">
    <w:name w:val="footnote text"/>
    <w:basedOn w:val="Normalny"/>
    <w:pPr>
      <w:spacing w:after="0" w:line="100" w:lineRule="atLeast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komentarza">
    <w:name w:val="annotation text"/>
    <w:basedOn w:val="Normalny"/>
    <w:pPr>
      <w:overflowPunct w:val="0"/>
      <w:spacing w:after="0" w:line="100" w:lineRule="atLeast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">
    <w:name w:val="bodytext"/>
    <w:basedOn w:val="Normalny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rPr>
      <w:rFonts w:ascii="EUAlbertina" w:hAnsi="EUAlbertina"/>
      <w:color w:val="00000A"/>
    </w:rPr>
  </w:style>
  <w:style w:type="paragraph" w:customStyle="1" w:styleId="CM3">
    <w:name w:val="CM3"/>
    <w:basedOn w:val="Default"/>
    <w:rPr>
      <w:rFonts w:ascii="EUAlbertina" w:hAnsi="EUAlbertina"/>
      <w:color w:val="00000A"/>
    </w:rPr>
  </w:style>
  <w:style w:type="paragraph" w:customStyle="1" w:styleId="CM4">
    <w:name w:val="CM4"/>
    <w:basedOn w:val="Default"/>
    <w:rPr>
      <w:rFonts w:ascii="EUAlbertina" w:hAnsi="EUAlbertina"/>
      <w:color w:val="00000A"/>
    </w:rPr>
  </w:style>
  <w:style w:type="paragraph" w:styleId="Tematkomentarza">
    <w:name w:val="annotation subject"/>
    <w:basedOn w:val="Tekstkomentarza"/>
    <w:pPr>
      <w:overflowPunct/>
      <w:spacing w:after="200"/>
      <w:textAlignment w:val="auto"/>
    </w:pPr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zypisdolny">
    <w:name w:val="Przypis dolny"/>
    <w:basedOn w:val="Normalny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po.dolnyslask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unduszeeuropejskie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po.dolnyslask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1144</Words>
  <Characters>6865</Characters>
  <Application>Microsoft Office Word</Application>
  <DocSecurity>0</DocSecurity>
  <Lines>57</Lines>
  <Paragraphs>15</Paragraphs>
  <ScaleCrop>false</ScaleCrop>
  <Company/>
  <LinksUpToDate>false</LinksUpToDate>
  <CharactersWithSpaces>7994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Filip  Baranowski</cp:lastModifiedBy>
  <cp:revision>35</cp:revision>
  <cp:lastPrinted>2015-11-04T12:38:00Z</cp:lastPrinted>
  <dcterms:created xsi:type="dcterms:W3CDTF">2015-11-17T09:31:00Z</dcterms:created>
  <dcterms:modified xsi:type="dcterms:W3CDTF">2016-04-27T10:23:00Z</dcterms:modified>
</cp:coreProperties>
</file>