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0C263C">
        <w:rPr>
          <w:rFonts w:ascii="Calibri" w:hAnsi="Calibri" w:cs="Calibri"/>
          <w:b/>
          <w:color w:val="000000"/>
          <w:sz w:val="24"/>
          <w:szCs w:val="24"/>
        </w:rPr>
        <w:t>2.1.</w:t>
      </w:r>
      <w:r w:rsidR="009C13FF">
        <w:rPr>
          <w:rFonts w:ascii="Calibri" w:hAnsi="Calibri" w:cs="Calibri"/>
          <w:b/>
          <w:color w:val="000000"/>
          <w:sz w:val="24"/>
          <w:szCs w:val="24"/>
        </w:rPr>
        <w:t>3</w:t>
      </w:r>
      <w:r w:rsidRPr="00F02218">
        <w:rPr>
          <w:rFonts w:ascii="Calibri" w:hAnsi="Calibri" w:cs="Calibri"/>
          <w:b/>
          <w:color w:val="000000"/>
          <w:sz w:val="24"/>
          <w:szCs w:val="24"/>
        </w:rPr>
        <w:t xml:space="preserve"> </w:t>
      </w:r>
      <w:r w:rsidR="00394021" w:rsidRPr="00394021">
        <w:rPr>
          <w:rFonts w:ascii="Calibri" w:hAnsi="Calibri" w:cs="Calibri"/>
          <w:b/>
          <w:color w:val="000000"/>
          <w:sz w:val="24"/>
          <w:szCs w:val="24"/>
        </w:rPr>
        <w:t>E-usługi publiczne</w:t>
      </w:r>
      <w:r w:rsidRPr="00F02218">
        <w:rPr>
          <w:rFonts w:ascii="Calibri" w:hAnsi="Calibri" w:cs="Calibri"/>
          <w:b/>
          <w:color w:val="000000"/>
          <w:sz w:val="24"/>
          <w:szCs w:val="24"/>
        </w:rPr>
        <w:t xml:space="preserv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C22435" w:rsidRDefault="008A09D1" w:rsidP="007650AC">
      <w:pPr>
        <w:pStyle w:val="Default"/>
        <w:jc w:val="both"/>
        <w:rPr>
          <w:rFonts w:asciiTheme="minorHAnsi" w:hAnsiTheme="minorHAnsi"/>
          <w:b/>
          <w:sz w:val="22"/>
          <w:szCs w:val="22"/>
        </w:rPr>
      </w:pPr>
      <w:r w:rsidRPr="00C22435">
        <w:rPr>
          <w:rFonts w:asciiTheme="minorHAnsi" w:hAnsiTheme="minorHAnsi"/>
          <w:b/>
          <w:sz w:val="22"/>
          <w:szCs w:val="22"/>
        </w:rPr>
        <w:t xml:space="preserve">W przypadku, gdy w ramach danego </w:t>
      </w:r>
      <w:r w:rsidR="008E3F0D" w:rsidRPr="00C22435">
        <w:rPr>
          <w:rFonts w:asciiTheme="minorHAnsi" w:hAnsiTheme="minorHAnsi"/>
          <w:b/>
          <w:sz w:val="22"/>
          <w:szCs w:val="22"/>
        </w:rPr>
        <w:t>D</w:t>
      </w:r>
      <w:r w:rsidRPr="00C22435">
        <w:rPr>
          <w:rFonts w:asciiTheme="minorHAnsi" w:hAnsiTheme="minorHAnsi"/>
          <w:b/>
          <w:sz w:val="22"/>
          <w:szCs w:val="22"/>
        </w:rPr>
        <w:t xml:space="preserve">ziałania uwzględniony został wskaźnik z RPO,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3828CF">
        <w:rPr>
          <w:rFonts w:asciiTheme="minorHAnsi" w:hAnsiTheme="minorHAnsi"/>
          <w:i/>
          <w:sz w:val="22"/>
          <w:szCs w:val="22"/>
        </w:rPr>
        <w:t>„Wartości bazowej”</w:t>
      </w:r>
      <w:r w:rsidRPr="003828CF">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221FB2">
        <w:rPr>
          <w:rFonts w:asciiTheme="minorHAnsi" w:hAnsiTheme="minorHAnsi"/>
          <w:szCs w:val="22"/>
        </w:rPr>
        <w:t>2</w:t>
      </w:r>
      <w:r w:rsidRPr="00911273">
        <w:rPr>
          <w:rFonts w:asciiTheme="minorHAnsi" w:hAnsiTheme="minorHAnsi"/>
          <w:szCs w:val="22"/>
        </w:rPr>
        <w:t>.</w:t>
      </w:r>
      <w:r w:rsidR="00221FB2">
        <w:rPr>
          <w:rFonts w:asciiTheme="minorHAnsi" w:hAnsiTheme="minorHAnsi"/>
          <w:szCs w:val="22"/>
        </w:rPr>
        <w:t>1</w:t>
      </w:r>
      <w:r w:rsidRPr="00911273">
        <w:rPr>
          <w:rFonts w:asciiTheme="minorHAnsi" w:hAnsiTheme="minorHAnsi"/>
          <w:szCs w:val="22"/>
        </w:rPr>
        <w:t xml:space="preserve">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9E33FB" w:rsidP="007650AC">
            <w:pPr>
              <w:spacing w:before="60" w:after="60" w:line="240" w:lineRule="auto"/>
              <w:rPr>
                <w:rFonts w:asciiTheme="minorHAnsi" w:hAnsiTheme="minorHAnsi"/>
                <w:szCs w:val="22"/>
              </w:rPr>
            </w:pPr>
            <w:r w:rsidRPr="00395460">
              <w:rPr>
                <w:rFonts w:asciiTheme="minorHAnsi" w:hAnsiTheme="minorHAnsi"/>
                <w:szCs w:val="22"/>
              </w:rPr>
              <w:t>Liczba usług publicznych udostępnionych on-line o stopniu dojrzałości 3 dwustronna interakcja</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1F0994" w:rsidRPr="001F0994" w:rsidRDefault="001F0994" w:rsidP="001F0994">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 xml:space="preserve">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t>
            </w:r>
            <w:r w:rsidR="00395460" w:rsidRPr="00CD28DA">
              <w:rPr>
                <w:rFonts w:ascii="Calibri" w:eastAsia="Calibri" w:hAnsi="Calibri" w:cs="Arial Narrow"/>
                <w:szCs w:val="22"/>
                <w:lang w:eastAsia="en-US"/>
              </w:rPr>
              <w:br/>
            </w:r>
            <w:r w:rsidRPr="001F0994">
              <w:rPr>
                <w:rFonts w:ascii="Calibri" w:eastAsia="Calibri" w:hAnsi="Calibri" w:cs="Arial Narrow"/>
                <w:szCs w:val="22"/>
                <w:lang w:eastAsia="en-US"/>
              </w:rPr>
              <w:t>w ramach digitalizacji map, GIS.</w:t>
            </w:r>
          </w:p>
          <w:p w:rsidR="001F0994" w:rsidRPr="001F0994" w:rsidRDefault="001F0994" w:rsidP="001F0994">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W ramach wskaźnika należy ujmować usługi:</w:t>
            </w:r>
          </w:p>
          <w:p w:rsidR="001F0994" w:rsidRPr="001F0994" w:rsidRDefault="001F0994" w:rsidP="001F0994">
            <w:pPr>
              <w:numPr>
                <w:ilvl w:val="0"/>
                <w:numId w:val="8"/>
              </w:numPr>
              <w:spacing w:before="0" w:after="200" w:line="276" w:lineRule="auto"/>
              <w:contextualSpacing/>
              <w:jc w:val="both"/>
              <w:rPr>
                <w:rFonts w:ascii="Calibri" w:eastAsia="Calibri" w:hAnsi="Calibri" w:cs="Arial Narrow"/>
                <w:szCs w:val="22"/>
                <w:lang w:eastAsia="en-US"/>
              </w:rPr>
            </w:pPr>
            <w:r w:rsidRPr="001F0994">
              <w:rPr>
                <w:rFonts w:ascii="Calibri" w:eastAsia="Calibri" w:hAnsi="Calibri" w:cs="Arial Narrow"/>
                <w:szCs w:val="22"/>
                <w:lang w:eastAsia="en-US"/>
              </w:rPr>
              <w:t>nowe lub istotnie udoskonalone,</w:t>
            </w:r>
          </w:p>
          <w:p w:rsidR="005657D8" w:rsidRDefault="001F0994" w:rsidP="001F0994">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skierowane do klientów spoza administracji publicznej: obywateli (usługi A2C, Administration to</w:t>
            </w:r>
            <w:r w:rsidR="00395460" w:rsidRPr="00CD28DA">
              <w:rPr>
                <w:rFonts w:ascii="Calibri" w:eastAsia="Calibri" w:hAnsi="Calibri" w:cs="Arial Narrow"/>
                <w:szCs w:val="22"/>
                <w:lang w:eastAsia="en-US"/>
              </w:rPr>
              <w:t xml:space="preserve"> </w:t>
            </w:r>
            <w:proofErr w:type="spellStart"/>
            <w:r w:rsidR="00395460" w:rsidRPr="00CD28DA">
              <w:rPr>
                <w:rFonts w:ascii="Calibri" w:eastAsia="Calibri" w:hAnsi="Calibri" w:cs="Arial Narrow"/>
                <w:szCs w:val="22"/>
                <w:lang w:eastAsia="en-US"/>
              </w:rPr>
              <w:t>Citizen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rsidR="001722F7" w:rsidRPr="00CD28DA" w:rsidRDefault="001722F7" w:rsidP="001F0994">
            <w:pPr>
              <w:autoSpaceDE w:val="0"/>
              <w:autoSpaceDN w:val="0"/>
              <w:adjustRightInd w:val="0"/>
              <w:spacing w:before="0" w:line="240" w:lineRule="auto"/>
              <w:jc w:val="both"/>
              <w:rPr>
                <w:rFonts w:ascii="Calibri" w:eastAsia="Calibri" w:hAnsi="Calibri" w:cs="Arial Narrow"/>
                <w:szCs w:val="22"/>
                <w:lang w:eastAsia="en-US"/>
              </w:rPr>
            </w:pPr>
          </w:p>
          <w:p w:rsidR="00395460" w:rsidRPr="00CD28DA" w:rsidRDefault="00395460" w:rsidP="001F0994">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hAnsi="Calibri"/>
                <w:szCs w:val="22"/>
              </w:rPr>
              <w:t>Metoda pomiaru:</w:t>
            </w:r>
          </w:p>
          <w:p w:rsidR="00395460" w:rsidRPr="00395460" w:rsidRDefault="00395460" w:rsidP="00395460">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Należy zliczyć udostępnione on-line usługi o stopniu dojrzałości 3, których wykonanie bez wykorzystania technologii informacyjnej jest niemożliwe w formie ogólnodostępnych serwisów informacyjnych.</w:t>
            </w:r>
          </w:p>
          <w:p w:rsidR="00C22435" w:rsidRDefault="00C22435" w:rsidP="00395460">
            <w:pPr>
              <w:spacing w:before="0" w:line="276" w:lineRule="auto"/>
              <w:jc w:val="both"/>
              <w:rPr>
                <w:rFonts w:ascii="Calibri" w:eastAsia="Calibri" w:hAnsi="Calibri" w:cs="Arial Narrow"/>
                <w:szCs w:val="22"/>
                <w:lang w:eastAsia="en-US"/>
              </w:rPr>
            </w:pPr>
          </w:p>
          <w:p w:rsidR="00395460" w:rsidRPr="00395460" w:rsidRDefault="00395460" w:rsidP="00395460">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W przypadku, gdy projekt dotyczy kilku podmiotów nie należy liczyć tych samych usług tyle razy, ile podmiotów jest zaangażowanych w projekt.</w:t>
            </w:r>
          </w:p>
          <w:p w:rsidR="001F0994" w:rsidRPr="00911273" w:rsidRDefault="001F0994" w:rsidP="00395460">
            <w:pPr>
              <w:autoSpaceDE w:val="0"/>
              <w:autoSpaceDN w:val="0"/>
              <w:adjustRightInd w:val="0"/>
              <w:spacing w:before="0" w:line="240" w:lineRule="auto"/>
              <w:jc w:val="both"/>
              <w:rPr>
                <w:rFonts w:asciiTheme="minorHAnsi" w:eastAsiaTheme="minorHAnsi" w:hAnsiTheme="minorHAnsi" w:cs="Arial"/>
                <w:szCs w:val="22"/>
                <w:lang w:eastAsia="en-US"/>
              </w:rPr>
            </w:pP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243BE7" w:rsidRPr="00243BE7" w:rsidTr="003D2C3D">
        <w:trPr>
          <w:trHeight w:val="20"/>
          <w:jc w:val="center"/>
        </w:trPr>
        <w:tc>
          <w:tcPr>
            <w:tcW w:w="1127" w:type="pct"/>
            <w:shd w:val="clear" w:color="auto" w:fill="auto"/>
          </w:tcPr>
          <w:p w:rsidR="005657D8" w:rsidRPr="00243BE7" w:rsidRDefault="009E33FB" w:rsidP="007650AC">
            <w:pPr>
              <w:spacing w:before="60" w:after="60" w:line="240" w:lineRule="auto"/>
              <w:rPr>
                <w:rFonts w:asciiTheme="minorHAnsi" w:hAnsiTheme="minorHAnsi"/>
                <w:szCs w:val="22"/>
              </w:rPr>
            </w:pPr>
            <w:r w:rsidRPr="00243BE7">
              <w:rPr>
                <w:rFonts w:asciiTheme="minorHAnsi" w:hAnsiTheme="minorHAnsi"/>
                <w:szCs w:val="22"/>
              </w:rPr>
              <w:t xml:space="preserve">Liczba podmiotów, które udostępniły </w:t>
            </w:r>
            <w:r w:rsidRPr="00243BE7">
              <w:rPr>
                <w:rFonts w:asciiTheme="minorHAnsi" w:hAnsiTheme="minorHAnsi"/>
                <w:szCs w:val="22"/>
              </w:rPr>
              <w:lastRenderedPageBreak/>
              <w:t>on-line informacje sektora publicznego</w:t>
            </w:r>
          </w:p>
        </w:tc>
        <w:tc>
          <w:tcPr>
            <w:tcW w:w="458" w:type="pct"/>
          </w:tcPr>
          <w:p w:rsidR="005657D8" w:rsidRPr="00243BE7" w:rsidRDefault="005657D8" w:rsidP="007650AC">
            <w:pPr>
              <w:spacing w:line="240" w:lineRule="auto"/>
              <w:jc w:val="both"/>
              <w:rPr>
                <w:szCs w:val="22"/>
              </w:rPr>
            </w:pPr>
            <w:r w:rsidRPr="00243BE7">
              <w:rPr>
                <w:rFonts w:asciiTheme="minorHAnsi" w:hAnsiTheme="minorHAnsi"/>
                <w:szCs w:val="22"/>
              </w:rPr>
              <w:lastRenderedPageBreak/>
              <w:t>szt.</w:t>
            </w:r>
          </w:p>
        </w:tc>
        <w:tc>
          <w:tcPr>
            <w:tcW w:w="2442" w:type="pct"/>
            <w:shd w:val="clear" w:color="auto" w:fill="auto"/>
          </w:tcPr>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Liczba podmiotów (wymienionych zgodnie z art. 9 ustawy o finansach publicznych), które w </w:t>
            </w:r>
            <w:r w:rsidRPr="00243BE7">
              <w:rPr>
                <w:rFonts w:asciiTheme="minorHAnsi" w:hAnsiTheme="minorHAnsi"/>
                <w:szCs w:val="22"/>
              </w:rPr>
              <w:lastRenderedPageBreak/>
              <w:t>wyniku interwencji udostępniły on-line informacje sektora publicznego.</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Przez informacje sektora publicznego należy rozumieć: </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xml:space="preserve">-  informację publiczną w rozumieniu ustawy z dnia 6 września 2001 r. o dostępie do informacji publicznej, </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audiowizualne, pod warunkiem ich udostępniania do ponownego wykorzystywania,</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archiwalne, pod warunkiem ich udostępnienia do ponownego wykorzystania,</w:t>
            </w:r>
          </w:p>
          <w:p w:rsidR="00B62340"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kultury, pod warunkiem ich udostepnienia do ponownego wykorzystania.</w:t>
            </w:r>
          </w:p>
          <w:p w:rsidR="009E33FB" w:rsidRPr="00243BE7" w:rsidRDefault="00B62340" w:rsidP="00B62340">
            <w:pPr>
              <w:spacing w:line="240" w:lineRule="auto"/>
              <w:jc w:val="both"/>
              <w:rPr>
                <w:rFonts w:asciiTheme="minorHAnsi" w:hAnsiTheme="minorHAnsi"/>
                <w:szCs w:val="22"/>
              </w:rPr>
            </w:pPr>
            <w:r w:rsidRPr="00243BE7">
              <w:rPr>
                <w:rFonts w:asciiTheme="minorHAnsi" w:hAnsiTheme="minorHAnsi"/>
                <w:szCs w:val="22"/>
              </w:rPr>
              <w:t>- zasoby nauki, pod warunkiem ich udostępniania do ponownego wykorzystywania.</w:t>
            </w:r>
          </w:p>
          <w:p w:rsidR="005657D8" w:rsidRPr="00243BE7" w:rsidRDefault="009E33FB" w:rsidP="009E33FB">
            <w:pPr>
              <w:spacing w:line="240" w:lineRule="auto"/>
              <w:jc w:val="both"/>
              <w:rPr>
                <w:rFonts w:asciiTheme="minorHAnsi" w:hAnsiTheme="minorHAnsi"/>
                <w:szCs w:val="22"/>
              </w:rPr>
            </w:pPr>
            <w:r w:rsidRPr="00243BE7">
              <w:rPr>
                <w:rFonts w:asciiTheme="minorHAnsi" w:hAnsiTheme="minorHAnsi"/>
                <w:szCs w:val="22"/>
              </w:rPr>
              <w:t>Metoda pomiaru: Do wartości wskaźnika wliczyć należy liczbę wszystkich podmiotów, które w wyniku realizacji projektu, udostępniły on-line informacje sektora publicznego, tj. beneficjenta, jak i partnerów.</w:t>
            </w:r>
          </w:p>
        </w:tc>
        <w:tc>
          <w:tcPr>
            <w:tcW w:w="973" w:type="pct"/>
          </w:tcPr>
          <w:p w:rsidR="005657D8" w:rsidRPr="00243BE7" w:rsidRDefault="0015486C" w:rsidP="007650AC">
            <w:pPr>
              <w:spacing w:line="240" w:lineRule="auto"/>
              <w:jc w:val="both"/>
              <w:rPr>
                <w:rFonts w:asciiTheme="minorHAnsi" w:hAnsiTheme="minorHAnsi"/>
                <w:szCs w:val="22"/>
              </w:rPr>
            </w:pPr>
            <w:r w:rsidRPr="00243BE7">
              <w:rPr>
                <w:rFonts w:asciiTheme="minorHAnsi" w:hAnsiTheme="minorHAnsi"/>
                <w:szCs w:val="22"/>
              </w:rPr>
              <w:lastRenderedPageBreak/>
              <w:t>RPO</w:t>
            </w:r>
          </w:p>
        </w:tc>
      </w:tr>
      <w:tr w:rsidR="00225774" w:rsidRPr="00225774" w:rsidTr="003D2C3D">
        <w:trPr>
          <w:trHeight w:val="20"/>
          <w:jc w:val="center"/>
        </w:trPr>
        <w:tc>
          <w:tcPr>
            <w:tcW w:w="1127" w:type="pct"/>
            <w:shd w:val="clear" w:color="auto" w:fill="auto"/>
          </w:tcPr>
          <w:p w:rsidR="005657D8" w:rsidRPr="00225774" w:rsidRDefault="009E33FB" w:rsidP="007650AC">
            <w:pPr>
              <w:spacing w:before="40" w:after="40" w:line="240" w:lineRule="auto"/>
              <w:rPr>
                <w:rFonts w:asciiTheme="minorHAnsi" w:hAnsiTheme="minorHAnsi"/>
                <w:szCs w:val="22"/>
              </w:rPr>
            </w:pPr>
            <w:r w:rsidRPr="00225774">
              <w:rPr>
                <w:rFonts w:asciiTheme="minorHAnsi" w:hAnsiTheme="minorHAnsi"/>
                <w:szCs w:val="22"/>
              </w:rPr>
              <w:lastRenderedPageBreak/>
              <w:t>Liczba urzędów, które wdrożyły katalog rekomendacji dotyczących awansu cyfrowego</w:t>
            </w:r>
          </w:p>
          <w:p w:rsidR="009E33FB" w:rsidRPr="00225774" w:rsidRDefault="009E33FB" w:rsidP="009E33FB">
            <w:pPr>
              <w:spacing w:before="40" w:after="40" w:line="240" w:lineRule="auto"/>
              <w:ind w:left="316"/>
              <w:contextualSpacing/>
              <w:rPr>
                <w:rFonts w:asciiTheme="minorHAnsi" w:eastAsiaTheme="minorHAnsi" w:hAnsiTheme="minorHAnsi" w:cs="Arial"/>
                <w:szCs w:val="22"/>
                <w:lang w:eastAsia="en-US"/>
              </w:rPr>
            </w:pPr>
          </w:p>
          <w:p w:rsidR="009E33FB" w:rsidRPr="00225774" w:rsidRDefault="009E33FB" w:rsidP="007650AC">
            <w:pPr>
              <w:spacing w:before="40" w:after="40" w:line="240" w:lineRule="auto"/>
              <w:rPr>
                <w:rFonts w:asciiTheme="minorHAnsi" w:hAnsiTheme="minorHAnsi"/>
                <w:szCs w:val="22"/>
              </w:rPr>
            </w:pPr>
          </w:p>
        </w:tc>
        <w:tc>
          <w:tcPr>
            <w:tcW w:w="458" w:type="pct"/>
          </w:tcPr>
          <w:p w:rsidR="005657D8" w:rsidRPr="00225774" w:rsidRDefault="005657D8" w:rsidP="007650AC">
            <w:pPr>
              <w:spacing w:line="240" w:lineRule="auto"/>
              <w:jc w:val="both"/>
              <w:rPr>
                <w:szCs w:val="22"/>
              </w:rPr>
            </w:pPr>
            <w:r w:rsidRPr="00225774">
              <w:rPr>
                <w:rFonts w:asciiTheme="minorHAnsi" w:hAnsiTheme="minorHAnsi"/>
                <w:szCs w:val="22"/>
              </w:rPr>
              <w:t>szt.</w:t>
            </w:r>
          </w:p>
        </w:tc>
        <w:tc>
          <w:tcPr>
            <w:tcW w:w="2442" w:type="pct"/>
            <w:shd w:val="clear" w:color="auto" w:fill="auto"/>
          </w:tcPr>
          <w:p w:rsidR="00583718" w:rsidRPr="00225774" w:rsidRDefault="00583718" w:rsidP="00583718">
            <w:pPr>
              <w:autoSpaceDE w:val="0"/>
              <w:autoSpaceDN w:val="0"/>
              <w:adjustRightInd w:val="0"/>
              <w:spacing w:before="0" w:line="240" w:lineRule="auto"/>
              <w:rPr>
                <w:rFonts w:asciiTheme="minorHAnsi" w:hAnsiTheme="minorHAnsi"/>
                <w:b/>
                <w:szCs w:val="22"/>
              </w:rPr>
            </w:pPr>
            <w:r w:rsidRPr="00225774">
              <w:rPr>
                <w:rFonts w:asciiTheme="minorHAnsi" w:hAnsiTheme="minorHAnsi"/>
                <w:b/>
                <w:szCs w:val="22"/>
              </w:rPr>
              <w:t>Definicja wskaźnika na potrzeby ogłaszanego konkursu:</w:t>
            </w:r>
          </w:p>
          <w:p w:rsidR="00FA4339" w:rsidRPr="00225774" w:rsidRDefault="00FA4339" w:rsidP="00583718">
            <w:pPr>
              <w:autoSpaceDE w:val="0"/>
              <w:autoSpaceDN w:val="0"/>
              <w:adjustRightInd w:val="0"/>
              <w:spacing w:before="0" w:line="240" w:lineRule="auto"/>
              <w:rPr>
                <w:rFonts w:asciiTheme="minorHAnsi" w:hAnsiTheme="minorHAnsi"/>
                <w:b/>
                <w:szCs w:val="22"/>
              </w:rPr>
            </w:pPr>
          </w:p>
          <w:p w:rsidR="00583718" w:rsidRPr="00225774" w:rsidRDefault="00583718" w:rsidP="00FA4339">
            <w:pPr>
              <w:autoSpaceDE w:val="0"/>
              <w:autoSpaceDN w:val="0"/>
              <w:adjustRightInd w:val="0"/>
              <w:spacing w:before="0" w:line="240" w:lineRule="auto"/>
              <w:jc w:val="both"/>
              <w:rPr>
                <w:rFonts w:asciiTheme="minorHAnsi" w:hAnsiTheme="minorHAnsi"/>
                <w:szCs w:val="22"/>
              </w:rPr>
            </w:pPr>
            <w:r w:rsidRPr="00225774">
              <w:rPr>
                <w:rFonts w:asciiTheme="minorHAnsi" w:hAnsiTheme="minorHAnsi"/>
                <w:szCs w:val="22"/>
              </w:rPr>
              <w:t xml:space="preserve">Ze względu na brak opracowanego przez ministra właściwego do spraw informatyzacji </w:t>
            </w:r>
            <w:r w:rsidRPr="00225774">
              <w:rPr>
                <w:rFonts w:asciiTheme="minorHAnsi" w:hAnsiTheme="minorHAnsi"/>
                <w:b/>
                <w:szCs w:val="22"/>
              </w:rPr>
              <w:t>katalogu rekomendacji awansu cyfrowego (tzw. Katalog Rekomendacji Cyfrowego Urzędu - KRCU</w:t>
            </w:r>
            <w:r w:rsidRPr="00225774">
              <w:rPr>
                <w:rFonts w:asciiTheme="minorHAnsi" w:hAnsiTheme="minorHAnsi"/>
                <w:szCs w:val="22"/>
              </w:rPr>
              <w:t xml:space="preserve">), wskaźnik </w:t>
            </w:r>
            <w:r w:rsidR="00FA4339" w:rsidRPr="00225774">
              <w:rPr>
                <w:rFonts w:asciiTheme="minorHAnsi" w:hAnsiTheme="minorHAnsi"/>
                <w:szCs w:val="22"/>
              </w:rPr>
              <w:t xml:space="preserve">może być wykorzystywany </w:t>
            </w:r>
            <w:r w:rsidR="00FA4339" w:rsidRPr="00225774">
              <w:rPr>
                <w:rFonts w:asciiTheme="minorHAnsi" w:hAnsiTheme="minorHAnsi"/>
                <w:szCs w:val="22"/>
              </w:rPr>
              <w:br/>
              <w:t xml:space="preserve">w projektach administracji publicznej, </w:t>
            </w:r>
            <w:r w:rsidRPr="00225774">
              <w:rPr>
                <w:rFonts w:asciiTheme="minorHAnsi" w:hAnsiTheme="minorHAnsi"/>
                <w:szCs w:val="22"/>
              </w:rPr>
              <w:t xml:space="preserve"> przewidujących wsparcie rozwiązań „</w:t>
            </w:r>
            <w:proofErr w:type="spellStart"/>
            <w:r w:rsidRPr="00225774">
              <w:rPr>
                <w:rFonts w:asciiTheme="minorHAnsi" w:hAnsiTheme="minorHAnsi"/>
                <w:szCs w:val="22"/>
              </w:rPr>
              <w:t>back-office</w:t>
            </w:r>
            <w:proofErr w:type="spellEnd"/>
            <w:r w:rsidRPr="00225774">
              <w:rPr>
                <w:rFonts w:asciiTheme="minorHAnsi" w:hAnsiTheme="minorHAnsi"/>
                <w:szCs w:val="22"/>
              </w:rPr>
              <w:t xml:space="preserve">” </w:t>
            </w:r>
            <w:r w:rsidR="00FA4339" w:rsidRPr="00225774">
              <w:rPr>
                <w:rFonts w:asciiTheme="minorHAnsi" w:hAnsiTheme="minorHAnsi"/>
                <w:szCs w:val="22"/>
              </w:rPr>
              <w:t>.</w:t>
            </w:r>
          </w:p>
          <w:p w:rsidR="00FA4339" w:rsidRPr="00225774" w:rsidRDefault="00FA4339" w:rsidP="00FA4339">
            <w:pPr>
              <w:autoSpaceDE w:val="0"/>
              <w:autoSpaceDN w:val="0"/>
              <w:adjustRightInd w:val="0"/>
              <w:spacing w:before="0" w:line="240" w:lineRule="auto"/>
              <w:jc w:val="both"/>
              <w:rPr>
                <w:rFonts w:asciiTheme="minorHAnsi" w:hAnsiTheme="minorHAnsi"/>
                <w:szCs w:val="22"/>
              </w:rPr>
            </w:pPr>
          </w:p>
          <w:p w:rsidR="00FA4339" w:rsidRPr="00225774" w:rsidRDefault="00FA4339" w:rsidP="00FA4339">
            <w:pPr>
              <w:autoSpaceDE w:val="0"/>
              <w:autoSpaceDN w:val="0"/>
              <w:adjustRightInd w:val="0"/>
              <w:spacing w:before="0" w:line="240" w:lineRule="auto"/>
              <w:jc w:val="both"/>
              <w:rPr>
                <w:rFonts w:asciiTheme="minorHAnsi" w:hAnsiTheme="minorHAnsi"/>
                <w:szCs w:val="22"/>
              </w:rPr>
            </w:pPr>
            <w:r w:rsidRPr="00225774">
              <w:rPr>
                <w:rFonts w:asciiTheme="minorHAnsi" w:hAnsiTheme="minorHAnsi"/>
                <w:szCs w:val="22"/>
              </w:rPr>
              <w:t>Wnioskodawca wybierając ten wskaźnik, musi dokonać „samooceny”.</w:t>
            </w:r>
          </w:p>
          <w:p w:rsidR="00FA4339" w:rsidRPr="00225774" w:rsidRDefault="00FA4339" w:rsidP="00583718">
            <w:pPr>
              <w:autoSpaceDE w:val="0"/>
              <w:autoSpaceDN w:val="0"/>
              <w:adjustRightInd w:val="0"/>
              <w:spacing w:before="0" w:line="240" w:lineRule="auto"/>
              <w:rPr>
                <w:rFonts w:asciiTheme="minorHAnsi" w:hAnsiTheme="minorHAnsi"/>
                <w:szCs w:val="22"/>
              </w:rPr>
            </w:pPr>
          </w:p>
          <w:p w:rsidR="0039261E" w:rsidRDefault="00FA4339" w:rsidP="0039261E">
            <w:pPr>
              <w:autoSpaceDE w:val="0"/>
              <w:autoSpaceDN w:val="0"/>
              <w:adjustRightInd w:val="0"/>
              <w:spacing w:before="0" w:line="240" w:lineRule="auto"/>
              <w:rPr>
                <w:rFonts w:ascii="Calibri" w:hAnsi="Calibri"/>
                <w:szCs w:val="22"/>
                <w:lang w:eastAsia="en-US"/>
              </w:rPr>
            </w:pPr>
            <w:r w:rsidRPr="00225774">
              <w:rPr>
                <w:rFonts w:asciiTheme="minorHAnsi" w:hAnsiTheme="minorHAnsi"/>
                <w:szCs w:val="22"/>
              </w:rPr>
              <w:lastRenderedPageBreak/>
              <w:t xml:space="preserve"> </w:t>
            </w:r>
            <w:r w:rsidR="0039261E">
              <w:rPr>
                <w:rFonts w:ascii="Calibri" w:hAnsi="Calibri"/>
                <w:b/>
                <w:szCs w:val="22"/>
                <w:lang w:eastAsia="en-US"/>
              </w:rPr>
              <w:t>Samoocena</w:t>
            </w:r>
            <w:r w:rsidR="0039261E">
              <w:rPr>
                <w:rFonts w:ascii="Calibri" w:hAnsi="Calibri"/>
                <w:szCs w:val="22"/>
                <w:lang w:eastAsia="en-US"/>
              </w:rPr>
              <w:t xml:space="preserve"> - analiza stanu cyfryzacji jednostki  (w oparciu o formularz zamieszczony na stronie: </w:t>
            </w:r>
            <w:hyperlink r:id="rId9" w:history="1">
              <w:r w:rsidR="0039261E" w:rsidRPr="00F9235E">
                <w:rPr>
                  <w:rStyle w:val="Hipercze"/>
                  <w:rFonts w:ascii="Calibri" w:hAnsi="Calibri" w:cs="Arial"/>
                </w:rPr>
                <w:t>www.rpo.dolnyslask.pl</w:t>
              </w:r>
            </w:hyperlink>
            <w:r w:rsidR="0039261E" w:rsidRPr="00F9235E">
              <w:rPr>
                <w:rFonts w:ascii="Calibri" w:hAnsi="Calibri"/>
                <w:szCs w:val="22"/>
                <w:lang w:eastAsia="en-US"/>
              </w:rPr>
              <w:t>)</w:t>
            </w:r>
            <w:r w:rsidR="0039261E">
              <w:rPr>
                <w:rFonts w:ascii="Calibri" w:hAnsi="Calibri"/>
                <w:szCs w:val="22"/>
                <w:lang w:eastAsia="en-US"/>
              </w:rPr>
              <w:t>.</w:t>
            </w:r>
          </w:p>
          <w:p w:rsidR="00FA4339" w:rsidRPr="00225774" w:rsidRDefault="00FA4339" w:rsidP="00FA4339">
            <w:pPr>
              <w:autoSpaceDE w:val="0"/>
              <w:autoSpaceDN w:val="0"/>
              <w:adjustRightInd w:val="0"/>
              <w:spacing w:before="0" w:line="240" w:lineRule="auto"/>
              <w:jc w:val="both"/>
              <w:rPr>
                <w:rFonts w:asciiTheme="minorHAnsi" w:hAnsiTheme="minorHAnsi"/>
                <w:szCs w:val="22"/>
              </w:rPr>
            </w:pPr>
          </w:p>
          <w:p w:rsidR="00FA4339" w:rsidRPr="00225774" w:rsidRDefault="00FA4339" w:rsidP="00FA4339">
            <w:pPr>
              <w:autoSpaceDE w:val="0"/>
              <w:autoSpaceDN w:val="0"/>
              <w:adjustRightInd w:val="0"/>
              <w:spacing w:before="0" w:line="240" w:lineRule="auto"/>
              <w:jc w:val="both"/>
              <w:rPr>
                <w:rFonts w:asciiTheme="minorHAnsi" w:hAnsiTheme="minorHAnsi"/>
                <w:szCs w:val="22"/>
              </w:rPr>
            </w:pPr>
          </w:p>
          <w:p w:rsidR="00CF3B8E" w:rsidRPr="00225774" w:rsidRDefault="00FA4339" w:rsidP="00FA4339">
            <w:pPr>
              <w:autoSpaceDE w:val="0"/>
              <w:autoSpaceDN w:val="0"/>
              <w:adjustRightInd w:val="0"/>
              <w:spacing w:before="0" w:line="240" w:lineRule="auto"/>
              <w:jc w:val="both"/>
              <w:rPr>
                <w:rFonts w:asciiTheme="minorHAnsi" w:hAnsiTheme="minorHAnsi"/>
                <w:szCs w:val="22"/>
              </w:rPr>
            </w:pPr>
            <w:r w:rsidRPr="00225774">
              <w:rPr>
                <w:rFonts w:asciiTheme="minorHAnsi" w:hAnsiTheme="minorHAnsi"/>
                <w:szCs w:val="22"/>
              </w:rPr>
              <w:t xml:space="preserve">W przypadku projektów partnerskich samoocena musi zostać dokonana przez każdego partnera z osobna. </w:t>
            </w:r>
          </w:p>
          <w:p w:rsidR="00CF3B8E" w:rsidRPr="00225774" w:rsidRDefault="00CF3B8E" w:rsidP="00FA4339">
            <w:pPr>
              <w:autoSpaceDE w:val="0"/>
              <w:autoSpaceDN w:val="0"/>
              <w:adjustRightInd w:val="0"/>
              <w:spacing w:before="0" w:line="240" w:lineRule="auto"/>
              <w:jc w:val="both"/>
              <w:rPr>
                <w:rFonts w:asciiTheme="minorHAnsi" w:hAnsiTheme="minorHAnsi"/>
                <w:szCs w:val="22"/>
              </w:rPr>
            </w:pPr>
          </w:p>
          <w:p w:rsidR="00FA4339" w:rsidRPr="00225774" w:rsidRDefault="00FA4339" w:rsidP="00FA4339">
            <w:pPr>
              <w:autoSpaceDE w:val="0"/>
              <w:autoSpaceDN w:val="0"/>
              <w:adjustRightInd w:val="0"/>
              <w:spacing w:before="0" w:line="240" w:lineRule="auto"/>
              <w:jc w:val="both"/>
              <w:rPr>
                <w:rFonts w:asciiTheme="minorHAnsi" w:hAnsiTheme="minorHAnsi"/>
                <w:szCs w:val="22"/>
              </w:rPr>
            </w:pPr>
            <w:r w:rsidRPr="00225774">
              <w:rPr>
                <w:rFonts w:asciiTheme="minorHAnsi" w:hAnsiTheme="minorHAnsi"/>
                <w:szCs w:val="22"/>
              </w:rPr>
              <w:t>Metoda pomiaru: Urzędy mogą składać się z biur/placówek pozamiejscowych /delegatur itp. Urząd jest aparatem pomocniczym organów administracji publicznej, w tym jednostek podległych i nadzorowanych. Wskaźnik obejmuje liczbę wszystkich urzędów, które dokonały samooceny, w tym poszczególnych partnerów wdrażających rozwiązania informatyczne będące przedmiotem wspólnego projektu.</w:t>
            </w:r>
          </w:p>
          <w:p w:rsidR="00583718" w:rsidRPr="00225774" w:rsidRDefault="00583718" w:rsidP="00D97A0C">
            <w:pPr>
              <w:autoSpaceDE w:val="0"/>
              <w:autoSpaceDN w:val="0"/>
              <w:adjustRightInd w:val="0"/>
              <w:spacing w:before="0" w:line="240" w:lineRule="auto"/>
              <w:jc w:val="both"/>
              <w:rPr>
                <w:rFonts w:asciiTheme="minorHAnsi" w:hAnsiTheme="minorHAnsi"/>
                <w:b/>
                <w:szCs w:val="22"/>
              </w:rPr>
            </w:pPr>
          </w:p>
        </w:tc>
        <w:tc>
          <w:tcPr>
            <w:tcW w:w="973" w:type="pct"/>
          </w:tcPr>
          <w:p w:rsidR="005657D8" w:rsidRPr="00225774" w:rsidRDefault="009E33FB" w:rsidP="007650AC">
            <w:pPr>
              <w:spacing w:line="240" w:lineRule="auto"/>
              <w:jc w:val="both"/>
              <w:rPr>
                <w:rFonts w:asciiTheme="minorHAnsi" w:hAnsiTheme="minorHAnsi"/>
                <w:szCs w:val="22"/>
              </w:rPr>
            </w:pPr>
            <w:r w:rsidRPr="00225774">
              <w:rPr>
                <w:rFonts w:asciiTheme="minorHAnsi" w:hAnsiTheme="minorHAnsi"/>
                <w:szCs w:val="22"/>
              </w:rPr>
              <w:lastRenderedPageBreak/>
              <w:t>RPO</w:t>
            </w:r>
          </w:p>
        </w:tc>
      </w:tr>
      <w:tr w:rsidR="00E2644E" w:rsidRPr="009E33FB" w:rsidTr="003D2C3D">
        <w:trPr>
          <w:trHeight w:val="20"/>
          <w:jc w:val="center"/>
        </w:trPr>
        <w:tc>
          <w:tcPr>
            <w:tcW w:w="1127" w:type="pct"/>
            <w:shd w:val="clear" w:color="auto" w:fill="auto"/>
          </w:tcPr>
          <w:p w:rsidR="00E2644E" w:rsidRPr="00E2644E" w:rsidRDefault="00E2644E" w:rsidP="007650AC">
            <w:pPr>
              <w:spacing w:before="40" w:after="40" w:line="240" w:lineRule="auto"/>
              <w:rPr>
                <w:rFonts w:ascii="Calibri" w:hAnsi="Calibri"/>
                <w:color w:val="FF0000"/>
                <w:szCs w:val="22"/>
              </w:rPr>
            </w:pPr>
            <w:r w:rsidRPr="00E2644E">
              <w:rPr>
                <w:rFonts w:ascii="Calibri" w:hAnsi="Calibri" w:cs="Arial"/>
              </w:rPr>
              <w:lastRenderedPageBreak/>
              <w:t>Liczba usług publicznych udostępnionych on-line o stopniu dojrzałości co najmniej 4-transakcja</w:t>
            </w:r>
          </w:p>
        </w:tc>
        <w:tc>
          <w:tcPr>
            <w:tcW w:w="458" w:type="pct"/>
          </w:tcPr>
          <w:p w:rsidR="00E2644E" w:rsidRPr="009E33FB" w:rsidRDefault="00CD28DA" w:rsidP="007650AC">
            <w:pPr>
              <w:spacing w:line="240" w:lineRule="auto"/>
              <w:jc w:val="both"/>
              <w:rPr>
                <w:rFonts w:asciiTheme="minorHAnsi" w:hAnsiTheme="minorHAnsi"/>
                <w:color w:val="FF0000"/>
                <w:szCs w:val="22"/>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Usługa on-line o stopniu dojrzałości 4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CD28DA">
              <w:rPr>
                <w:rFonts w:ascii="Calibri" w:eastAsia="Calibri" w:hAnsi="Calibri" w:cs="Arial Narrow"/>
                <w:szCs w:val="22"/>
                <w:lang w:eastAsia="en-US"/>
              </w:rPr>
              <w:t>sms-em</w:t>
            </w:r>
            <w:proofErr w:type="spellEnd"/>
            <w:r w:rsidRPr="00CD28DA">
              <w:rPr>
                <w:rFonts w:ascii="Calibri" w:eastAsia="Calibri" w:hAnsi="Calibri" w:cs="Arial Narrow"/>
                <w:szCs w:val="22"/>
                <w:lang w:eastAsia="en-US"/>
              </w:rPr>
              <w:t xml:space="preserve"> o zbliżającej się potrzebie wykonania danej czynności urzędowej). </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W ramach wskaźnika należy ujmować usługi:</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nowe  lub istotnie udoskonalone</w:t>
            </w:r>
          </w:p>
          <w:p w:rsidR="00E2644E" w:rsidRDefault="00CD28DA" w:rsidP="00CD28DA">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 skierowane do klientów spoza administracji publicznej: obywateli (usługi A2C, Administration to </w:t>
            </w:r>
            <w:proofErr w:type="spellStart"/>
            <w:r w:rsidRPr="00CD28DA">
              <w:rPr>
                <w:rFonts w:ascii="Calibri" w:eastAsia="Calibri" w:hAnsi="Calibri" w:cs="Arial Narrow"/>
                <w:szCs w:val="22"/>
                <w:lang w:eastAsia="en-US"/>
              </w:rPr>
              <w:t>C</w:t>
            </w:r>
            <w:r>
              <w:rPr>
                <w:rFonts w:ascii="Calibri" w:eastAsia="Calibri" w:hAnsi="Calibri" w:cs="Arial Narrow"/>
                <w:szCs w:val="22"/>
                <w:lang w:eastAsia="en-US"/>
              </w:rPr>
              <w:t>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rsidR="00CD28DA" w:rsidRDefault="00CD28DA" w:rsidP="00CD28DA">
            <w:pPr>
              <w:autoSpaceDE w:val="0"/>
              <w:autoSpaceDN w:val="0"/>
              <w:adjustRightInd w:val="0"/>
              <w:spacing w:before="0" w:line="240" w:lineRule="auto"/>
              <w:jc w:val="both"/>
              <w:rPr>
                <w:rFonts w:ascii="Calibri" w:eastAsia="Calibri" w:hAnsi="Calibri" w:cs="Arial Narrow"/>
                <w:szCs w:val="22"/>
                <w:lang w:eastAsia="en-US"/>
              </w:rPr>
            </w:pP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Theme="minorHAnsi" w:hAnsiTheme="minorHAnsi"/>
                <w:szCs w:val="22"/>
              </w:rPr>
              <w:t xml:space="preserve">Metoda pomiaru: </w:t>
            </w:r>
            <w:r w:rsidRPr="00CD28DA">
              <w:rPr>
                <w:rFonts w:ascii="Calibri" w:eastAsia="Calibri" w:hAnsi="Calibri" w:cs="Arial Narrow"/>
                <w:szCs w:val="22"/>
                <w:lang w:eastAsia="en-US"/>
              </w:rPr>
              <w:t xml:space="preserve">Należy zliczyć udostępnione on-line usługi o stopniu dojrzałości </w:t>
            </w:r>
            <w:r w:rsidRPr="00CD28DA">
              <w:rPr>
                <w:rFonts w:ascii="Calibri" w:eastAsia="Calibri" w:hAnsi="Calibri" w:cs="Arial Narrow"/>
                <w:b/>
                <w:szCs w:val="22"/>
                <w:lang w:eastAsia="en-US"/>
              </w:rPr>
              <w:t>co najmniej 4</w:t>
            </w:r>
            <w:r w:rsidRPr="00CD28DA">
              <w:rPr>
                <w:rFonts w:ascii="Calibri" w:eastAsia="Calibri" w:hAnsi="Calibri" w:cs="Arial Narrow"/>
                <w:szCs w:val="22"/>
                <w:lang w:eastAsia="en-US"/>
              </w:rPr>
              <w:t>, których wykonanie bez wykorzystania technologii informacyjnej jest niemożliwe w formie ogólnodostępnych serwisów informacyjnych.</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lastRenderedPageBreak/>
              <w:t>Nie należy wliczać usług udostępnionych on-line o stopniu dojrzałości 3.</w:t>
            </w:r>
          </w:p>
          <w:p w:rsidR="00CD28DA" w:rsidRPr="00CD28DA" w:rsidRDefault="00CD28DA" w:rsidP="00CD28DA">
            <w:pPr>
              <w:spacing w:before="0" w:line="276" w:lineRule="auto"/>
              <w:jc w:val="both"/>
              <w:rPr>
                <w:rFonts w:ascii="Calibri" w:eastAsia="Calibri" w:hAnsi="Calibri" w:cs="Arial Narrow"/>
                <w:szCs w:val="22"/>
                <w:lang w:eastAsia="en-US"/>
              </w:rPr>
            </w:pPr>
            <w:r w:rsidRPr="00CD28DA">
              <w:rPr>
                <w:rFonts w:ascii="Calibri" w:eastAsia="Calibri" w:hAnsi="Calibri" w:cs="Arial Narrow"/>
                <w:szCs w:val="22"/>
                <w:lang w:eastAsia="en-US"/>
              </w:rPr>
              <w:t>W przypadku, gdy projekt dotyczy kilku podmiotów nie należy liczyć tych samych usług tyle razy, ile podmiotów jest zaangażowanych w projekt.</w:t>
            </w:r>
          </w:p>
          <w:p w:rsidR="00CD28DA" w:rsidRPr="009E33FB" w:rsidRDefault="00CD28DA" w:rsidP="00CD28DA">
            <w:pPr>
              <w:autoSpaceDE w:val="0"/>
              <w:autoSpaceDN w:val="0"/>
              <w:adjustRightInd w:val="0"/>
              <w:spacing w:before="0" w:line="240" w:lineRule="auto"/>
              <w:jc w:val="both"/>
              <w:rPr>
                <w:rFonts w:asciiTheme="minorHAnsi" w:hAnsiTheme="minorHAnsi"/>
                <w:color w:val="FF0000"/>
                <w:szCs w:val="22"/>
              </w:rPr>
            </w:pPr>
          </w:p>
        </w:tc>
        <w:tc>
          <w:tcPr>
            <w:tcW w:w="973" w:type="pct"/>
          </w:tcPr>
          <w:p w:rsidR="00E2644E" w:rsidRPr="009E33FB" w:rsidRDefault="00B03E40" w:rsidP="007650AC">
            <w:pPr>
              <w:spacing w:line="240" w:lineRule="auto"/>
              <w:jc w:val="both"/>
              <w:rPr>
                <w:rFonts w:asciiTheme="minorHAnsi" w:hAnsiTheme="minorHAnsi"/>
                <w:color w:val="FF0000"/>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udostępnionych usług wewnątrzadministracyjnych (A2A)</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75376D"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usług elektronicznie udostępnionych przez organ administracji publicznej innemu organowi tej administracji, umożliwiających realizację części jego zadań drogą elektroniczną.  </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podmiotów udostępniających usługi wewnątrzadministracyjne (A2A)</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F41AB5"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organów administracji publicznej  udostępniających usługi innemu organowi tej administracji, umożliwiających realizację części jego zadań drogą elektroniczną.  </w:t>
            </w:r>
          </w:p>
        </w:tc>
        <w:tc>
          <w:tcPr>
            <w:tcW w:w="973" w:type="pct"/>
          </w:tcPr>
          <w:p w:rsidR="00E2644E" w:rsidRPr="001722F7" w:rsidRDefault="003828CF"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cs="Arial"/>
              </w:rPr>
            </w:pPr>
            <w:r w:rsidRPr="001722F7">
              <w:rPr>
                <w:rFonts w:ascii="Calibri" w:hAnsi="Calibri" w:cs="Arial"/>
              </w:rPr>
              <w:t xml:space="preserve">Liczba </w:t>
            </w:r>
            <w:proofErr w:type="spellStart"/>
            <w:r w:rsidRPr="001722F7">
              <w:rPr>
                <w:rFonts w:ascii="Calibri" w:hAnsi="Calibri" w:cs="Arial"/>
              </w:rPr>
              <w:t>zdigitalizowanych</w:t>
            </w:r>
            <w:proofErr w:type="spellEnd"/>
            <w:r w:rsidRPr="001722F7">
              <w:rPr>
                <w:rFonts w:ascii="Calibri" w:hAnsi="Calibri" w:cs="Arial"/>
              </w:rPr>
              <w:t xml:space="preserve"> dokumentów zawierających informacje sektora publicznego</w:t>
            </w:r>
          </w:p>
          <w:p w:rsidR="00CD28DA" w:rsidRPr="001722F7" w:rsidRDefault="00CD28DA" w:rsidP="007650AC">
            <w:pPr>
              <w:spacing w:before="40" w:after="40" w:line="240" w:lineRule="auto"/>
              <w:rPr>
                <w:rFonts w:ascii="Calibri" w:hAnsi="Calibri" w:cs="Arial"/>
              </w:rPr>
            </w:pPr>
          </w:p>
          <w:p w:rsidR="00CD28DA" w:rsidRPr="001722F7" w:rsidRDefault="00CD28DA" w:rsidP="007650AC">
            <w:pPr>
              <w:spacing w:before="40" w:after="40" w:line="240" w:lineRule="auto"/>
              <w:rPr>
                <w:rFonts w:ascii="Calibri" w:hAnsi="Calibri"/>
                <w:szCs w:val="22"/>
              </w:rPr>
            </w:pP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6D1625" w:rsidRPr="001722F7" w:rsidRDefault="006D1625"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Liczba dokumentów stanowiących informacje sektora publicznego, które w wyniku wsparcia, zostaną przetworzone z postaci analogowej do postaci cyfrowej.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"Dokument" oznacza (na podstawie dyrektywy 2003/98/WE) jakąkolwiek treść niezależnie od zastosowanego nośnika (zapisaną na papierze lub zapisaną w formie elektronicznej lub zarejestrowaną w formie dźwi</w:t>
            </w:r>
            <w:r w:rsidR="003828CF" w:rsidRPr="001722F7">
              <w:rPr>
                <w:rFonts w:ascii="Calibri" w:eastAsia="Calibri" w:hAnsi="Calibri" w:cs="Arial Narrow"/>
                <w:szCs w:val="22"/>
                <w:lang w:eastAsia="en-US"/>
              </w:rPr>
              <w:t>ę</w:t>
            </w:r>
            <w:r w:rsidRPr="001722F7">
              <w:rPr>
                <w:rFonts w:ascii="Calibri" w:eastAsia="Calibri" w:hAnsi="Calibri" w:cs="Arial Narrow"/>
                <w:szCs w:val="22"/>
                <w:lang w:eastAsia="en-US"/>
              </w:rPr>
              <w:t xml:space="preserve">kowej, wizualnej albo audiowizualnej).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Na użytek POPC przez informacje sektora publicznego należy rozumieć: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  informację publiczną w rozumieniu ustawy z dnia 6 września 2001 r. o dostępie do informacji publicznej, </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audiowizualne, pod warunkiem ich udostępniania do ponownego wykorzystywania,</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xml:space="preserve">- zasoby archiwalne, pod warunkiem ich </w:t>
            </w:r>
            <w:r w:rsidRPr="001722F7">
              <w:rPr>
                <w:rFonts w:ascii="Calibri" w:eastAsia="Calibri" w:hAnsi="Calibri" w:cs="Arial Narrow"/>
                <w:szCs w:val="22"/>
                <w:lang w:eastAsia="en-US"/>
              </w:rPr>
              <w:lastRenderedPageBreak/>
              <w:t>udostępnienia do ponownego wykorzystania,</w:t>
            </w:r>
          </w:p>
          <w:p w:rsidR="00CD28DA" w:rsidRPr="001722F7" w:rsidRDefault="00CD28DA" w:rsidP="00CD28DA">
            <w:pPr>
              <w:spacing w:before="0" w:line="276"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kultury, pod warunkiem ich udostepnienia do ponownego wykorzystania.</w:t>
            </w:r>
          </w:p>
          <w:p w:rsidR="00E2644E" w:rsidRPr="001722F7" w:rsidRDefault="00CD28DA" w:rsidP="00CD28DA">
            <w:pPr>
              <w:autoSpaceDE w:val="0"/>
              <w:autoSpaceDN w:val="0"/>
              <w:adjustRightInd w:val="0"/>
              <w:spacing w:before="0" w:line="240" w:lineRule="auto"/>
              <w:jc w:val="both"/>
              <w:rPr>
                <w:rFonts w:ascii="Calibri" w:eastAsia="Calibri" w:hAnsi="Calibri" w:cs="Arial Narrow"/>
                <w:szCs w:val="22"/>
                <w:lang w:eastAsia="en-US"/>
              </w:rPr>
            </w:pPr>
            <w:r w:rsidRPr="001722F7">
              <w:rPr>
                <w:rFonts w:ascii="Calibri" w:eastAsia="Calibri" w:hAnsi="Calibri" w:cs="Arial Narrow"/>
                <w:szCs w:val="22"/>
                <w:lang w:eastAsia="en-US"/>
              </w:rPr>
              <w:t>- zasoby nauki, pod warunkiem ich udostępniania do ponownego wykorzystywania.</w:t>
            </w:r>
          </w:p>
          <w:p w:rsidR="00CD28DA" w:rsidRPr="001722F7" w:rsidRDefault="00CD28DA" w:rsidP="00CD28DA">
            <w:pPr>
              <w:autoSpaceDE w:val="0"/>
              <w:autoSpaceDN w:val="0"/>
              <w:adjustRightInd w:val="0"/>
              <w:spacing w:before="0" w:line="240" w:lineRule="auto"/>
              <w:jc w:val="both"/>
              <w:rPr>
                <w:rFonts w:ascii="Calibri" w:eastAsia="Calibri" w:hAnsi="Calibri" w:cs="Arial Narrow"/>
                <w:szCs w:val="22"/>
                <w:lang w:eastAsia="en-US"/>
              </w:rPr>
            </w:pPr>
          </w:p>
          <w:p w:rsidR="00CD28DA" w:rsidRPr="001722F7" w:rsidRDefault="00CD28DA" w:rsidP="00CD28DA">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Metoda pomiaru: Liczba utworów z zasobów publicznych przetworzonych z postaci analogowej na cyfrową.</w:t>
            </w:r>
          </w:p>
          <w:p w:rsidR="00CD28DA" w:rsidRPr="001722F7" w:rsidRDefault="00CD28DA" w:rsidP="00CD28DA">
            <w:pPr>
              <w:autoSpaceDE w:val="0"/>
              <w:autoSpaceDN w:val="0"/>
              <w:adjustRightInd w:val="0"/>
              <w:spacing w:before="0" w:line="240" w:lineRule="auto"/>
              <w:jc w:val="both"/>
              <w:rPr>
                <w:rFonts w:asciiTheme="minorHAnsi" w:hAnsiTheme="minorHAnsi"/>
                <w:szCs w:val="22"/>
              </w:rPr>
            </w:pPr>
          </w:p>
        </w:tc>
        <w:tc>
          <w:tcPr>
            <w:tcW w:w="973" w:type="pct"/>
          </w:tcPr>
          <w:p w:rsidR="00E2644E" w:rsidRPr="001722F7" w:rsidRDefault="00B03E40" w:rsidP="006D1625">
            <w:pPr>
              <w:spacing w:line="240" w:lineRule="auto"/>
              <w:jc w:val="both"/>
              <w:rPr>
                <w:rFonts w:asciiTheme="minorHAnsi" w:hAnsiTheme="minorHAnsi"/>
                <w:szCs w:val="22"/>
              </w:rPr>
            </w:pPr>
            <w:r w:rsidRPr="001722F7">
              <w:rPr>
                <w:rFonts w:asciiTheme="minorHAnsi" w:hAnsiTheme="minorHAnsi"/>
                <w:szCs w:val="22"/>
              </w:rPr>
              <w:lastRenderedPageBreak/>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udostępnionych on-line dokumentów zawierających informacje sektora publicznego</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Liczba dokumentów stanowiących informacje sektora publicznego, które udostępniono on-line w wyniku wsparcia. "Dokument" oznacza (na podstawie dyrektywy 2003/98/WE) jakąkolwiek treść niezależnie od zastosowanego nośnika (zapisaną na papierze lub zapisaną w formie elektronicznej lub zarejestrowaną w formie dźwiękowej, wizualnej albo audiowizualnej).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Informacje sektora publicznego należy rozumieć: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xml:space="preserve">-  informację publiczną w rozumieniu ustawy z dnia 6 września 2001 r. o dostępie do informacji publicznej, </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audiowizualne, pod warunkiem ich udostępniania do ponownego wykorzystywania,</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archiwalne, pod warunkiem ich udostępnienia do ponownego wykorzystania,</w:t>
            </w:r>
          </w:p>
          <w:p w:rsidR="00B62340"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kultury, pod warunkiem ich udostepnienia do ponownego wykorzystania.</w:t>
            </w:r>
          </w:p>
          <w:p w:rsidR="00E2644E" w:rsidRPr="001722F7" w:rsidRDefault="00B62340" w:rsidP="00B62340">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 zasoby nauki, pod warunkiem ich udostępniania do ponownego wykorzystywania.</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uruchomionych systemów teleinformatycznych w podmiotach wykonujących zadania publiczne</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B62340"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Przez system teleinformatyczny należy rozumieć zespół współpracujących ze sobą urządzeń informatycznych i oprogramowania zapewniający przetwarzanie, przechowywanie, a także wysyłanie i odbieranie danych przez sieci telekomunikacyjne.</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lastRenderedPageBreak/>
              <w:t>Liczba utworzonych API</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0F36CA" w:rsidP="009E33FB">
            <w:pPr>
              <w:autoSpaceDE w:val="0"/>
              <w:autoSpaceDN w:val="0"/>
              <w:adjustRightInd w:val="0"/>
              <w:spacing w:before="0" w:line="240" w:lineRule="auto"/>
              <w:jc w:val="both"/>
              <w:rPr>
                <w:rFonts w:ascii="Calibri" w:hAnsi="Calibri"/>
                <w:szCs w:val="22"/>
              </w:rPr>
            </w:pPr>
            <w:r w:rsidRPr="001722F7">
              <w:rPr>
                <w:rFonts w:ascii="Calibri" w:eastAsia="Calibri" w:hAnsi="Calibri" w:cs="Arial Narrow"/>
                <w:szCs w:val="22"/>
                <w:lang w:eastAsia="en-US"/>
              </w:rPr>
              <w:t>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1722F7" w:rsidRPr="001722F7" w:rsidTr="003D2C3D">
        <w:trPr>
          <w:trHeight w:val="20"/>
          <w:jc w:val="center"/>
        </w:trPr>
        <w:tc>
          <w:tcPr>
            <w:tcW w:w="1127" w:type="pct"/>
            <w:shd w:val="clear" w:color="auto" w:fill="auto"/>
          </w:tcPr>
          <w:p w:rsidR="00E2644E" w:rsidRPr="001722F7" w:rsidRDefault="00E2644E" w:rsidP="007650AC">
            <w:pPr>
              <w:spacing w:before="40" w:after="40" w:line="240" w:lineRule="auto"/>
              <w:rPr>
                <w:rFonts w:ascii="Calibri" w:hAnsi="Calibri"/>
                <w:szCs w:val="22"/>
              </w:rPr>
            </w:pPr>
            <w:r w:rsidRPr="001722F7">
              <w:rPr>
                <w:rFonts w:ascii="Calibri" w:hAnsi="Calibri" w:cs="Arial"/>
              </w:rPr>
              <w:t>Liczba baz danych udostępnionych on-line poprzez API</w:t>
            </w:r>
          </w:p>
        </w:tc>
        <w:tc>
          <w:tcPr>
            <w:tcW w:w="458" w:type="pct"/>
          </w:tcPr>
          <w:p w:rsidR="00E2644E" w:rsidRPr="001722F7" w:rsidRDefault="00E2644E" w:rsidP="007650AC">
            <w:pPr>
              <w:spacing w:line="240" w:lineRule="auto"/>
              <w:jc w:val="both"/>
              <w:rPr>
                <w:rFonts w:asciiTheme="minorHAnsi" w:hAnsiTheme="minorHAnsi"/>
                <w:szCs w:val="22"/>
              </w:rPr>
            </w:pPr>
            <w:r w:rsidRPr="001722F7">
              <w:rPr>
                <w:rFonts w:asciiTheme="minorHAnsi" w:eastAsiaTheme="minorHAnsi" w:hAnsiTheme="minorHAnsi"/>
                <w:szCs w:val="22"/>
                <w:lang w:eastAsia="en-US"/>
              </w:rPr>
              <w:t>szt.</w:t>
            </w:r>
          </w:p>
        </w:tc>
        <w:tc>
          <w:tcPr>
            <w:tcW w:w="2442" w:type="pct"/>
            <w:shd w:val="clear" w:color="auto" w:fill="auto"/>
          </w:tcPr>
          <w:p w:rsidR="00E2644E" w:rsidRPr="001722F7" w:rsidRDefault="005D6A14" w:rsidP="009E33FB">
            <w:pPr>
              <w:autoSpaceDE w:val="0"/>
              <w:autoSpaceDN w:val="0"/>
              <w:adjustRightInd w:val="0"/>
              <w:spacing w:before="0" w:line="240" w:lineRule="auto"/>
              <w:jc w:val="both"/>
              <w:rPr>
                <w:rFonts w:asciiTheme="minorHAnsi" w:hAnsiTheme="minorHAnsi"/>
                <w:szCs w:val="22"/>
              </w:rPr>
            </w:pPr>
            <w:r w:rsidRPr="001722F7">
              <w:rPr>
                <w:rFonts w:asciiTheme="minorHAnsi" w:hAnsiTheme="minorHAnsi"/>
                <w:szCs w:val="22"/>
              </w:rPr>
              <w:t>API (ang. Application Programming Interface) należy rozumieć jako interfejs programowania aplikacji, zaprojektowany i wdrożony przez podmiot udostępniający informacje sektora publicznego. Interfejs łączy w sobie metody programowania, specyfikacje techniczne i dokumentację, aby umożliwić zarejestrowanym użytkownikom uzyskanie dostępu do informacji sektora publicznego, w celu ich ponownego wykorzystania. Interfejs API definiuje się podając  zestaw procedur dostępnych programom użytkowników, a także ich parametry wywołania oraz różnego rodzaju typy danych. W ten sposób określa on funkcje dostępne  użytkownikowi  oraz pozwala np. na tworzenie własnych aplikacji budowanych i automatycznie aktualizowanych, w oparciu o udostępnione informacje sektora publicznego.</w:t>
            </w:r>
          </w:p>
        </w:tc>
        <w:tc>
          <w:tcPr>
            <w:tcW w:w="973" w:type="pct"/>
          </w:tcPr>
          <w:p w:rsidR="00E2644E" w:rsidRPr="001722F7" w:rsidRDefault="00B03E40" w:rsidP="007650AC">
            <w:pPr>
              <w:spacing w:line="240" w:lineRule="auto"/>
              <w:jc w:val="both"/>
              <w:rPr>
                <w:rFonts w:asciiTheme="minorHAnsi" w:hAnsiTheme="minorHAnsi"/>
                <w:szCs w:val="22"/>
              </w:rPr>
            </w:pPr>
            <w:r w:rsidRPr="001722F7">
              <w:rPr>
                <w:rFonts w:asciiTheme="minorHAnsi" w:hAnsiTheme="minorHAnsi"/>
                <w:szCs w:val="22"/>
              </w:rPr>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Należy podać liczbę obiektów, a nie sprzętów, </w:t>
            </w:r>
            <w:r w:rsidRPr="00911273">
              <w:rPr>
                <w:rFonts w:asciiTheme="minorHAnsi" w:eastAsiaTheme="minorHAnsi" w:hAnsiTheme="minorHAnsi"/>
                <w:szCs w:val="22"/>
                <w:lang w:eastAsia="en-US"/>
              </w:rPr>
              <w:lastRenderedPageBreak/>
              <w:t>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E2644E"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w:t>
            </w:r>
            <w:r w:rsidR="00F02218">
              <w:rPr>
                <w:rFonts w:asciiTheme="minorHAnsi" w:eastAsiaTheme="minorHAnsi" w:hAnsiTheme="minorHAnsi"/>
                <w:szCs w:val="22"/>
                <w:lang w:eastAsia="en-US"/>
              </w:rPr>
              <w:t>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w:t>
            </w:r>
            <w:r w:rsidRPr="00911273">
              <w:rPr>
                <w:rFonts w:asciiTheme="minorHAnsi" w:eastAsiaTheme="minorHAnsi" w:hAnsiTheme="minorHAnsi" w:cs="Arial"/>
                <w:color w:val="000000"/>
                <w:szCs w:val="22"/>
                <w:lang w:eastAsia="en-US"/>
              </w:rPr>
              <w:lastRenderedPageBreak/>
              <w:t xml:space="preserve">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lastRenderedPageBreak/>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0F5C98" w:rsidRPr="000F5C98" w:rsidRDefault="000F5C98" w:rsidP="007650AC">
      <w:pPr>
        <w:autoSpaceDE w:val="0"/>
        <w:autoSpaceDN w:val="0"/>
        <w:adjustRightInd w:val="0"/>
        <w:spacing w:before="0" w:line="240" w:lineRule="auto"/>
        <w:jc w:val="both"/>
        <w:rPr>
          <w:rFonts w:asciiTheme="minorHAnsi" w:hAnsiTheme="minorHAnsi"/>
        </w:rPr>
      </w:pPr>
      <w:r w:rsidRPr="000F5C98">
        <w:rPr>
          <w:rFonts w:asciiTheme="minorHAnsi" w:hAnsiTheme="minorHAnsi"/>
        </w:rPr>
        <w:t xml:space="preserve">Jako źródło informacji o wskaźniku wskazać należy odpowiedni dokument (np. </w:t>
      </w:r>
      <w:r w:rsidR="000F5A86" w:rsidRPr="000F5A86">
        <w:rPr>
          <w:rFonts w:asciiTheme="minorHAnsi" w:hAnsiTheme="minorHAnsi"/>
        </w:rPr>
        <w:t>liczba odwiedzin na stronie , liczba użytkowników baz danych</w:t>
      </w:r>
      <w:r w:rsidR="000F5A86">
        <w:rPr>
          <w:rFonts w:asciiTheme="minorHAnsi" w:hAnsiTheme="minorHAnsi"/>
        </w:rPr>
        <w:t>)</w:t>
      </w:r>
      <w:r w:rsidRPr="000F5C98">
        <w:rPr>
          <w:rFonts w:asciiTheme="minorHAnsi" w:hAnsiTheme="minorHAnsi"/>
        </w:rPr>
        <w:t>.</w:t>
      </w: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221FB2">
        <w:rPr>
          <w:rFonts w:asciiTheme="minorHAnsi" w:hAnsiTheme="minorHAnsi"/>
          <w:szCs w:val="22"/>
        </w:rPr>
        <w:t>2</w:t>
      </w:r>
      <w:r w:rsidRPr="00911273">
        <w:rPr>
          <w:rFonts w:asciiTheme="minorHAnsi" w:hAnsiTheme="minorHAnsi"/>
          <w:szCs w:val="22"/>
        </w:rPr>
        <w:t>.</w:t>
      </w:r>
      <w:r w:rsidR="00221FB2">
        <w:rPr>
          <w:rFonts w:asciiTheme="minorHAnsi" w:hAnsiTheme="minorHAnsi"/>
          <w:szCs w:val="22"/>
        </w:rPr>
        <w:t>1</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127"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7"/>
        <w:gridCol w:w="1303"/>
        <w:gridCol w:w="4065"/>
        <w:gridCol w:w="1949"/>
      </w:tblGrid>
      <w:tr w:rsidR="005657D8" w:rsidRPr="00911273" w:rsidTr="008E5605">
        <w:trPr>
          <w:trHeight w:val="20"/>
          <w:jc w:val="center"/>
        </w:trPr>
        <w:tc>
          <w:tcPr>
            <w:tcW w:w="115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684"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134"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23"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8E5605">
        <w:trPr>
          <w:trHeight w:val="20"/>
          <w:jc w:val="center"/>
        </w:trPr>
        <w:tc>
          <w:tcPr>
            <w:tcW w:w="1159" w:type="pct"/>
            <w:shd w:val="clear" w:color="auto" w:fill="auto"/>
          </w:tcPr>
          <w:p w:rsidR="00221FB2" w:rsidRPr="00221FB2" w:rsidRDefault="00221FB2" w:rsidP="00221FB2">
            <w:pPr>
              <w:tabs>
                <w:tab w:val="left" w:pos="316"/>
              </w:tabs>
              <w:spacing w:before="40" w:after="40"/>
              <w:rPr>
                <w:rFonts w:ascii="Calibri" w:hAnsi="Calibri" w:cs="Arial"/>
                <w:sz w:val="24"/>
                <w:szCs w:val="24"/>
              </w:rPr>
            </w:pPr>
            <w:r w:rsidRPr="00221FB2">
              <w:rPr>
                <w:rFonts w:ascii="Calibri" w:hAnsi="Calibri" w:cs="Arial"/>
                <w:szCs w:val="22"/>
              </w:rPr>
              <w:t xml:space="preserve">Liczba pobrań/uruchomień aplikacji opartych na ponownym wykorzystaniu informacji sektora publicznego i e-usług publicznych </w:t>
            </w:r>
          </w:p>
          <w:p w:rsidR="005657D8" w:rsidRPr="00911273" w:rsidRDefault="005657D8" w:rsidP="007650AC">
            <w:pPr>
              <w:spacing w:line="240" w:lineRule="auto"/>
              <w:rPr>
                <w:rFonts w:asciiTheme="minorHAnsi" w:hAnsiTheme="minorHAnsi"/>
                <w:szCs w:val="22"/>
              </w:rPr>
            </w:pPr>
          </w:p>
        </w:tc>
        <w:tc>
          <w:tcPr>
            <w:tcW w:w="684" w:type="pct"/>
          </w:tcPr>
          <w:p w:rsidR="005657D8" w:rsidRPr="00911273" w:rsidRDefault="00221FB2" w:rsidP="007650AC">
            <w:pPr>
              <w:spacing w:before="0" w:line="240" w:lineRule="auto"/>
              <w:jc w:val="both"/>
              <w:rPr>
                <w:rFonts w:asciiTheme="minorHAnsi" w:hAnsiTheme="minorHAnsi"/>
                <w:szCs w:val="22"/>
              </w:rPr>
            </w:pPr>
            <w:r>
              <w:rPr>
                <w:rFonts w:asciiTheme="minorHAnsi" w:hAnsiTheme="minorHAnsi"/>
                <w:szCs w:val="22"/>
              </w:rPr>
              <w:t>Szt.</w:t>
            </w:r>
          </w:p>
        </w:tc>
        <w:tc>
          <w:tcPr>
            <w:tcW w:w="2134" w:type="pct"/>
            <w:shd w:val="clear" w:color="auto" w:fill="auto"/>
          </w:tcPr>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 xml:space="preserve">Wskaźnik należy definiować jako liczbę pobrań (w przypadku aplikacji instalowanych na urządzeniu użytkownika) lub uruchomień (w przypadku aplikacji dostępnych zdalnie z serwera) aplikacji opartych na ponownym wykorzystaniu informacji sektora publicznego i e-usług publicznych w ciągu roku od daty zakończenia realizacji projektu. </w:t>
            </w:r>
          </w:p>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Jako aplikację należy rozumieć program wykonujący konkretne zadania, wyposażony w interfejs użytkownika (zarówno program instalowany na urządzeniu użytkownika - takim jak np. komputer, tablet czy telefon komórkowy; jak i program pracujący na serwerze internetowym, dostępny przez przeglądarkę www).</w:t>
            </w:r>
          </w:p>
          <w:p w:rsidR="000B769F" w:rsidRPr="000B769F"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lastRenderedPageBreak/>
              <w:t>Jako ponowne wykorzystanie informacji sektora publicznego należy rozumieć „wykorzystywanie przez osoby fizyczne lub prawne dokumentów będących w posiadaniu organów sektora publicznego, do celów komercyjnych lub niekomercyjnych innych niż ich pierwotne przeznaczenie w ramach zadań publicznych, dla których te dokumenty zostały wyprodukowane" (art. 2 ust. 4, dyrektywa 2003/98/WE).</w:t>
            </w:r>
          </w:p>
          <w:p w:rsidR="00D11E26" w:rsidRPr="00D11E26" w:rsidRDefault="000B769F" w:rsidP="000B769F">
            <w:pPr>
              <w:autoSpaceDE w:val="0"/>
              <w:autoSpaceDN w:val="0"/>
              <w:adjustRightInd w:val="0"/>
              <w:spacing w:line="240" w:lineRule="auto"/>
              <w:jc w:val="both"/>
              <w:rPr>
                <w:rFonts w:asciiTheme="minorHAnsi" w:eastAsiaTheme="minorHAnsi" w:hAnsiTheme="minorHAnsi" w:cs="Arial"/>
                <w:szCs w:val="22"/>
                <w:lang w:eastAsia="en-US"/>
              </w:rPr>
            </w:pPr>
            <w:r w:rsidRPr="000B769F">
              <w:rPr>
                <w:rFonts w:asciiTheme="minorHAnsi" w:eastAsiaTheme="minorHAnsi" w:hAnsiTheme="minorHAnsi" w:cs="Arial"/>
                <w:szCs w:val="22"/>
                <w:lang w:eastAsia="en-US"/>
              </w:rPr>
              <w:t>W ramach wskaźnika liczone są aplikacje wytworzone przez podmioty niepubliczne, przetwarzające informacje pochodzące od podmiotów publicznych.</w:t>
            </w:r>
          </w:p>
        </w:tc>
        <w:tc>
          <w:tcPr>
            <w:tcW w:w="1023" w:type="pct"/>
          </w:tcPr>
          <w:p w:rsidR="005657D8" w:rsidRPr="00911273" w:rsidRDefault="00221FB2" w:rsidP="007650AC">
            <w:pPr>
              <w:spacing w:line="240" w:lineRule="auto"/>
              <w:jc w:val="both"/>
              <w:rPr>
                <w:rFonts w:asciiTheme="minorHAnsi" w:hAnsiTheme="minorHAnsi"/>
                <w:szCs w:val="22"/>
                <w:lang w:val="en-US"/>
              </w:rPr>
            </w:pPr>
            <w:r>
              <w:rPr>
                <w:rFonts w:asciiTheme="minorHAnsi" w:hAnsiTheme="minorHAnsi"/>
                <w:szCs w:val="22"/>
              </w:rPr>
              <w:lastRenderedPageBreak/>
              <w:t>SZOOP</w:t>
            </w:r>
          </w:p>
        </w:tc>
      </w:tr>
      <w:tr w:rsidR="00C40E8D" w:rsidRPr="00911273" w:rsidTr="008E5605">
        <w:trPr>
          <w:trHeight w:val="20"/>
          <w:jc w:val="center"/>
        </w:trPr>
        <w:tc>
          <w:tcPr>
            <w:tcW w:w="1159" w:type="pct"/>
            <w:shd w:val="clear" w:color="auto" w:fill="auto"/>
          </w:tcPr>
          <w:p w:rsidR="00C40E8D" w:rsidRPr="00911273" w:rsidRDefault="00221FB2" w:rsidP="007650AC">
            <w:pPr>
              <w:pStyle w:val="Default"/>
              <w:rPr>
                <w:rFonts w:asciiTheme="minorHAnsi" w:hAnsiTheme="minorHAnsi" w:cs="ArialNarrow"/>
                <w:sz w:val="22"/>
                <w:szCs w:val="22"/>
              </w:rPr>
            </w:pPr>
            <w:r w:rsidRPr="00833777">
              <w:rPr>
                <w:rFonts w:ascii="Calibri" w:hAnsi="Calibri" w:cs="Arial"/>
                <w:sz w:val="22"/>
                <w:szCs w:val="22"/>
              </w:rPr>
              <w:lastRenderedPageBreak/>
              <w:t>Liczba pobrań/</w:t>
            </w:r>
            <w:proofErr w:type="spellStart"/>
            <w:r w:rsidRPr="00833777">
              <w:rPr>
                <w:rFonts w:ascii="Calibri" w:hAnsi="Calibri" w:cs="Arial"/>
                <w:sz w:val="22"/>
                <w:szCs w:val="22"/>
              </w:rPr>
              <w:t>odtworzeń</w:t>
            </w:r>
            <w:proofErr w:type="spellEnd"/>
            <w:r w:rsidRPr="00833777">
              <w:rPr>
                <w:rFonts w:ascii="Calibri" w:hAnsi="Calibri" w:cs="Arial"/>
                <w:sz w:val="22"/>
                <w:szCs w:val="22"/>
              </w:rPr>
              <w:t xml:space="preserve"> dokumentów zawierających informacje sektora publicznego </w:t>
            </w:r>
          </w:p>
        </w:tc>
        <w:tc>
          <w:tcPr>
            <w:tcW w:w="684" w:type="pct"/>
          </w:tcPr>
          <w:p w:rsidR="00C40E8D" w:rsidRPr="00911273" w:rsidRDefault="00221FB2" w:rsidP="007650AC">
            <w:pPr>
              <w:spacing w:before="0" w:line="240" w:lineRule="auto"/>
              <w:rPr>
                <w:rFonts w:asciiTheme="minorHAnsi" w:hAnsiTheme="minorHAnsi" w:cs="ArialNarrow"/>
                <w:szCs w:val="22"/>
              </w:rPr>
            </w:pPr>
            <w:r>
              <w:rPr>
                <w:rFonts w:asciiTheme="minorHAnsi" w:hAnsiTheme="minorHAnsi" w:cs="ArialNarrow"/>
                <w:szCs w:val="22"/>
              </w:rPr>
              <w:t>Szt.</w:t>
            </w:r>
          </w:p>
        </w:tc>
        <w:tc>
          <w:tcPr>
            <w:tcW w:w="2134" w:type="pct"/>
            <w:shd w:val="clear" w:color="auto" w:fill="auto"/>
            <w:vAlign w:val="center"/>
          </w:tcPr>
          <w:p w:rsidR="000B769F" w:rsidRPr="000B769F" w:rsidRDefault="000B769F" w:rsidP="000B769F">
            <w:pPr>
              <w:spacing w:line="240" w:lineRule="auto"/>
              <w:jc w:val="both"/>
              <w:rPr>
                <w:rFonts w:asciiTheme="minorHAnsi" w:hAnsiTheme="minorHAnsi"/>
                <w:szCs w:val="22"/>
              </w:rPr>
            </w:pPr>
            <w:r w:rsidRPr="000B769F">
              <w:rPr>
                <w:rFonts w:asciiTheme="minorHAnsi" w:hAnsiTheme="minorHAnsi"/>
                <w:szCs w:val="22"/>
              </w:rPr>
              <w:t xml:space="preserve">Wskaźnik należy definiować jako liczbę pobranych lub odtworzonych za pośrednictwem </w:t>
            </w:r>
            <w:proofErr w:type="spellStart"/>
            <w:r w:rsidRPr="000B769F">
              <w:rPr>
                <w:rFonts w:asciiTheme="minorHAnsi" w:hAnsiTheme="minorHAnsi"/>
                <w:szCs w:val="22"/>
              </w:rPr>
              <w:t>internetu</w:t>
            </w:r>
            <w:proofErr w:type="spellEnd"/>
            <w:r w:rsidRPr="000B769F">
              <w:rPr>
                <w:rFonts w:asciiTheme="minorHAnsi" w:hAnsiTheme="minorHAnsi"/>
                <w:szCs w:val="22"/>
              </w:rPr>
              <w:t xml:space="preserve"> dokumentów, w okresie roku od zakończenia realizacji projektu. "Dokument" oznacza (na podstawie dyrektywy 2003/98/WE) jakąkolwiek treść niezależnie od zastosowanego nośnika (zapisaną na papierze lub zapisaną w formie elektronicznej lub zarejestrowaną w formie dźwiękowej, wizualnej albo audiowizualnej). </w:t>
            </w:r>
          </w:p>
          <w:p w:rsidR="000B769F" w:rsidRPr="000B769F" w:rsidRDefault="00B62340" w:rsidP="000B769F">
            <w:pPr>
              <w:spacing w:line="240" w:lineRule="auto"/>
              <w:jc w:val="both"/>
              <w:rPr>
                <w:rFonts w:asciiTheme="minorHAnsi" w:hAnsiTheme="minorHAnsi"/>
                <w:szCs w:val="22"/>
              </w:rPr>
            </w:pPr>
            <w:r>
              <w:rPr>
                <w:rFonts w:asciiTheme="minorHAnsi" w:hAnsiTheme="minorHAnsi"/>
                <w:szCs w:val="22"/>
              </w:rPr>
              <w:t>Przez</w:t>
            </w:r>
            <w:r w:rsidR="000B769F" w:rsidRPr="000B769F">
              <w:rPr>
                <w:rFonts w:asciiTheme="minorHAnsi" w:hAnsiTheme="minorHAnsi"/>
                <w:szCs w:val="22"/>
              </w:rPr>
              <w:t xml:space="preserve"> informacje sektora publicznego należy rozumieć: </w:t>
            </w:r>
          </w:p>
          <w:p w:rsidR="000B769F" w:rsidRPr="000B769F" w:rsidRDefault="000B769F" w:rsidP="000B769F">
            <w:pPr>
              <w:spacing w:line="240" w:lineRule="auto"/>
              <w:jc w:val="both"/>
              <w:rPr>
                <w:rFonts w:asciiTheme="minorHAnsi" w:hAnsiTheme="minorHAnsi"/>
                <w:szCs w:val="22"/>
              </w:rPr>
            </w:pPr>
            <w:r w:rsidRPr="000B769F">
              <w:rPr>
                <w:rFonts w:asciiTheme="minorHAnsi" w:hAnsiTheme="minorHAnsi"/>
                <w:szCs w:val="22"/>
              </w:rPr>
              <w:t xml:space="preserve">- informację publiczną w rozumieniu ustawy z dnia 6 września 2001 r. o dostępie do informacji publicznej, </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informację sektora publicznego w rozumieniu dyrektywy 2003/98/WE dnia 17 listopada  2003  r. w sprawie ponownego wykorzystywania informacji sektora publicznego (w brzmieniu zmienionym przez dyrektywę 2013/37/UE zmieniającą dyrektywę 2003/98/WE dnia 17 listopada  2003  r.  w sprawie ponownego wykorzystywania informacji sektora publicznego),</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audiowizualne, pod warunkiem ich udostępniania do ponownego wykorzystywania,</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xml:space="preserve">- zasoby archiwalne, pod warunkiem ich </w:t>
            </w:r>
            <w:r w:rsidRPr="000B769F">
              <w:rPr>
                <w:rFonts w:asciiTheme="minorHAnsi" w:hAnsiTheme="minorHAnsi"/>
                <w:szCs w:val="22"/>
              </w:rPr>
              <w:lastRenderedPageBreak/>
              <w:t>udostępnienia do ponownego wykorzystania,</w:t>
            </w:r>
          </w:p>
          <w:p w:rsidR="000B769F" w:rsidRPr="000B769F"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kultury, pod warunkiem ich udostepnienia do ponownego wykorzystania,</w:t>
            </w:r>
          </w:p>
          <w:p w:rsidR="00C40E8D" w:rsidRDefault="000B769F" w:rsidP="000B769F">
            <w:pPr>
              <w:spacing w:before="0" w:line="240" w:lineRule="auto"/>
              <w:jc w:val="both"/>
              <w:rPr>
                <w:rFonts w:asciiTheme="minorHAnsi" w:hAnsiTheme="minorHAnsi"/>
                <w:szCs w:val="22"/>
              </w:rPr>
            </w:pPr>
            <w:r w:rsidRPr="000B769F">
              <w:rPr>
                <w:rFonts w:asciiTheme="minorHAnsi" w:hAnsiTheme="minorHAnsi"/>
                <w:szCs w:val="22"/>
              </w:rPr>
              <w:t>- zasoby nauki, pod warunkiem ich udostępniania do ponownego wykorzystywania.</w:t>
            </w:r>
          </w:p>
          <w:p w:rsidR="000B769F" w:rsidRDefault="000B769F" w:rsidP="000B769F">
            <w:pPr>
              <w:spacing w:before="0" w:line="240" w:lineRule="auto"/>
              <w:jc w:val="both"/>
              <w:rPr>
                <w:rFonts w:asciiTheme="minorHAnsi" w:hAnsiTheme="minorHAnsi"/>
                <w:szCs w:val="22"/>
              </w:rPr>
            </w:pPr>
          </w:p>
          <w:p w:rsidR="000B769F" w:rsidRDefault="000B769F" w:rsidP="005D6A14">
            <w:pPr>
              <w:spacing w:before="0" w:line="240" w:lineRule="auto"/>
              <w:jc w:val="both"/>
              <w:rPr>
                <w:rFonts w:asciiTheme="minorHAnsi" w:hAnsiTheme="minorHAnsi"/>
                <w:szCs w:val="22"/>
              </w:rPr>
            </w:pPr>
            <w:r w:rsidRPr="000B769F">
              <w:rPr>
                <w:rFonts w:asciiTheme="minorHAnsi" w:hAnsiTheme="minorHAnsi"/>
                <w:szCs w:val="22"/>
              </w:rPr>
              <w:t>Metoda pomiaru</w:t>
            </w:r>
            <w:r>
              <w:rPr>
                <w:rFonts w:asciiTheme="minorHAnsi" w:hAnsiTheme="minorHAnsi"/>
                <w:szCs w:val="22"/>
              </w:rPr>
              <w:t>:</w:t>
            </w:r>
            <w:r w:rsidRPr="000B769F">
              <w:rPr>
                <w:rFonts w:asciiTheme="minorHAnsi" w:hAnsiTheme="minorHAnsi"/>
                <w:szCs w:val="22"/>
              </w:rPr>
              <w:t xml:space="preserve"> </w:t>
            </w:r>
            <w:r w:rsidR="005D6A14" w:rsidRPr="005D6A14">
              <w:rPr>
                <w:rFonts w:asciiTheme="minorHAnsi" w:hAnsiTheme="minorHAnsi"/>
                <w:szCs w:val="22"/>
              </w:rPr>
              <w:t xml:space="preserve">Jeden utwór w rozumieniu ustawy o prawie autorskim i prawach pokrewnych powinien być zliczany jako jeden dokument, niezależnie od liczby części (plików), w których został udostępniony. </w:t>
            </w:r>
          </w:p>
          <w:p w:rsidR="008E5605" w:rsidRPr="00911273" w:rsidRDefault="008E5605" w:rsidP="005D6A14">
            <w:pPr>
              <w:spacing w:before="0" w:line="240" w:lineRule="auto"/>
              <w:jc w:val="both"/>
              <w:rPr>
                <w:rFonts w:asciiTheme="minorHAnsi" w:hAnsiTheme="minorHAnsi"/>
                <w:szCs w:val="22"/>
              </w:rPr>
            </w:pPr>
          </w:p>
        </w:tc>
        <w:tc>
          <w:tcPr>
            <w:tcW w:w="1023" w:type="pct"/>
          </w:tcPr>
          <w:p w:rsidR="00C40E8D" w:rsidRPr="00911273" w:rsidRDefault="00221FB2"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3C55C7" w:rsidRPr="00911273" w:rsidTr="006527A1">
        <w:trPr>
          <w:trHeight w:val="7216"/>
          <w:jc w:val="center"/>
        </w:trPr>
        <w:tc>
          <w:tcPr>
            <w:tcW w:w="1159"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684" w:type="pct"/>
            <w:tcBorders>
              <w:top w:val="single" w:sz="6" w:space="0" w:color="000000" w:themeColor="text1"/>
              <w:left w:val="single" w:sz="6" w:space="0" w:color="000000" w:themeColor="text1"/>
              <w:bottom w:val="single" w:sz="4" w:space="0" w:color="auto"/>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8E5605" w:rsidRPr="008E5605" w:rsidRDefault="008E5605" w:rsidP="008E5605">
            <w:pPr>
              <w:spacing w:line="240" w:lineRule="auto"/>
              <w:jc w:val="both"/>
              <w:rPr>
                <w:rFonts w:asciiTheme="minorHAnsi" w:hAnsiTheme="minorHAnsi"/>
                <w:szCs w:val="22"/>
                <w:lang w:val="en-US"/>
              </w:rPr>
            </w:pPr>
            <w:r w:rsidRPr="008E5605">
              <w:rPr>
                <w:rFonts w:asciiTheme="minorHAnsi" w:hAnsiTheme="minorHAnsi"/>
                <w:szCs w:val="22"/>
                <w:lang w:val="en-US"/>
              </w:rPr>
              <w:t xml:space="preserve">Gross new working positions in supported enterprises in full time equivalents (FTE). </w:t>
            </w:r>
          </w:p>
          <w:p w:rsidR="008E5605" w:rsidRPr="008E5605" w:rsidRDefault="008E5605" w:rsidP="008E5605">
            <w:pPr>
              <w:spacing w:line="240" w:lineRule="auto"/>
              <w:jc w:val="both"/>
              <w:rPr>
                <w:rFonts w:asciiTheme="minorHAnsi" w:hAnsiTheme="minorHAnsi"/>
                <w:szCs w:val="22"/>
                <w:lang w:val="en-US"/>
              </w:rPr>
            </w:pPr>
            <w:r w:rsidRPr="008E5605">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E5605" w:rsidRPr="008E5605" w:rsidRDefault="008E5605" w:rsidP="008E5605">
            <w:pPr>
              <w:spacing w:before="120" w:line="240" w:lineRule="auto"/>
              <w:jc w:val="both"/>
              <w:rPr>
                <w:rFonts w:asciiTheme="minorHAnsi" w:hAnsiTheme="minorHAnsi"/>
                <w:szCs w:val="22"/>
                <w:lang w:val="en-US"/>
              </w:rPr>
            </w:pPr>
            <w:r w:rsidRPr="008E5605">
              <w:rPr>
                <w:rFonts w:asciiTheme="minorHAnsi" w:hAnsiTheme="minorHAnsi"/>
                <w:szCs w:val="22"/>
                <w:lang w:val="en-US"/>
              </w:rPr>
              <w:t xml:space="preserve">Gross: Not counting the origin of the jobholder as long as it directly contributes to the increase of total jobs in the </w:t>
            </w:r>
            <w:proofErr w:type="spellStart"/>
            <w:r w:rsidRPr="008E5605">
              <w:rPr>
                <w:rFonts w:asciiTheme="minorHAnsi" w:hAnsiTheme="minorHAnsi"/>
                <w:szCs w:val="22"/>
                <w:lang w:val="en-US"/>
              </w:rPr>
              <w:t>organisation</w:t>
            </w:r>
            <w:proofErr w:type="spellEnd"/>
            <w:r w:rsidRPr="008E5605">
              <w:rPr>
                <w:rFonts w:asciiTheme="minorHAnsi" w:hAnsiTheme="minorHAnsi"/>
                <w:szCs w:val="22"/>
                <w:lang w:val="en-US"/>
              </w:rPr>
              <w:t xml:space="preserve">. The indicator should be used if the employment increase can plausibly be attributed to the support. </w:t>
            </w:r>
          </w:p>
          <w:p w:rsidR="008E5605" w:rsidRPr="008E5605" w:rsidRDefault="008E5605" w:rsidP="008E5605">
            <w:pPr>
              <w:spacing w:before="120" w:line="240" w:lineRule="auto"/>
              <w:jc w:val="both"/>
              <w:rPr>
                <w:rFonts w:asciiTheme="minorHAnsi" w:hAnsiTheme="minorHAnsi"/>
                <w:szCs w:val="22"/>
                <w:lang w:val="en-US"/>
              </w:rPr>
            </w:pPr>
            <w:r w:rsidRPr="008E5605">
              <w:rPr>
                <w:rFonts w:asciiTheme="minorHAnsi" w:hAnsiTheme="minorHAnsi"/>
                <w:szCs w:val="22"/>
                <w:lang w:val="en-US"/>
              </w:rPr>
              <w:t xml:space="preserve">Full-time equivalent: Jobs can be full time, </w:t>
            </w:r>
            <w:proofErr w:type="spellStart"/>
            <w:r w:rsidRPr="008E5605">
              <w:rPr>
                <w:rFonts w:asciiTheme="minorHAnsi" w:hAnsiTheme="minorHAnsi"/>
                <w:szCs w:val="22"/>
                <w:lang w:val="en-US"/>
              </w:rPr>
              <w:t>parttime</w:t>
            </w:r>
            <w:proofErr w:type="spellEnd"/>
            <w:r w:rsidRPr="008E5605">
              <w:rPr>
                <w:rFonts w:asciiTheme="minorHAnsi" w:hAnsiTheme="minorHAnsi"/>
                <w:szCs w:val="22"/>
                <w:lang w:val="en-US"/>
              </w:rPr>
              <w:t xml:space="preserve"> or seasonal. Seasonal and part time jobs are to be converted to FTE using ILO/statistical/other standards. </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szCs w:val="22"/>
              </w:rPr>
              <w:t xml:space="preserve">Tłumaczenie robocze: </w:t>
            </w:r>
            <w:r w:rsidRPr="008E5605">
              <w:rPr>
                <w:rFonts w:asciiTheme="minorHAnsi" w:hAnsiTheme="minorHAnsi"/>
                <w:i/>
              </w:rPr>
              <w:t xml:space="preserve">Nowe miejsca pracy brutto we wspartych  przedsiębiorstwach wyrażone w ekwiwalencie pełnego czasu pracy (EPC). </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rPr>
              <w:t xml:space="preserve">Wskaźnik ukazuje zmianę "przed-po" </w:t>
            </w:r>
            <w:r w:rsidRPr="008E5605">
              <w:rPr>
                <w:rFonts w:asciiTheme="minorHAnsi" w:hAnsiTheme="minorHAnsi"/>
                <w:i/>
              </w:rPr>
              <w:br/>
              <w:t xml:space="preserve">i obejmuje część wzrostu zatrudnienia </w:t>
            </w:r>
            <w:r w:rsidRPr="008E5605">
              <w:rPr>
                <w:rFonts w:asciiTheme="minorHAnsi" w:hAnsiTheme="minorHAnsi"/>
                <w:i/>
              </w:rPr>
              <w:br/>
            </w:r>
            <w:r w:rsidRPr="008E5605">
              <w:rPr>
                <w:rFonts w:asciiTheme="minorHAnsi" w:hAnsiTheme="minorHAnsi"/>
                <w:i/>
              </w:rPr>
              <w:lastRenderedPageBreak/>
              <w:t xml:space="preserve">w przedsiębiorstwie będącego bezpośrednim skutkiem zakończenia realizacji projektu (nie są wliczani pracownicy zatrudnieni do realizacji projektu). </w:t>
            </w:r>
          </w:p>
          <w:p w:rsidR="008E5605" w:rsidRPr="008E5605" w:rsidRDefault="008E5605" w:rsidP="008E5605">
            <w:pPr>
              <w:spacing w:after="240" w:line="240" w:lineRule="auto"/>
              <w:jc w:val="both"/>
              <w:rPr>
                <w:rFonts w:asciiTheme="minorHAnsi" w:hAnsiTheme="minorHAnsi"/>
                <w:i/>
              </w:rPr>
            </w:pPr>
            <w:r w:rsidRPr="008E5605">
              <w:rPr>
                <w:rFonts w:asciiTheme="minorHAnsi" w:hAnsiTheme="minorHAnsi"/>
                <w:i/>
              </w:rPr>
              <w:t xml:space="preserve">Uwzględnia się obsadzone miejsca pracy (wakaty nie są liczone), które zwiększają łączną liczbę miejsc pracy </w:t>
            </w:r>
            <w:r w:rsidRPr="008E5605">
              <w:rPr>
                <w:rFonts w:asciiTheme="minorHAnsi" w:hAnsiTheme="minorHAnsi"/>
                <w:i/>
              </w:rPr>
              <w:br/>
              <w:t xml:space="preserve">w przedsiębiorstwie. Brak wzrostu </w:t>
            </w:r>
            <w:r w:rsidRPr="008E5605">
              <w:rPr>
                <w:rFonts w:asciiTheme="minorHAnsi" w:hAnsiTheme="minorHAnsi"/>
                <w:i/>
              </w:rPr>
              <w:br/>
              <w:t xml:space="preserve">w całkowitym zatrudnieniu </w:t>
            </w:r>
            <w:r w:rsidRPr="008E5605">
              <w:rPr>
                <w:rFonts w:asciiTheme="minorHAnsi" w:hAnsiTheme="minorHAnsi"/>
                <w:i/>
              </w:rPr>
              <w:br/>
              <w:t>w przedsiębiorstwie oznacza, że wartość wskaźnika jest równa zero, co traktuje się jako wyrównanie miejsc pracy, a nie wzrost. Nie wlicza się miejsc pracy, np. utrzymanych dzięki realizacji projektu.</w:t>
            </w:r>
          </w:p>
          <w:p w:rsidR="008E5605" w:rsidRPr="008E5605" w:rsidRDefault="008E5605" w:rsidP="008E5605">
            <w:pPr>
              <w:spacing w:after="240" w:line="240" w:lineRule="auto"/>
              <w:jc w:val="both"/>
              <w:rPr>
                <w:rFonts w:asciiTheme="minorHAnsi" w:hAnsiTheme="minorHAnsi"/>
                <w:i/>
              </w:rPr>
            </w:pPr>
            <w:r w:rsidRPr="008E5605">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8E5605">
              <w:rPr>
                <w:rFonts w:asciiTheme="minorHAnsi" w:hAnsiTheme="minorHAnsi"/>
                <w:i/>
              </w:rPr>
              <w:br/>
              <w:t>w ramach projektu.</w:t>
            </w:r>
          </w:p>
          <w:p w:rsidR="008E5605" w:rsidRPr="008E5605" w:rsidRDefault="008E5605" w:rsidP="008E5605">
            <w:pPr>
              <w:spacing w:line="240" w:lineRule="auto"/>
              <w:jc w:val="both"/>
              <w:rPr>
                <w:rFonts w:asciiTheme="minorHAnsi" w:hAnsiTheme="minorHAnsi"/>
                <w:i/>
              </w:rPr>
            </w:pPr>
            <w:r w:rsidRPr="008E5605">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8E5605">
              <w:rPr>
                <w:rFonts w:asciiTheme="minorHAnsi" w:hAnsiTheme="minorHAnsi"/>
                <w:i/>
              </w:rPr>
              <w:br/>
              <w:t xml:space="preserve">z wykorzystaniem standardów ILO (Międzynarodowa Organizacja Pracy)/ statystycznych/innych. </w:t>
            </w:r>
          </w:p>
          <w:p w:rsidR="00F22449" w:rsidRPr="00F22449" w:rsidRDefault="008E5605" w:rsidP="008E5605">
            <w:pPr>
              <w:spacing w:line="240" w:lineRule="auto"/>
              <w:jc w:val="both"/>
              <w:rPr>
                <w:rFonts w:asciiTheme="minorHAnsi" w:hAnsiTheme="minorHAnsi"/>
                <w:color w:val="333399"/>
                <w:szCs w:val="22"/>
              </w:rPr>
            </w:pPr>
            <w:r w:rsidRPr="008E5605">
              <w:rPr>
                <w:rFonts w:asciiTheme="minorHAnsi" w:eastAsiaTheme="minorHAnsi" w:hAnsiTheme="minorHAnsi" w:cstheme="minorBidi"/>
                <w:b/>
                <w:sz w:val="23"/>
                <w:szCs w:val="23"/>
                <w:lang w:eastAsia="en-US"/>
              </w:rPr>
              <w:t>Definicja jak wyżej w odniesieniu do podmiotów innych niż przedsiębiorstwa.</w:t>
            </w:r>
          </w:p>
        </w:tc>
        <w:tc>
          <w:tcPr>
            <w:tcW w:w="1023" w:type="pct"/>
            <w:tcBorders>
              <w:top w:val="single" w:sz="6" w:space="0" w:color="000000" w:themeColor="text1"/>
              <w:left w:val="single" w:sz="6" w:space="0" w:color="000000" w:themeColor="text1"/>
              <w:bottom w:val="single" w:sz="4" w:space="0" w:color="auto"/>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lastRenderedPageBreak/>
              <w:t>horyzontalny</w:t>
            </w:r>
          </w:p>
        </w:tc>
      </w:tr>
      <w:tr w:rsidR="003C55C7" w:rsidRPr="00911273" w:rsidTr="008E5605">
        <w:trPr>
          <w:cantSplit/>
          <w:trHeight w:val="20"/>
          <w:jc w:val="center"/>
        </w:trPr>
        <w:tc>
          <w:tcPr>
            <w:tcW w:w="115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p>
        </w:tc>
        <w:tc>
          <w:tcPr>
            <w:tcW w:w="68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394021" w:rsidRDefault="003C55C7" w:rsidP="007650AC">
            <w:pPr>
              <w:spacing w:line="240" w:lineRule="auto"/>
              <w:jc w:val="both"/>
              <w:rPr>
                <w:rFonts w:ascii="Arial Narrow" w:hAnsi="Arial Narrow"/>
                <w:color w:val="333399"/>
                <w:sz w:val="18"/>
                <w:szCs w:val="18"/>
              </w:rPr>
            </w:pPr>
          </w:p>
        </w:tc>
        <w:tc>
          <w:tcPr>
            <w:tcW w:w="1023"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8E5605">
        <w:trPr>
          <w:cantSplit/>
          <w:trHeight w:val="20"/>
          <w:jc w:val="center"/>
        </w:trPr>
        <w:tc>
          <w:tcPr>
            <w:tcW w:w="115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684"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394021" w:rsidRDefault="003C55C7" w:rsidP="007650AC">
            <w:pPr>
              <w:spacing w:line="240" w:lineRule="auto"/>
              <w:jc w:val="both"/>
              <w:rPr>
                <w:rFonts w:ascii="Arial Narrow" w:hAnsi="Arial Narrow"/>
                <w:color w:val="333399"/>
                <w:sz w:val="18"/>
                <w:szCs w:val="18"/>
              </w:rPr>
            </w:pPr>
          </w:p>
        </w:tc>
        <w:tc>
          <w:tcPr>
            <w:tcW w:w="1023"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C495E" w:rsidRPr="00C22435"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C22435">
        <w:rPr>
          <w:rFonts w:asciiTheme="minorHAnsi" w:eastAsiaTheme="minorHAnsi" w:hAnsiTheme="minorHAnsi" w:cs="Arial"/>
          <w:szCs w:val="22"/>
          <w:lang w:eastAsia="en-US"/>
        </w:rPr>
        <w:lastRenderedPageBreak/>
        <w:t xml:space="preserve">W ramach wniosku o dofinansowanie Wnioskodawca ma obowiązek uwzględnić </w:t>
      </w:r>
      <w:r w:rsidRPr="00C22435">
        <w:rPr>
          <w:rFonts w:asciiTheme="minorHAnsi" w:eastAsiaTheme="minorHAnsi" w:hAnsiTheme="minorHAnsi" w:cs="Arial"/>
          <w:b/>
          <w:szCs w:val="22"/>
          <w:lang w:eastAsia="en-US"/>
        </w:rPr>
        <w:t>wszystkie adekwatne</w:t>
      </w:r>
      <w:r w:rsidRPr="00C22435">
        <w:rPr>
          <w:rFonts w:asciiTheme="minorHAnsi" w:eastAsiaTheme="minorHAnsi" w:hAnsiTheme="minorHAnsi" w:cs="Arial"/>
          <w:szCs w:val="22"/>
          <w:lang w:eastAsia="en-US"/>
        </w:rPr>
        <w:t xml:space="preserve"> wskaźniki produktu oraz rezultatu bezpośredniego z listy przedstawionej </w:t>
      </w:r>
      <w:r w:rsidR="009D3C56" w:rsidRPr="00C22435">
        <w:rPr>
          <w:rFonts w:asciiTheme="minorHAnsi" w:eastAsiaTheme="minorHAnsi" w:hAnsiTheme="minorHAnsi" w:cs="Arial"/>
          <w:szCs w:val="22"/>
          <w:lang w:eastAsia="en-US"/>
        </w:rPr>
        <w:br/>
      </w:r>
      <w:r w:rsidRPr="00C22435">
        <w:rPr>
          <w:rFonts w:asciiTheme="minorHAnsi" w:eastAsiaTheme="minorHAnsi" w:hAnsiTheme="minorHAnsi" w:cs="Arial"/>
          <w:szCs w:val="22"/>
          <w:lang w:eastAsia="en-US"/>
        </w:rPr>
        <w:t xml:space="preserve">w powyższych tabelach, odpowiadające </w:t>
      </w:r>
      <w:r w:rsidR="000F5C98" w:rsidRPr="00C22435">
        <w:rPr>
          <w:rFonts w:asciiTheme="minorHAnsi" w:eastAsiaTheme="minorHAnsi" w:hAnsiTheme="minorHAnsi" w:cs="Arial"/>
          <w:szCs w:val="22"/>
          <w:lang w:eastAsia="en-US"/>
        </w:rPr>
        <w:t xml:space="preserve">celowi </w:t>
      </w:r>
      <w:r w:rsidRPr="00C22435">
        <w:rPr>
          <w:rFonts w:asciiTheme="minorHAnsi" w:eastAsiaTheme="minorHAnsi" w:hAnsiTheme="minorHAnsi" w:cs="Arial"/>
          <w:szCs w:val="22"/>
          <w:lang w:eastAsia="en-US"/>
        </w:rPr>
        <w:t xml:space="preserve">projektu. </w:t>
      </w:r>
      <w:r w:rsidRPr="00C22435">
        <w:rPr>
          <w:rFonts w:asciiTheme="minorHAnsi" w:hAnsiTheme="minorHAnsi"/>
          <w:szCs w:val="22"/>
        </w:rPr>
        <w:t xml:space="preserve">Dodatkowo w ramach wniosku </w:t>
      </w:r>
      <w:r w:rsidR="00340A6B" w:rsidRPr="00C22435">
        <w:rPr>
          <w:rFonts w:asciiTheme="minorHAnsi" w:hAnsiTheme="minorHAnsi"/>
          <w:szCs w:val="22"/>
        </w:rPr>
        <w:br/>
      </w:r>
      <w:r w:rsidRPr="00C22435">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11273" w:rsidRDefault="008C495E" w:rsidP="007650A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11273" w:rsidRDefault="008C495E" w:rsidP="007650AC">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40A6B" w:rsidRDefault="00340A6B" w:rsidP="007650AC">
      <w:pPr>
        <w:autoSpaceDE w:val="0"/>
        <w:autoSpaceDN w:val="0"/>
        <w:adjustRightInd w:val="0"/>
        <w:spacing w:line="240" w:lineRule="auto"/>
        <w:jc w:val="both"/>
        <w:rPr>
          <w:rFonts w:asciiTheme="minorHAnsi" w:hAnsiTheme="minorHAnsi" w:cs="Arial"/>
          <w:b/>
          <w:color w:val="000000"/>
          <w:u w:val="single"/>
        </w:rPr>
      </w:pP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Default="0032765F" w:rsidP="007650AC">
      <w:pPr>
        <w:spacing w:line="240" w:lineRule="auto"/>
        <w:rPr>
          <w:szCs w:val="22"/>
        </w:rPr>
      </w:pPr>
    </w:p>
    <w:p w:rsidR="008F2FB7" w:rsidRDefault="008F2FB7" w:rsidP="007650AC">
      <w:pPr>
        <w:spacing w:line="240" w:lineRule="auto"/>
        <w:rPr>
          <w:szCs w:val="22"/>
        </w:rPr>
      </w:pPr>
    </w:p>
    <w:p w:rsidR="008F2FB7" w:rsidRDefault="008F2FB7" w:rsidP="007650AC">
      <w:pPr>
        <w:spacing w:line="240" w:lineRule="auto"/>
        <w:rPr>
          <w:szCs w:val="22"/>
        </w:rPr>
      </w:pPr>
    </w:p>
    <w:p w:rsidR="008F2FB7" w:rsidRDefault="008F2FB7"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225774" w:rsidRDefault="00225774" w:rsidP="007650AC">
      <w:pPr>
        <w:spacing w:line="240" w:lineRule="auto"/>
        <w:rPr>
          <w:szCs w:val="22"/>
        </w:rPr>
      </w:pPr>
    </w:p>
    <w:p w:rsidR="008F2FB7" w:rsidRPr="008F2FB7" w:rsidRDefault="008F2FB7" w:rsidP="008F2FB7">
      <w:pPr>
        <w:spacing w:line="240" w:lineRule="auto"/>
        <w:rPr>
          <w:b/>
          <w:szCs w:val="22"/>
        </w:rPr>
      </w:pPr>
      <w:bookmarkStart w:id="3" w:name="_GoBack"/>
      <w:bookmarkEnd w:id="3"/>
      <w:r w:rsidRPr="008F2FB7">
        <w:rPr>
          <w:b/>
          <w:szCs w:val="22"/>
        </w:rPr>
        <w:t xml:space="preserve">Wskaźniki produktu zapisane w Strategii ZIT AJ wynikające z Porozumienia </w:t>
      </w:r>
      <w:r w:rsidRPr="008F2FB7">
        <w:rPr>
          <w:b/>
          <w:szCs w:val="22"/>
          <w:vertAlign w:val="superscript"/>
        </w:rPr>
        <w:footnoteReference w:id="1"/>
      </w:r>
    </w:p>
    <w:p w:rsidR="00225774" w:rsidRDefault="00225774" w:rsidP="007650AC">
      <w:pPr>
        <w:spacing w:line="240" w:lineRule="auto"/>
        <w:rPr>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599"/>
        <w:gridCol w:w="1057"/>
        <w:gridCol w:w="5632"/>
      </w:tblGrid>
      <w:tr w:rsidR="008F2FB7" w:rsidRPr="00911273" w:rsidTr="0004011C">
        <w:trPr>
          <w:cantSplit/>
          <w:trHeight w:val="20"/>
          <w:jc w:val="center"/>
        </w:trPr>
        <w:tc>
          <w:tcPr>
            <w:tcW w:w="1127" w:type="pct"/>
            <w:shd w:val="clear" w:color="auto" w:fill="auto"/>
          </w:tcPr>
          <w:p w:rsidR="008F2FB7" w:rsidRPr="00911273" w:rsidRDefault="008F2FB7" w:rsidP="0004011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8F2FB7" w:rsidRPr="00911273" w:rsidRDefault="008F2FB7" w:rsidP="0004011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8F2FB7" w:rsidRPr="00911273" w:rsidRDefault="008F2FB7" w:rsidP="0004011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r>
      <w:tr w:rsidR="008F2FB7" w:rsidRPr="00911273" w:rsidTr="0004011C">
        <w:trPr>
          <w:cantSplit/>
          <w:trHeight w:val="20"/>
          <w:jc w:val="center"/>
        </w:trPr>
        <w:tc>
          <w:tcPr>
            <w:tcW w:w="1127" w:type="pct"/>
            <w:shd w:val="clear" w:color="auto" w:fill="auto"/>
          </w:tcPr>
          <w:p w:rsidR="008F2FB7" w:rsidRPr="00911273" w:rsidRDefault="008F2FB7" w:rsidP="0004011C">
            <w:pPr>
              <w:spacing w:before="60" w:after="60" w:line="240" w:lineRule="auto"/>
              <w:rPr>
                <w:rFonts w:asciiTheme="minorHAnsi" w:hAnsiTheme="minorHAnsi"/>
                <w:szCs w:val="22"/>
              </w:rPr>
            </w:pPr>
            <w:r w:rsidRPr="00395460">
              <w:rPr>
                <w:rFonts w:asciiTheme="minorHAnsi" w:hAnsiTheme="minorHAnsi"/>
                <w:szCs w:val="22"/>
              </w:rPr>
              <w:t>Liczba usług publicznych udostępnionych on-line o stopniu dojrzałości 3 dwustronna interakcja</w:t>
            </w:r>
          </w:p>
        </w:tc>
        <w:tc>
          <w:tcPr>
            <w:tcW w:w="458" w:type="pct"/>
          </w:tcPr>
          <w:p w:rsidR="008F2FB7" w:rsidRPr="00911273" w:rsidRDefault="008F2FB7" w:rsidP="0004011C">
            <w:pPr>
              <w:spacing w:line="240" w:lineRule="auto"/>
              <w:jc w:val="both"/>
              <w:rPr>
                <w:szCs w:val="22"/>
              </w:rPr>
            </w:pPr>
            <w:r w:rsidRPr="00911273">
              <w:rPr>
                <w:rFonts w:asciiTheme="minorHAnsi" w:hAnsiTheme="minorHAnsi"/>
                <w:szCs w:val="22"/>
              </w:rPr>
              <w:t>szt.</w:t>
            </w:r>
          </w:p>
        </w:tc>
        <w:tc>
          <w:tcPr>
            <w:tcW w:w="2442" w:type="pct"/>
            <w:shd w:val="clear" w:color="auto" w:fill="auto"/>
          </w:tcPr>
          <w:p w:rsidR="008F2FB7" w:rsidRPr="001F0994" w:rsidRDefault="008F2FB7" w:rsidP="0004011C">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 xml:space="preserve">Usługa on-line o stopniu dojrzałości 3 umożliwia transfer danych w dwóch kierunkach: od usługodawcy do klienta oraz od klienta do usługodawcy. Typowym sposobem jej realizacji jest pobranie, wypełnienie i odesłanie formularza drogą elektroniczną. Usługi powyższe obejmują m.in. usługi powstałe </w:t>
            </w:r>
            <w:r w:rsidRPr="00CD28DA">
              <w:rPr>
                <w:rFonts w:ascii="Calibri" w:eastAsia="Calibri" w:hAnsi="Calibri" w:cs="Arial Narrow"/>
                <w:szCs w:val="22"/>
                <w:lang w:eastAsia="en-US"/>
              </w:rPr>
              <w:br/>
            </w:r>
            <w:r w:rsidRPr="001F0994">
              <w:rPr>
                <w:rFonts w:ascii="Calibri" w:eastAsia="Calibri" w:hAnsi="Calibri" w:cs="Arial Narrow"/>
                <w:szCs w:val="22"/>
                <w:lang w:eastAsia="en-US"/>
              </w:rPr>
              <w:t>w ramach digitalizacji map, GIS.</w:t>
            </w:r>
          </w:p>
          <w:p w:rsidR="008F2FB7" w:rsidRPr="001F0994" w:rsidRDefault="008F2FB7" w:rsidP="0004011C">
            <w:pPr>
              <w:spacing w:before="0" w:line="276" w:lineRule="auto"/>
              <w:jc w:val="both"/>
              <w:rPr>
                <w:rFonts w:ascii="Calibri" w:eastAsia="Calibri" w:hAnsi="Calibri" w:cs="Arial Narrow"/>
                <w:szCs w:val="22"/>
                <w:lang w:eastAsia="en-US"/>
              </w:rPr>
            </w:pPr>
            <w:r w:rsidRPr="001F0994">
              <w:rPr>
                <w:rFonts w:ascii="Calibri" w:eastAsia="Calibri" w:hAnsi="Calibri" w:cs="Arial Narrow"/>
                <w:szCs w:val="22"/>
                <w:lang w:eastAsia="en-US"/>
              </w:rPr>
              <w:t>W ramach wskaźnika należy ujmować usługi:</w:t>
            </w:r>
          </w:p>
          <w:p w:rsidR="008F2FB7" w:rsidRPr="001F0994" w:rsidRDefault="008F2FB7" w:rsidP="0004011C">
            <w:pPr>
              <w:numPr>
                <w:ilvl w:val="0"/>
                <w:numId w:val="8"/>
              </w:numPr>
              <w:spacing w:before="0" w:after="200" w:line="276" w:lineRule="auto"/>
              <w:contextualSpacing/>
              <w:jc w:val="both"/>
              <w:rPr>
                <w:rFonts w:ascii="Calibri" w:eastAsia="Calibri" w:hAnsi="Calibri" w:cs="Arial Narrow"/>
                <w:szCs w:val="22"/>
                <w:lang w:eastAsia="en-US"/>
              </w:rPr>
            </w:pPr>
            <w:r w:rsidRPr="001F0994">
              <w:rPr>
                <w:rFonts w:ascii="Calibri" w:eastAsia="Calibri" w:hAnsi="Calibri" w:cs="Arial Narrow"/>
                <w:szCs w:val="22"/>
                <w:lang w:eastAsia="en-US"/>
              </w:rPr>
              <w:t>nowe lub istotnie udoskonalone,</w:t>
            </w:r>
          </w:p>
          <w:p w:rsidR="008F2FB7" w:rsidRDefault="008F2FB7" w:rsidP="0004011C">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eastAsia="Calibri" w:hAnsi="Calibri" w:cs="Arial Narrow"/>
                <w:szCs w:val="22"/>
                <w:lang w:eastAsia="en-US"/>
              </w:rPr>
              <w:t xml:space="preserve">skierowane do klientów spoza administracji publicznej: obywateli (usługi A2C, Administration to </w:t>
            </w:r>
            <w:proofErr w:type="spellStart"/>
            <w:r w:rsidRPr="00CD28DA">
              <w:rPr>
                <w:rFonts w:ascii="Calibri" w:eastAsia="Calibri" w:hAnsi="Calibri" w:cs="Arial Narrow"/>
                <w:szCs w:val="22"/>
                <w:lang w:eastAsia="en-US"/>
              </w:rPr>
              <w:t>Citizen</w:t>
            </w:r>
            <w:proofErr w:type="spellEnd"/>
            <w:r w:rsidRPr="00CD28DA">
              <w:rPr>
                <w:rFonts w:ascii="Calibri" w:eastAsia="Calibri" w:hAnsi="Calibri" w:cs="Arial Narrow"/>
                <w:szCs w:val="22"/>
                <w:lang w:eastAsia="en-US"/>
              </w:rPr>
              <w:t>) i/lub przedsiębiorców (A2B, Administration to Business). Powyższe warunki należy traktować łącznie.</w:t>
            </w:r>
          </w:p>
          <w:p w:rsidR="008F2FB7" w:rsidRPr="00CD28DA" w:rsidRDefault="008F2FB7" w:rsidP="0004011C">
            <w:pPr>
              <w:autoSpaceDE w:val="0"/>
              <w:autoSpaceDN w:val="0"/>
              <w:adjustRightInd w:val="0"/>
              <w:spacing w:before="0" w:line="240" w:lineRule="auto"/>
              <w:jc w:val="both"/>
              <w:rPr>
                <w:rFonts w:ascii="Calibri" w:eastAsia="Calibri" w:hAnsi="Calibri" w:cs="Arial Narrow"/>
                <w:szCs w:val="22"/>
                <w:lang w:eastAsia="en-US"/>
              </w:rPr>
            </w:pPr>
          </w:p>
          <w:p w:rsidR="008F2FB7" w:rsidRPr="00CD28DA" w:rsidRDefault="008F2FB7" w:rsidP="0004011C">
            <w:pPr>
              <w:autoSpaceDE w:val="0"/>
              <w:autoSpaceDN w:val="0"/>
              <w:adjustRightInd w:val="0"/>
              <w:spacing w:before="0" w:line="240" w:lineRule="auto"/>
              <w:jc w:val="both"/>
              <w:rPr>
                <w:rFonts w:ascii="Calibri" w:eastAsia="Calibri" w:hAnsi="Calibri" w:cs="Arial Narrow"/>
                <w:szCs w:val="22"/>
                <w:lang w:eastAsia="en-US"/>
              </w:rPr>
            </w:pPr>
            <w:r w:rsidRPr="00CD28DA">
              <w:rPr>
                <w:rFonts w:ascii="Calibri" w:hAnsi="Calibri"/>
                <w:szCs w:val="22"/>
              </w:rPr>
              <w:t>Metoda pomiaru:</w:t>
            </w:r>
          </w:p>
          <w:p w:rsidR="008F2FB7" w:rsidRPr="00395460" w:rsidRDefault="008F2FB7" w:rsidP="0004011C">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Należy zliczyć udostępnione on-line usługi o stopniu dojrzałości 3, których wykonanie bez wykorzystania technologii informacyjnej jest niemożliwe w formie ogólnodostępnych serwisów informacyjnych.</w:t>
            </w:r>
          </w:p>
          <w:p w:rsidR="008F2FB7" w:rsidRDefault="008F2FB7" w:rsidP="0004011C">
            <w:pPr>
              <w:spacing w:before="0" w:line="276" w:lineRule="auto"/>
              <w:jc w:val="both"/>
              <w:rPr>
                <w:rFonts w:ascii="Calibri" w:eastAsia="Calibri" w:hAnsi="Calibri" w:cs="Arial Narrow"/>
                <w:szCs w:val="22"/>
                <w:lang w:eastAsia="en-US"/>
              </w:rPr>
            </w:pPr>
          </w:p>
          <w:p w:rsidR="008F2FB7" w:rsidRPr="00395460" w:rsidRDefault="008F2FB7" w:rsidP="0004011C">
            <w:pPr>
              <w:spacing w:before="0" w:line="276" w:lineRule="auto"/>
              <w:jc w:val="both"/>
              <w:rPr>
                <w:rFonts w:ascii="Calibri" w:eastAsia="Calibri" w:hAnsi="Calibri" w:cs="Arial Narrow"/>
                <w:szCs w:val="22"/>
                <w:lang w:eastAsia="en-US"/>
              </w:rPr>
            </w:pPr>
            <w:r w:rsidRPr="00395460">
              <w:rPr>
                <w:rFonts w:ascii="Calibri" w:eastAsia="Calibri" w:hAnsi="Calibri" w:cs="Arial Narrow"/>
                <w:szCs w:val="22"/>
                <w:lang w:eastAsia="en-US"/>
              </w:rPr>
              <w:t>W przypadku, gdy projekt dotyczy kilku podmiotów nie należy liczyć tych samych usług tyle razy, ile podmiotów jest zaangażowanych w projekt.</w:t>
            </w:r>
          </w:p>
          <w:p w:rsidR="008F2FB7" w:rsidRPr="00911273" w:rsidRDefault="008F2FB7" w:rsidP="0004011C">
            <w:pPr>
              <w:autoSpaceDE w:val="0"/>
              <w:autoSpaceDN w:val="0"/>
              <w:adjustRightInd w:val="0"/>
              <w:spacing w:before="0" w:line="240" w:lineRule="auto"/>
              <w:jc w:val="both"/>
              <w:rPr>
                <w:rFonts w:asciiTheme="minorHAnsi" w:eastAsiaTheme="minorHAnsi" w:hAnsiTheme="minorHAnsi" w:cs="Arial"/>
                <w:szCs w:val="22"/>
                <w:lang w:eastAsia="en-US"/>
              </w:rPr>
            </w:pPr>
          </w:p>
        </w:tc>
      </w:tr>
      <w:tr w:rsidR="008F2FB7" w:rsidRPr="00243BE7" w:rsidTr="0004011C">
        <w:trPr>
          <w:trHeight w:val="20"/>
          <w:jc w:val="center"/>
        </w:trPr>
        <w:tc>
          <w:tcPr>
            <w:tcW w:w="1127" w:type="pct"/>
            <w:shd w:val="clear" w:color="auto" w:fill="auto"/>
          </w:tcPr>
          <w:p w:rsidR="008F2FB7" w:rsidRPr="00243BE7" w:rsidRDefault="008F2FB7" w:rsidP="0004011C">
            <w:pPr>
              <w:spacing w:before="60" w:after="60" w:line="240" w:lineRule="auto"/>
              <w:rPr>
                <w:rFonts w:asciiTheme="minorHAnsi" w:hAnsiTheme="minorHAnsi"/>
                <w:szCs w:val="22"/>
              </w:rPr>
            </w:pPr>
            <w:r w:rsidRPr="00243BE7">
              <w:rPr>
                <w:rFonts w:asciiTheme="minorHAnsi" w:hAnsiTheme="minorHAnsi"/>
                <w:szCs w:val="22"/>
              </w:rPr>
              <w:t>Liczba podmiotów, które udostępniły on-line informacje sektora publicznego</w:t>
            </w:r>
          </w:p>
        </w:tc>
        <w:tc>
          <w:tcPr>
            <w:tcW w:w="458" w:type="pct"/>
          </w:tcPr>
          <w:p w:rsidR="008F2FB7" w:rsidRPr="00243BE7" w:rsidRDefault="008F2FB7" w:rsidP="0004011C">
            <w:pPr>
              <w:spacing w:line="240" w:lineRule="auto"/>
              <w:jc w:val="both"/>
              <w:rPr>
                <w:szCs w:val="22"/>
              </w:rPr>
            </w:pPr>
            <w:r w:rsidRPr="00243BE7">
              <w:rPr>
                <w:rFonts w:asciiTheme="minorHAnsi" w:hAnsiTheme="minorHAnsi"/>
                <w:szCs w:val="22"/>
              </w:rPr>
              <w:t>szt.</w:t>
            </w:r>
          </w:p>
        </w:tc>
        <w:tc>
          <w:tcPr>
            <w:tcW w:w="2442" w:type="pct"/>
            <w:shd w:val="clear" w:color="auto" w:fill="auto"/>
          </w:tcPr>
          <w:p w:rsidR="008F2FB7" w:rsidRPr="00243BE7" w:rsidRDefault="008F2FB7" w:rsidP="0004011C">
            <w:pPr>
              <w:spacing w:line="240" w:lineRule="auto"/>
              <w:jc w:val="both"/>
              <w:rPr>
                <w:rFonts w:asciiTheme="minorHAnsi" w:hAnsiTheme="minorHAnsi"/>
                <w:szCs w:val="22"/>
              </w:rPr>
            </w:pPr>
            <w:r w:rsidRPr="00243BE7">
              <w:rPr>
                <w:rFonts w:asciiTheme="minorHAnsi" w:hAnsiTheme="minorHAnsi"/>
                <w:szCs w:val="22"/>
              </w:rPr>
              <w:t>Liczba podmiotów (wymienionych zgodnie z art. 9 ustawy o finansach publicznych), które w wyniku interwencji udostępniły on-line informacje sektora publicznego.</w:t>
            </w:r>
          </w:p>
          <w:p w:rsidR="008F2FB7" w:rsidRPr="00243BE7" w:rsidRDefault="008F2FB7" w:rsidP="0004011C">
            <w:pPr>
              <w:spacing w:line="240" w:lineRule="auto"/>
              <w:jc w:val="both"/>
              <w:rPr>
                <w:rFonts w:asciiTheme="minorHAnsi" w:hAnsiTheme="minorHAnsi"/>
                <w:szCs w:val="22"/>
              </w:rPr>
            </w:pPr>
            <w:r w:rsidRPr="00243BE7">
              <w:rPr>
                <w:rFonts w:asciiTheme="minorHAnsi" w:hAnsiTheme="minorHAnsi"/>
                <w:szCs w:val="22"/>
              </w:rPr>
              <w:t xml:space="preserve">Przez informacje sektora publicznego należy rozumieć: </w:t>
            </w:r>
          </w:p>
          <w:p w:rsidR="008F2FB7" w:rsidRPr="00243BE7" w:rsidRDefault="008F2FB7" w:rsidP="0004011C">
            <w:pPr>
              <w:spacing w:line="240" w:lineRule="auto"/>
              <w:jc w:val="both"/>
              <w:rPr>
                <w:rFonts w:asciiTheme="minorHAnsi" w:hAnsiTheme="minorHAnsi"/>
                <w:szCs w:val="22"/>
              </w:rPr>
            </w:pPr>
            <w:r w:rsidRPr="00243BE7">
              <w:rPr>
                <w:rFonts w:asciiTheme="minorHAnsi" w:hAnsiTheme="minorHAnsi"/>
                <w:szCs w:val="22"/>
              </w:rPr>
              <w:t xml:space="preserve">-  informację publiczną w rozumieniu ustawy z dnia 6 września 2001 r. o dostępie do informacji publicznej, </w:t>
            </w:r>
          </w:p>
          <w:p w:rsidR="008F2FB7" w:rsidRPr="00243BE7" w:rsidRDefault="008F2FB7" w:rsidP="0004011C">
            <w:pPr>
              <w:spacing w:line="240" w:lineRule="auto"/>
              <w:jc w:val="both"/>
              <w:rPr>
                <w:rFonts w:asciiTheme="minorHAnsi" w:hAnsiTheme="minorHAnsi"/>
                <w:szCs w:val="22"/>
              </w:rPr>
            </w:pPr>
            <w:r w:rsidRPr="00243BE7">
              <w:rPr>
                <w:rFonts w:asciiTheme="minorHAnsi" w:hAnsiTheme="minorHAnsi"/>
                <w:szCs w:val="22"/>
              </w:rPr>
              <w:t xml:space="preserve">- informację sektora publicznego w rozumieniu dyrektywy 2003/98/WE dnia 17 listopada  2003  r. w sprawie ponownego wykorzystywania informacji sektora publicznego (w brzmieniu zmienionym przez dyrektywę </w:t>
            </w:r>
            <w:r w:rsidRPr="00243BE7">
              <w:rPr>
                <w:rFonts w:asciiTheme="minorHAnsi" w:hAnsiTheme="minorHAnsi"/>
                <w:szCs w:val="22"/>
              </w:rPr>
              <w:lastRenderedPageBreak/>
              <w:t>2013/37/UE zmieniającą dyrektywę 2003/98/WE dnia 17 listopada  2003  r.  w sprawie ponownego wykorzystywania informacji sektora publicznego),</w:t>
            </w:r>
          </w:p>
          <w:p w:rsidR="008F2FB7" w:rsidRPr="00243BE7" w:rsidRDefault="008F2FB7" w:rsidP="0004011C">
            <w:pPr>
              <w:spacing w:line="240" w:lineRule="auto"/>
              <w:jc w:val="both"/>
              <w:rPr>
                <w:rFonts w:asciiTheme="minorHAnsi" w:hAnsiTheme="minorHAnsi"/>
                <w:szCs w:val="22"/>
              </w:rPr>
            </w:pPr>
            <w:r w:rsidRPr="00243BE7">
              <w:rPr>
                <w:rFonts w:asciiTheme="minorHAnsi" w:hAnsiTheme="minorHAnsi"/>
                <w:szCs w:val="22"/>
              </w:rPr>
              <w:t>- zasoby audiowizualne, pod warunkiem ich udostępniania do ponownego wykorzystywania,</w:t>
            </w:r>
          </w:p>
          <w:p w:rsidR="008F2FB7" w:rsidRPr="00243BE7" w:rsidRDefault="008F2FB7" w:rsidP="0004011C">
            <w:pPr>
              <w:spacing w:line="240" w:lineRule="auto"/>
              <w:jc w:val="both"/>
              <w:rPr>
                <w:rFonts w:asciiTheme="minorHAnsi" w:hAnsiTheme="minorHAnsi"/>
                <w:szCs w:val="22"/>
              </w:rPr>
            </w:pPr>
            <w:r w:rsidRPr="00243BE7">
              <w:rPr>
                <w:rFonts w:asciiTheme="minorHAnsi" w:hAnsiTheme="minorHAnsi"/>
                <w:szCs w:val="22"/>
              </w:rPr>
              <w:t>- zasoby archiwalne, pod warunkiem ich udostępnienia do ponownego wykorzystania,</w:t>
            </w:r>
          </w:p>
          <w:p w:rsidR="008F2FB7" w:rsidRPr="00243BE7" w:rsidRDefault="008F2FB7" w:rsidP="0004011C">
            <w:pPr>
              <w:spacing w:line="240" w:lineRule="auto"/>
              <w:jc w:val="both"/>
              <w:rPr>
                <w:rFonts w:asciiTheme="minorHAnsi" w:hAnsiTheme="minorHAnsi"/>
                <w:szCs w:val="22"/>
              </w:rPr>
            </w:pPr>
            <w:r w:rsidRPr="00243BE7">
              <w:rPr>
                <w:rFonts w:asciiTheme="minorHAnsi" w:hAnsiTheme="minorHAnsi"/>
                <w:szCs w:val="22"/>
              </w:rPr>
              <w:t>- zasoby kultury, pod warunkiem ich udostepnienia do ponownego wykorzystania.</w:t>
            </w:r>
          </w:p>
          <w:p w:rsidR="008F2FB7" w:rsidRPr="00243BE7" w:rsidRDefault="008F2FB7" w:rsidP="0004011C">
            <w:pPr>
              <w:spacing w:line="240" w:lineRule="auto"/>
              <w:jc w:val="both"/>
              <w:rPr>
                <w:rFonts w:asciiTheme="minorHAnsi" w:hAnsiTheme="minorHAnsi"/>
                <w:szCs w:val="22"/>
              </w:rPr>
            </w:pPr>
            <w:r w:rsidRPr="00243BE7">
              <w:rPr>
                <w:rFonts w:asciiTheme="minorHAnsi" w:hAnsiTheme="minorHAnsi"/>
                <w:szCs w:val="22"/>
              </w:rPr>
              <w:t>- zasoby nauki, pod warunkiem ich udostępniania do ponownego wykorzystywania.</w:t>
            </w:r>
          </w:p>
          <w:p w:rsidR="008F2FB7" w:rsidRPr="00243BE7" w:rsidRDefault="008F2FB7" w:rsidP="0004011C">
            <w:pPr>
              <w:spacing w:line="240" w:lineRule="auto"/>
              <w:jc w:val="both"/>
              <w:rPr>
                <w:rFonts w:asciiTheme="minorHAnsi" w:hAnsiTheme="minorHAnsi"/>
                <w:szCs w:val="22"/>
              </w:rPr>
            </w:pPr>
            <w:r w:rsidRPr="00243BE7">
              <w:rPr>
                <w:rFonts w:asciiTheme="minorHAnsi" w:hAnsiTheme="minorHAnsi"/>
                <w:szCs w:val="22"/>
              </w:rPr>
              <w:t>Metoda pomiaru: Do wartości wskaźnika wliczyć należy liczbę wszystkich podmiotów, które w wyniku realizacji projektu, udostępniły on-line informacje sektora publicznego, tj. beneficjenta, jak i partnerów.</w:t>
            </w:r>
          </w:p>
        </w:tc>
      </w:tr>
      <w:tr w:rsidR="008F2FB7" w:rsidRPr="00225774" w:rsidTr="0004011C">
        <w:trPr>
          <w:trHeight w:val="20"/>
          <w:jc w:val="center"/>
        </w:trPr>
        <w:tc>
          <w:tcPr>
            <w:tcW w:w="1127" w:type="pct"/>
            <w:shd w:val="clear" w:color="auto" w:fill="auto"/>
          </w:tcPr>
          <w:p w:rsidR="008F2FB7" w:rsidRPr="00225774" w:rsidRDefault="008F2FB7" w:rsidP="0004011C">
            <w:pPr>
              <w:spacing w:before="40" w:after="40" w:line="240" w:lineRule="auto"/>
              <w:rPr>
                <w:rFonts w:asciiTheme="minorHAnsi" w:hAnsiTheme="minorHAnsi"/>
                <w:szCs w:val="22"/>
              </w:rPr>
            </w:pPr>
            <w:r w:rsidRPr="00225774">
              <w:rPr>
                <w:rFonts w:asciiTheme="minorHAnsi" w:hAnsiTheme="minorHAnsi"/>
                <w:szCs w:val="22"/>
              </w:rPr>
              <w:lastRenderedPageBreak/>
              <w:t>Liczba urzędów, które wdrożyły katalog rekomendacji dotyczących awansu cyfrowego</w:t>
            </w:r>
          </w:p>
          <w:p w:rsidR="008F2FB7" w:rsidRPr="00225774" w:rsidRDefault="008F2FB7" w:rsidP="0004011C">
            <w:pPr>
              <w:spacing w:before="40" w:after="40" w:line="240" w:lineRule="auto"/>
              <w:ind w:left="316"/>
              <w:contextualSpacing/>
              <w:rPr>
                <w:rFonts w:asciiTheme="minorHAnsi" w:eastAsiaTheme="minorHAnsi" w:hAnsiTheme="minorHAnsi" w:cs="Arial"/>
                <w:szCs w:val="22"/>
                <w:lang w:eastAsia="en-US"/>
              </w:rPr>
            </w:pPr>
          </w:p>
          <w:p w:rsidR="008F2FB7" w:rsidRPr="00225774" w:rsidRDefault="008F2FB7" w:rsidP="0004011C">
            <w:pPr>
              <w:spacing w:before="40" w:after="40" w:line="240" w:lineRule="auto"/>
              <w:rPr>
                <w:rFonts w:asciiTheme="minorHAnsi" w:hAnsiTheme="minorHAnsi"/>
                <w:szCs w:val="22"/>
              </w:rPr>
            </w:pPr>
          </w:p>
        </w:tc>
        <w:tc>
          <w:tcPr>
            <w:tcW w:w="458" w:type="pct"/>
          </w:tcPr>
          <w:p w:rsidR="008F2FB7" w:rsidRPr="00225774" w:rsidRDefault="008F2FB7" w:rsidP="0004011C">
            <w:pPr>
              <w:spacing w:line="240" w:lineRule="auto"/>
              <w:jc w:val="both"/>
              <w:rPr>
                <w:szCs w:val="22"/>
              </w:rPr>
            </w:pPr>
            <w:r w:rsidRPr="00225774">
              <w:rPr>
                <w:rFonts w:asciiTheme="minorHAnsi" w:hAnsiTheme="minorHAnsi"/>
                <w:szCs w:val="22"/>
              </w:rPr>
              <w:t>szt.</w:t>
            </w:r>
          </w:p>
        </w:tc>
        <w:tc>
          <w:tcPr>
            <w:tcW w:w="2442" w:type="pct"/>
            <w:shd w:val="clear" w:color="auto" w:fill="auto"/>
          </w:tcPr>
          <w:p w:rsidR="008F2FB7" w:rsidRPr="00225774" w:rsidRDefault="008F2FB7" w:rsidP="0004011C">
            <w:pPr>
              <w:autoSpaceDE w:val="0"/>
              <w:autoSpaceDN w:val="0"/>
              <w:adjustRightInd w:val="0"/>
              <w:spacing w:before="0" w:line="240" w:lineRule="auto"/>
              <w:rPr>
                <w:rFonts w:asciiTheme="minorHAnsi" w:hAnsiTheme="minorHAnsi"/>
                <w:b/>
                <w:szCs w:val="22"/>
              </w:rPr>
            </w:pPr>
            <w:r w:rsidRPr="00225774">
              <w:rPr>
                <w:rFonts w:asciiTheme="minorHAnsi" w:hAnsiTheme="minorHAnsi"/>
                <w:b/>
                <w:szCs w:val="22"/>
              </w:rPr>
              <w:t>Definicja wskaźnika na potrzeby ogłaszanego konkursu:</w:t>
            </w:r>
          </w:p>
          <w:p w:rsidR="008F2FB7" w:rsidRPr="00225774" w:rsidRDefault="008F2FB7" w:rsidP="0004011C">
            <w:pPr>
              <w:autoSpaceDE w:val="0"/>
              <w:autoSpaceDN w:val="0"/>
              <w:adjustRightInd w:val="0"/>
              <w:spacing w:before="0" w:line="240" w:lineRule="auto"/>
              <w:rPr>
                <w:rFonts w:asciiTheme="minorHAnsi" w:hAnsiTheme="minorHAnsi"/>
                <w:b/>
                <w:szCs w:val="22"/>
              </w:rPr>
            </w:pPr>
          </w:p>
          <w:p w:rsidR="008F2FB7" w:rsidRPr="00225774" w:rsidRDefault="008F2FB7" w:rsidP="0004011C">
            <w:pPr>
              <w:autoSpaceDE w:val="0"/>
              <w:autoSpaceDN w:val="0"/>
              <w:adjustRightInd w:val="0"/>
              <w:spacing w:before="0" w:line="240" w:lineRule="auto"/>
              <w:jc w:val="both"/>
              <w:rPr>
                <w:rFonts w:asciiTheme="minorHAnsi" w:hAnsiTheme="minorHAnsi"/>
                <w:szCs w:val="22"/>
              </w:rPr>
            </w:pPr>
            <w:r w:rsidRPr="00225774">
              <w:rPr>
                <w:rFonts w:asciiTheme="minorHAnsi" w:hAnsiTheme="minorHAnsi"/>
                <w:szCs w:val="22"/>
              </w:rPr>
              <w:t xml:space="preserve">Ze względu na brak opracowanego przez ministra właściwego do spraw informatyzacji </w:t>
            </w:r>
            <w:r w:rsidRPr="00225774">
              <w:rPr>
                <w:rFonts w:asciiTheme="minorHAnsi" w:hAnsiTheme="minorHAnsi"/>
                <w:b/>
                <w:szCs w:val="22"/>
              </w:rPr>
              <w:t>katalogu rekomendacji awansu cyfrowego (tzw. Katalog Rekomendacji Cyfrowego Urzędu - KRCU</w:t>
            </w:r>
            <w:r w:rsidRPr="00225774">
              <w:rPr>
                <w:rFonts w:asciiTheme="minorHAnsi" w:hAnsiTheme="minorHAnsi"/>
                <w:szCs w:val="22"/>
              </w:rPr>
              <w:t xml:space="preserve">), wskaźnik może być wykorzystywany </w:t>
            </w:r>
            <w:r w:rsidRPr="00225774">
              <w:rPr>
                <w:rFonts w:asciiTheme="minorHAnsi" w:hAnsiTheme="minorHAnsi"/>
                <w:szCs w:val="22"/>
              </w:rPr>
              <w:br/>
              <w:t>w projektach administracji publicznej,  przewidujących wsparcie rozwiązań „</w:t>
            </w:r>
            <w:proofErr w:type="spellStart"/>
            <w:r w:rsidRPr="00225774">
              <w:rPr>
                <w:rFonts w:asciiTheme="minorHAnsi" w:hAnsiTheme="minorHAnsi"/>
                <w:szCs w:val="22"/>
              </w:rPr>
              <w:t>back-office</w:t>
            </w:r>
            <w:proofErr w:type="spellEnd"/>
            <w:r w:rsidRPr="00225774">
              <w:rPr>
                <w:rFonts w:asciiTheme="minorHAnsi" w:hAnsiTheme="minorHAnsi"/>
                <w:szCs w:val="22"/>
              </w:rPr>
              <w:t>” .</w:t>
            </w:r>
          </w:p>
          <w:p w:rsidR="008F2FB7" w:rsidRPr="00225774" w:rsidRDefault="008F2FB7" w:rsidP="0004011C">
            <w:pPr>
              <w:autoSpaceDE w:val="0"/>
              <w:autoSpaceDN w:val="0"/>
              <w:adjustRightInd w:val="0"/>
              <w:spacing w:before="0" w:line="240" w:lineRule="auto"/>
              <w:jc w:val="both"/>
              <w:rPr>
                <w:rFonts w:asciiTheme="minorHAnsi" w:hAnsiTheme="minorHAnsi"/>
                <w:szCs w:val="22"/>
              </w:rPr>
            </w:pPr>
          </w:p>
          <w:p w:rsidR="008F2FB7" w:rsidRPr="00225774" w:rsidRDefault="008F2FB7" w:rsidP="0004011C">
            <w:pPr>
              <w:autoSpaceDE w:val="0"/>
              <w:autoSpaceDN w:val="0"/>
              <w:adjustRightInd w:val="0"/>
              <w:spacing w:before="0" w:line="240" w:lineRule="auto"/>
              <w:jc w:val="both"/>
              <w:rPr>
                <w:rFonts w:asciiTheme="minorHAnsi" w:hAnsiTheme="minorHAnsi"/>
                <w:szCs w:val="22"/>
              </w:rPr>
            </w:pPr>
            <w:r w:rsidRPr="00225774">
              <w:rPr>
                <w:rFonts w:asciiTheme="minorHAnsi" w:hAnsiTheme="minorHAnsi"/>
                <w:szCs w:val="22"/>
              </w:rPr>
              <w:t>Wnioskodawca wybierając ten wskaźnik, musi dokonać „samooceny”.</w:t>
            </w:r>
          </w:p>
          <w:p w:rsidR="008F2FB7" w:rsidRPr="00225774" w:rsidRDefault="008F2FB7" w:rsidP="0004011C">
            <w:pPr>
              <w:autoSpaceDE w:val="0"/>
              <w:autoSpaceDN w:val="0"/>
              <w:adjustRightInd w:val="0"/>
              <w:spacing w:before="0" w:line="240" w:lineRule="auto"/>
              <w:rPr>
                <w:rFonts w:asciiTheme="minorHAnsi" w:hAnsiTheme="minorHAnsi"/>
                <w:szCs w:val="22"/>
              </w:rPr>
            </w:pPr>
          </w:p>
          <w:p w:rsidR="0039261E" w:rsidRDefault="0039261E" w:rsidP="0039261E">
            <w:pPr>
              <w:autoSpaceDE w:val="0"/>
              <w:autoSpaceDN w:val="0"/>
              <w:adjustRightInd w:val="0"/>
              <w:spacing w:before="0" w:line="240" w:lineRule="auto"/>
              <w:rPr>
                <w:rFonts w:ascii="Calibri" w:hAnsi="Calibri"/>
                <w:szCs w:val="22"/>
                <w:lang w:eastAsia="en-US"/>
              </w:rPr>
            </w:pPr>
            <w:r>
              <w:rPr>
                <w:rFonts w:ascii="Calibri" w:hAnsi="Calibri"/>
                <w:b/>
                <w:szCs w:val="22"/>
                <w:lang w:eastAsia="en-US"/>
              </w:rPr>
              <w:t>Samoocena</w:t>
            </w:r>
            <w:r>
              <w:rPr>
                <w:rFonts w:ascii="Calibri" w:hAnsi="Calibri"/>
                <w:szCs w:val="22"/>
                <w:lang w:eastAsia="en-US"/>
              </w:rPr>
              <w:t xml:space="preserve"> - analiza stanu cyfryzacji jednostki  (w oparciu o formularz zamieszczony na stronie: </w:t>
            </w:r>
            <w:hyperlink r:id="rId10" w:history="1">
              <w:r w:rsidRPr="00F9235E">
                <w:rPr>
                  <w:rStyle w:val="Hipercze"/>
                  <w:rFonts w:ascii="Calibri" w:hAnsi="Calibri" w:cs="Arial"/>
                </w:rPr>
                <w:t>www.rpo.dolnyslask.pl</w:t>
              </w:r>
            </w:hyperlink>
            <w:r w:rsidRPr="00F9235E">
              <w:rPr>
                <w:rFonts w:ascii="Calibri" w:hAnsi="Calibri"/>
                <w:szCs w:val="22"/>
                <w:lang w:eastAsia="en-US"/>
              </w:rPr>
              <w:t>)</w:t>
            </w:r>
            <w:r>
              <w:rPr>
                <w:rFonts w:ascii="Calibri" w:hAnsi="Calibri"/>
                <w:szCs w:val="22"/>
                <w:lang w:eastAsia="en-US"/>
              </w:rPr>
              <w:t>.</w:t>
            </w:r>
          </w:p>
          <w:p w:rsidR="008F2FB7" w:rsidRPr="00225774" w:rsidRDefault="008F2FB7" w:rsidP="0004011C">
            <w:pPr>
              <w:autoSpaceDE w:val="0"/>
              <w:autoSpaceDN w:val="0"/>
              <w:adjustRightInd w:val="0"/>
              <w:spacing w:before="0" w:line="240" w:lineRule="auto"/>
              <w:jc w:val="both"/>
              <w:rPr>
                <w:rFonts w:asciiTheme="minorHAnsi" w:hAnsiTheme="minorHAnsi"/>
                <w:szCs w:val="22"/>
              </w:rPr>
            </w:pPr>
          </w:p>
          <w:p w:rsidR="008F2FB7" w:rsidRPr="00225774" w:rsidRDefault="008F2FB7" w:rsidP="0004011C">
            <w:pPr>
              <w:autoSpaceDE w:val="0"/>
              <w:autoSpaceDN w:val="0"/>
              <w:adjustRightInd w:val="0"/>
              <w:spacing w:before="0" w:line="240" w:lineRule="auto"/>
              <w:jc w:val="both"/>
              <w:rPr>
                <w:rFonts w:asciiTheme="minorHAnsi" w:hAnsiTheme="minorHAnsi"/>
                <w:szCs w:val="22"/>
              </w:rPr>
            </w:pPr>
            <w:r w:rsidRPr="00225774">
              <w:rPr>
                <w:rFonts w:asciiTheme="minorHAnsi" w:hAnsiTheme="minorHAnsi"/>
                <w:szCs w:val="22"/>
              </w:rPr>
              <w:t xml:space="preserve">W przypadku projektów partnerskich samoocena musi zostać dokonana przez każdego partnera z osobna. </w:t>
            </w:r>
          </w:p>
          <w:p w:rsidR="008F2FB7" w:rsidRPr="00225774" w:rsidRDefault="008F2FB7" w:rsidP="0004011C">
            <w:pPr>
              <w:autoSpaceDE w:val="0"/>
              <w:autoSpaceDN w:val="0"/>
              <w:adjustRightInd w:val="0"/>
              <w:spacing w:before="0" w:line="240" w:lineRule="auto"/>
              <w:jc w:val="both"/>
              <w:rPr>
                <w:rFonts w:asciiTheme="minorHAnsi" w:hAnsiTheme="minorHAnsi"/>
                <w:szCs w:val="22"/>
              </w:rPr>
            </w:pPr>
          </w:p>
          <w:p w:rsidR="008F2FB7" w:rsidRPr="00225774" w:rsidRDefault="008F2FB7" w:rsidP="0004011C">
            <w:pPr>
              <w:autoSpaceDE w:val="0"/>
              <w:autoSpaceDN w:val="0"/>
              <w:adjustRightInd w:val="0"/>
              <w:spacing w:before="0" w:line="240" w:lineRule="auto"/>
              <w:jc w:val="both"/>
              <w:rPr>
                <w:rFonts w:asciiTheme="minorHAnsi" w:hAnsiTheme="minorHAnsi"/>
                <w:szCs w:val="22"/>
              </w:rPr>
            </w:pPr>
            <w:r w:rsidRPr="00225774">
              <w:rPr>
                <w:rFonts w:asciiTheme="minorHAnsi" w:hAnsiTheme="minorHAnsi"/>
                <w:szCs w:val="22"/>
              </w:rPr>
              <w:t>Metoda pomiaru: Urzędy mogą składać się z biur/placówek pozamiejscowych /delegatur itp. Urząd jest aparatem pomocniczym organów administracji publicznej, w tym jednostek podległych i nadzorowanych. Wskaźnik obejmuje liczbę wszystkich urzędów, które dokonały samooceny, w tym poszczególnych partnerów wdrażających rozwiązania informatyczne będące przedmiotem wspólnego projektu.</w:t>
            </w:r>
          </w:p>
          <w:p w:rsidR="008F2FB7" w:rsidRPr="00225774" w:rsidRDefault="008F2FB7" w:rsidP="0004011C">
            <w:pPr>
              <w:autoSpaceDE w:val="0"/>
              <w:autoSpaceDN w:val="0"/>
              <w:adjustRightInd w:val="0"/>
              <w:spacing w:before="0" w:line="240" w:lineRule="auto"/>
              <w:jc w:val="both"/>
              <w:rPr>
                <w:rFonts w:asciiTheme="minorHAnsi" w:hAnsiTheme="minorHAnsi"/>
                <w:b/>
                <w:szCs w:val="22"/>
              </w:rPr>
            </w:pPr>
          </w:p>
        </w:tc>
      </w:tr>
    </w:tbl>
    <w:p w:rsidR="00225774" w:rsidRDefault="00225774" w:rsidP="007650AC">
      <w:pPr>
        <w:spacing w:line="240" w:lineRule="auto"/>
        <w:rPr>
          <w:szCs w:val="22"/>
        </w:rPr>
      </w:pPr>
    </w:p>
    <w:sectPr w:rsidR="00225774" w:rsidSect="009456D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30" w:rsidRDefault="00522930" w:rsidP="008C495E">
      <w:pPr>
        <w:spacing w:before="0" w:line="240" w:lineRule="auto"/>
      </w:pPr>
      <w:r>
        <w:separator/>
      </w:r>
    </w:p>
  </w:endnote>
  <w:endnote w:type="continuationSeparator" w:id="0">
    <w:p w:rsidR="00522930" w:rsidRDefault="0052293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00"/>
    <w:family w:val="swiss"/>
    <w:pitch w:val="default"/>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30" w:rsidRDefault="00522930" w:rsidP="008C495E">
      <w:pPr>
        <w:spacing w:before="0" w:line="240" w:lineRule="auto"/>
      </w:pPr>
      <w:r>
        <w:separator/>
      </w:r>
    </w:p>
  </w:footnote>
  <w:footnote w:type="continuationSeparator" w:id="0">
    <w:p w:rsidR="00522930" w:rsidRDefault="00522930" w:rsidP="008C495E">
      <w:pPr>
        <w:spacing w:before="0" w:line="240" w:lineRule="auto"/>
      </w:pPr>
      <w:r>
        <w:continuationSeparator/>
      </w:r>
    </w:p>
  </w:footnote>
  <w:footnote w:id="1">
    <w:p w:rsidR="008F2FB7" w:rsidRDefault="008F2FB7" w:rsidP="008F2FB7">
      <w:pPr>
        <w:pStyle w:val="Tekstprzypisudolnego"/>
      </w:pPr>
      <w:r>
        <w:rPr>
          <w:rStyle w:val="Odwoanieprzypisudolnego"/>
        </w:rPr>
        <w:footnoteRef/>
      </w:r>
      <w:r>
        <w:t xml:space="preserve"> </w:t>
      </w:r>
      <w:r>
        <w:rPr>
          <w:rFonts w:ascii="Calibri" w:hAnsi="Calibri" w:cs="Tahoma"/>
          <w:b/>
          <w:kern w:val="2"/>
          <w:u w:val="single"/>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4 do Regulaminu konkursu </w:t>
    </w:r>
  </w:p>
  <w:p w:rsidR="00875BA2" w:rsidRPr="00875BA2" w:rsidRDefault="00C0278F" w:rsidP="00875BA2">
    <w:pPr>
      <w:jc w:val="right"/>
      <w:rPr>
        <w:rFonts w:ascii="Calibri" w:hAnsi="Calibri"/>
        <w:color w:val="FF0000"/>
        <w:sz w:val="20"/>
      </w:rPr>
    </w:pPr>
    <w:r w:rsidRPr="00875BA2">
      <w:rPr>
        <w:rFonts w:asciiTheme="minorHAnsi" w:hAnsiTheme="minorHAnsi"/>
        <w:sz w:val="20"/>
      </w:rPr>
      <w:t xml:space="preserve">Nr naboru </w:t>
    </w:r>
    <w:r w:rsidR="009C13FF" w:rsidRPr="009C13FF">
      <w:rPr>
        <w:rFonts w:asciiTheme="minorHAnsi" w:hAnsiTheme="minorHAnsi"/>
        <w:sz w:val="20"/>
      </w:rPr>
      <w:t>RPDS.02.01.03-IZ.00-02-047/15</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F140FCE"/>
    <w:multiLevelType w:val="hybridMultilevel"/>
    <w:tmpl w:val="C97423EA"/>
    <w:lvl w:ilvl="0" w:tplc="1464A468">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B769F"/>
    <w:rsid w:val="000C263C"/>
    <w:rsid w:val="000F36CA"/>
    <w:rsid w:val="000F5A86"/>
    <w:rsid w:val="000F5C98"/>
    <w:rsid w:val="00141571"/>
    <w:rsid w:val="0015486C"/>
    <w:rsid w:val="001722F7"/>
    <w:rsid w:val="00191605"/>
    <w:rsid w:val="001C4F9E"/>
    <w:rsid w:val="001F0994"/>
    <w:rsid w:val="00221FB2"/>
    <w:rsid w:val="00225774"/>
    <w:rsid w:val="00243BE7"/>
    <w:rsid w:val="00253FAA"/>
    <w:rsid w:val="002972E4"/>
    <w:rsid w:val="002D5507"/>
    <w:rsid w:val="002F6273"/>
    <w:rsid w:val="0032765F"/>
    <w:rsid w:val="00334CEB"/>
    <w:rsid w:val="00340A6B"/>
    <w:rsid w:val="003439A5"/>
    <w:rsid w:val="00370466"/>
    <w:rsid w:val="003828CF"/>
    <w:rsid w:val="0039261E"/>
    <w:rsid w:val="00394021"/>
    <w:rsid w:val="00395460"/>
    <w:rsid w:val="003C55C7"/>
    <w:rsid w:val="003D2C3D"/>
    <w:rsid w:val="003D3BC5"/>
    <w:rsid w:val="0041446A"/>
    <w:rsid w:val="00421C29"/>
    <w:rsid w:val="0046263E"/>
    <w:rsid w:val="00471B0C"/>
    <w:rsid w:val="00476947"/>
    <w:rsid w:val="004B303A"/>
    <w:rsid w:val="00516B06"/>
    <w:rsid w:val="00522930"/>
    <w:rsid w:val="00535E8F"/>
    <w:rsid w:val="00551AA2"/>
    <w:rsid w:val="00555321"/>
    <w:rsid w:val="005657D8"/>
    <w:rsid w:val="00583718"/>
    <w:rsid w:val="005D6A14"/>
    <w:rsid w:val="0060140B"/>
    <w:rsid w:val="00620A45"/>
    <w:rsid w:val="00635DB0"/>
    <w:rsid w:val="006527A1"/>
    <w:rsid w:val="006A09F0"/>
    <w:rsid w:val="006C652C"/>
    <w:rsid w:val="006D1625"/>
    <w:rsid w:val="00701E65"/>
    <w:rsid w:val="00704B1F"/>
    <w:rsid w:val="007300ED"/>
    <w:rsid w:val="00741B27"/>
    <w:rsid w:val="0075376D"/>
    <w:rsid w:val="007650AC"/>
    <w:rsid w:val="00787387"/>
    <w:rsid w:val="007D07D8"/>
    <w:rsid w:val="007D1CF1"/>
    <w:rsid w:val="007D7DE7"/>
    <w:rsid w:val="007E025A"/>
    <w:rsid w:val="007E6D53"/>
    <w:rsid w:val="00875BA2"/>
    <w:rsid w:val="008A09D1"/>
    <w:rsid w:val="008A195C"/>
    <w:rsid w:val="008B21E1"/>
    <w:rsid w:val="008C495E"/>
    <w:rsid w:val="008E3F0D"/>
    <w:rsid w:val="008E5605"/>
    <w:rsid w:val="008F2FB7"/>
    <w:rsid w:val="009024D3"/>
    <w:rsid w:val="00911273"/>
    <w:rsid w:val="009456DB"/>
    <w:rsid w:val="009C13FF"/>
    <w:rsid w:val="009D3C56"/>
    <w:rsid w:val="009E33FB"/>
    <w:rsid w:val="009E65D0"/>
    <w:rsid w:val="00AD2437"/>
    <w:rsid w:val="00B03E40"/>
    <w:rsid w:val="00B204DD"/>
    <w:rsid w:val="00B235B0"/>
    <w:rsid w:val="00B62340"/>
    <w:rsid w:val="00B840A9"/>
    <w:rsid w:val="00B87D03"/>
    <w:rsid w:val="00BC03CE"/>
    <w:rsid w:val="00BF12CE"/>
    <w:rsid w:val="00C0278F"/>
    <w:rsid w:val="00C10532"/>
    <w:rsid w:val="00C22435"/>
    <w:rsid w:val="00C40E8D"/>
    <w:rsid w:val="00C90F5E"/>
    <w:rsid w:val="00CC7758"/>
    <w:rsid w:val="00CD28DA"/>
    <w:rsid w:val="00CF3B8E"/>
    <w:rsid w:val="00CF69D1"/>
    <w:rsid w:val="00D03CAB"/>
    <w:rsid w:val="00D11CB4"/>
    <w:rsid w:val="00D11E26"/>
    <w:rsid w:val="00D17338"/>
    <w:rsid w:val="00D5098A"/>
    <w:rsid w:val="00D93881"/>
    <w:rsid w:val="00D97A0C"/>
    <w:rsid w:val="00E2644E"/>
    <w:rsid w:val="00E32B6F"/>
    <w:rsid w:val="00E61834"/>
    <w:rsid w:val="00E72468"/>
    <w:rsid w:val="00E90CA0"/>
    <w:rsid w:val="00F02218"/>
    <w:rsid w:val="00F059C7"/>
    <w:rsid w:val="00F11106"/>
    <w:rsid w:val="00F22449"/>
    <w:rsid w:val="00F41AB5"/>
    <w:rsid w:val="00FA4339"/>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A2"/>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Hipercze">
    <w:name w:val="Hyperlink"/>
    <w:basedOn w:val="Domylnaczcionkaakapitu"/>
    <w:unhideWhenUsed/>
    <w:rsid w:val="00392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A2"/>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Hipercze">
    <w:name w:val="Hyperlink"/>
    <w:basedOn w:val="Domylnaczcionkaakapitu"/>
    <w:unhideWhenUsed/>
    <w:rsid w:val="00392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475">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470832841">
      <w:bodyDiv w:val="1"/>
      <w:marLeft w:val="0"/>
      <w:marRight w:val="0"/>
      <w:marTop w:val="0"/>
      <w:marBottom w:val="0"/>
      <w:divBdr>
        <w:top w:val="none" w:sz="0" w:space="0" w:color="auto"/>
        <w:left w:val="none" w:sz="0" w:space="0" w:color="auto"/>
        <w:bottom w:val="none" w:sz="0" w:space="0" w:color="auto"/>
        <w:right w:val="none" w:sz="0" w:space="0" w:color="auto"/>
      </w:divBdr>
      <w:divsChild>
        <w:div w:id="1898589703">
          <w:marLeft w:val="0"/>
          <w:marRight w:val="0"/>
          <w:marTop w:val="0"/>
          <w:marBottom w:val="0"/>
          <w:divBdr>
            <w:top w:val="none" w:sz="0" w:space="0" w:color="auto"/>
            <w:left w:val="none" w:sz="0" w:space="0" w:color="auto"/>
            <w:bottom w:val="none" w:sz="0" w:space="0" w:color="auto"/>
            <w:right w:val="none" w:sz="0" w:space="0" w:color="auto"/>
          </w:divBdr>
        </w:div>
        <w:div w:id="1617327857">
          <w:marLeft w:val="0"/>
          <w:marRight w:val="0"/>
          <w:marTop w:val="0"/>
          <w:marBottom w:val="0"/>
          <w:divBdr>
            <w:top w:val="none" w:sz="0" w:space="0" w:color="auto"/>
            <w:left w:val="none" w:sz="0" w:space="0" w:color="auto"/>
            <w:bottom w:val="none" w:sz="0" w:space="0" w:color="auto"/>
            <w:right w:val="none" w:sz="0" w:space="0" w:color="auto"/>
          </w:divBdr>
        </w:div>
        <w:div w:id="740251106">
          <w:marLeft w:val="0"/>
          <w:marRight w:val="0"/>
          <w:marTop w:val="0"/>
          <w:marBottom w:val="0"/>
          <w:divBdr>
            <w:top w:val="none" w:sz="0" w:space="0" w:color="auto"/>
            <w:left w:val="none" w:sz="0" w:space="0" w:color="auto"/>
            <w:bottom w:val="none" w:sz="0" w:space="0" w:color="auto"/>
            <w:right w:val="none" w:sz="0" w:space="0" w:color="auto"/>
          </w:divBdr>
        </w:div>
        <w:div w:id="1644046186">
          <w:marLeft w:val="0"/>
          <w:marRight w:val="0"/>
          <w:marTop w:val="0"/>
          <w:marBottom w:val="0"/>
          <w:divBdr>
            <w:top w:val="none" w:sz="0" w:space="0" w:color="auto"/>
            <w:left w:val="none" w:sz="0" w:space="0" w:color="auto"/>
            <w:bottom w:val="none" w:sz="0" w:space="0" w:color="auto"/>
            <w:right w:val="none" w:sz="0" w:space="0" w:color="auto"/>
          </w:divBdr>
        </w:div>
        <w:div w:id="729882473">
          <w:marLeft w:val="0"/>
          <w:marRight w:val="0"/>
          <w:marTop w:val="0"/>
          <w:marBottom w:val="0"/>
          <w:divBdr>
            <w:top w:val="none" w:sz="0" w:space="0" w:color="auto"/>
            <w:left w:val="none" w:sz="0" w:space="0" w:color="auto"/>
            <w:bottom w:val="none" w:sz="0" w:space="0" w:color="auto"/>
            <w:right w:val="none" w:sz="0" w:space="0" w:color="auto"/>
          </w:divBdr>
        </w:div>
        <w:div w:id="179009377">
          <w:marLeft w:val="0"/>
          <w:marRight w:val="0"/>
          <w:marTop w:val="0"/>
          <w:marBottom w:val="0"/>
          <w:divBdr>
            <w:top w:val="none" w:sz="0" w:space="0" w:color="auto"/>
            <w:left w:val="none" w:sz="0" w:space="0" w:color="auto"/>
            <w:bottom w:val="none" w:sz="0" w:space="0" w:color="auto"/>
            <w:right w:val="none" w:sz="0" w:space="0" w:color="auto"/>
          </w:divBdr>
        </w:div>
        <w:div w:id="1688797812">
          <w:marLeft w:val="0"/>
          <w:marRight w:val="0"/>
          <w:marTop w:val="0"/>
          <w:marBottom w:val="0"/>
          <w:divBdr>
            <w:top w:val="none" w:sz="0" w:space="0" w:color="auto"/>
            <w:left w:val="none" w:sz="0" w:space="0" w:color="auto"/>
            <w:bottom w:val="none" w:sz="0" w:space="0" w:color="auto"/>
            <w:right w:val="none" w:sz="0" w:space="0" w:color="auto"/>
          </w:divBdr>
        </w:div>
        <w:div w:id="356541885">
          <w:marLeft w:val="0"/>
          <w:marRight w:val="0"/>
          <w:marTop w:val="0"/>
          <w:marBottom w:val="0"/>
          <w:divBdr>
            <w:top w:val="none" w:sz="0" w:space="0" w:color="auto"/>
            <w:left w:val="none" w:sz="0" w:space="0" w:color="auto"/>
            <w:bottom w:val="none" w:sz="0" w:space="0" w:color="auto"/>
            <w:right w:val="none" w:sz="0" w:space="0" w:color="auto"/>
          </w:divBdr>
        </w:div>
        <w:div w:id="567769827">
          <w:marLeft w:val="0"/>
          <w:marRight w:val="0"/>
          <w:marTop w:val="0"/>
          <w:marBottom w:val="0"/>
          <w:divBdr>
            <w:top w:val="none" w:sz="0" w:space="0" w:color="auto"/>
            <w:left w:val="none" w:sz="0" w:space="0" w:color="auto"/>
            <w:bottom w:val="none" w:sz="0" w:space="0" w:color="auto"/>
            <w:right w:val="none" w:sz="0" w:space="0" w:color="auto"/>
          </w:divBdr>
        </w:div>
        <w:div w:id="186917505">
          <w:marLeft w:val="0"/>
          <w:marRight w:val="0"/>
          <w:marTop w:val="0"/>
          <w:marBottom w:val="0"/>
          <w:divBdr>
            <w:top w:val="none" w:sz="0" w:space="0" w:color="auto"/>
            <w:left w:val="none" w:sz="0" w:space="0" w:color="auto"/>
            <w:bottom w:val="none" w:sz="0" w:space="0" w:color="auto"/>
            <w:right w:val="none" w:sz="0" w:space="0" w:color="auto"/>
          </w:divBdr>
        </w:div>
        <w:div w:id="1074206054">
          <w:marLeft w:val="0"/>
          <w:marRight w:val="0"/>
          <w:marTop w:val="0"/>
          <w:marBottom w:val="0"/>
          <w:divBdr>
            <w:top w:val="none" w:sz="0" w:space="0" w:color="auto"/>
            <w:left w:val="none" w:sz="0" w:space="0" w:color="auto"/>
            <w:bottom w:val="none" w:sz="0" w:space="0" w:color="auto"/>
            <w:right w:val="none" w:sz="0" w:space="0" w:color="auto"/>
          </w:divBdr>
        </w:div>
        <w:div w:id="1860655310">
          <w:marLeft w:val="0"/>
          <w:marRight w:val="0"/>
          <w:marTop w:val="0"/>
          <w:marBottom w:val="0"/>
          <w:divBdr>
            <w:top w:val="none" w:sz="0" w:space="0" w:color="auto"/>
            <w:left w:val="none" w:sz="0" w:space="0" w:color="auto"/>
            <w:bottom w:val="none" w:sz="0" w:space="0" w:color="auto"/>
            <w:right w:val="none" w:sz="0" w:space="0" w:color="auto"/>
          </w:divBdr>
        </w:div>
        <w:div w:id="28996616">
          <w:marLeft w:val="0"/>
          <w:marRight w:val="0"/>
          <w:marTop w:val="0"/>
          <w:marBottom w:val="0"/>
          <w:divBdr>
            <w:top w:val="none" w:sz="0" w:space="0" w:color="auto"/>
            <w:left w:val="none" w:sz="0" w:space="0" w:color="auto"/>
            <w:bottom w:val="none" w:sz="0" w:space="0" w:color="auto"/>
            <w:right w:val="none" w:sz="0" w:space="0" w:color="auto"/>
          </w:divBdr>
        </w:div>
        <w:div w:id="2023584911">
          <w:marLeft w:val="0"/>
          <w:marRight w:val="0"/>
          <w:marTop w:val="0"/>
          <w:marBottom w:val="0"/>
          <w:divBdr>
            <w:top w:val="none" w:sz="0" w:space="0" w:color="auto"/>
            <w:left w:val="none" w:sz="0" w:space="0" w:color="auto"/>
            <w:bottom w:val="none" w:sz="0" w:space="0" w:color="auto"/>
            <w:right w:val="none" w:sz="0" w:space="0" w:color="auto"/>
          </w:divBdr>
        </w:div>
        <w:div w:id="1061250700">
          <w:marLeft w:val="0"/>
          <w:marRight w:val="0"/>
          <w:marTop w:val="0"/>
          <w:marBottom w:val="0"/>
          <w:divBdr>
            <w:top w:val="none" w:sz="0" w:space="0" w:color="auto"/>
            <w:left w:val="none" w:sz="0" w:space="0" w:color="auto"/>
            <w:bottom w:val="none" w:sz="0" w:space="0" w:color="auto"/>
            <w:right w:val="none" w:sz="0" w:space="0" w:color="auto"/>
          </w:divBdr>
        </w:div>
        <w:div w:id="832644618">
          <w:marLeft w:val="0"/>
          <w:marRight w:val="0"/>
          <w:marTop w:val="0"/>
          <w:marBottom w:val="0"/>
          <w:divBdr>
            <w:top w:val="none" w:sz="0" w:space="0" w:color="auto"/>
            <w:left w:val="none" w:sz="0" w:space="0" w:color="auto"/>
            <w:bottom w:val="none" w:sz="0" w:space="0" w:color="auto"/>
            <w:right w:val="none" w:sz="0" w:space="0" w:color="auto"/>
          </w:divBdr>
        </w:div>
        <w:div w:id="1733773192">
          <w:marLeft w:val="0"/>
          <w:marRight w:val="0"/>
          <w:marTop w:val="0"/>
          <w:marBottom w:val="0"/>
          <w:divBdr>
            <w:top w:val="none" w:sz="0" w:space="0" w:color="auto"/>
            <w:left w:val="none" w:sz="0" w:space="0" w:color="auto"/>
            <w:bottom w:val="none" w:sz="0" w:space="0" w:color="auto"/>
            <w:right w:val="none" w:sz="0" w:space="0" w:color="auto"/>
          </w:divBdr>
        </w:div>
        <w:div w:id="1177159056">
          <w:marLeft w:val="0"/>
          <w:marRight w:val="0"/>
          <w:marTop w:val="0"/>
          <w:marBottom w:val="0"/>
          <w:divBdr>
            <w:top w:val="none" w:sz="0" w:space="0" w:color="auto"/>
            <w:left w:val="none" w:sz="0" w:space="0" w:color="auto"/>
            <w:bottom w:val="none" w:sz="0" w:space="0" w:color="auto"/>
            <w:right w:val="none" w:sz="0" w:space="0" w:color="auto"/>
          </w:divBdr>
        </w:div>
        <w:div w:id="1880894952">
          <w:marLeft w:val="0"/>
          <w:marRight w:val="0"/>
          <w:marTop w:val="0"/>
          <w:marBottom w:val="0"/>
          <w:divBdr>
            <w:top w:val="none" w:sz="0" w:space="0" w:color="auto"/>
            <w:left w:val="none" w:sz="0" w:space="0" w:color="auto"/>
            <w:bottom w:val="none" w:sz="0" w:space="0" w:color="auto"/>
            <w:right w:val="none" w:sz="0" w:space="0" w:color="auto"/>
          </w:divBdr>
        </w:div>
        <w:div w:id="889800163">
          <w:marLeft w:val="0"/>
          <w:marRight w:val="0"/>
          <w:marTop w:val="0"/>
          <w:marBottom w:val="0"/>
          <w:divBdr>
            <w:top w:val="none" w:sz="0" w:space="0" w:color="auto"/>
            <w:left w:val="none" w:sz="0" w:space="0" w:color="auto"/>
            <w:bottom w:val="none" w:sz="0" w:space="0" w:color="auto"/>
            <w:right w:val="none" w:sz="0" w:space="0" w:color="auto"/>
          </w:divBdr>
        </w:div>
        <w:div w:id="722291452">
          <w:marLeft w:val="0"/>
          <w:marRight w:val="0"/>
          <w:marTop w:val="0"/>
          <w:marBottom w:val="0"/>
          <w:divBdr>
            <w:top w:val="none" w:sz="0" w:space="0" w:color="auto"/>
            <w:left w:val="none" w:sz="0" w:space="0" w:color="auto"/>
            <w:bottom w:val="none" w:sz="0" w:space="0" w:color="auto"/>
            <w:right w:val="none" w:sz="0" w:space="0" w:color="auto"/>
          </w:divBdr>
        </w:div>
        <w:div w:id="1032993095">
          <w:marLeft w:val="0"/>
          <w:marRight w:val="0"/>
          <w:marTop w:val="0"/>
          <w:marBottom w:val="0"/>
          <w:divBdr>
            <w:top w:val="none" w:sz="0" w:space="0" w:color="auto"/>
            <w:left w:val="none" w:sz="0" w:space="0" w:color="auto"/>
            <w:bottom w:val="none" w:sz="0" w:space="0" w:color="auto"/>
            <w:right w:val="none" w:sz="0" w:space="0" w:color="auto"/>
          </w:divBdr>
        </w:div>
        <w:div w:id="2008441830">
          <w:marLeft w:val="0"/>
          <w:marRight w:val="0"/>
          <w:marTop w:val="0"/>
          <w:marBottom w:val="0"/>
          <w:divBdr>
            <w:top w:val="none" w:sz="0" w:space="0" w:color="auto"/>
            <w:left w:val="none" w:sz="0" w:space="0" w:color="auto"/>
            <w:bottom w:val="none" w:sz="0" w:space="0" w:color="auto"/>
            <w:right w:val="none" w:sz="0" w:space="0" w:color="auto"/>
          </w:divBdr>
        </w:div>
        <w:div w:id="257837978">
          <w:marLeft w:val="0"/>
          <w:marRight w:val="0"/>
          <w:marTop w:val="0"/>
          <w:marBottom w:val="0"/>
          <w:divBdr>
            <w:top w:val="none" w:sz="0" w:space="0" w:color="auto"/>
            <w:left w:val="none" w:sz="0" w:space="0" w:color="auto"/>
            <w:bottom w:val="none" w:sz="0" w:space="0" w:color="auto"/>
            <w:right w:val="none" w:sz="0" w:space="0" w:color="auto"/>
          </w:divBdr>
        </w:div>
        <w:div w:id="1843468051">
          <w:marLeft w:val="0"/>
          <w:marRight w:val="0"/>
          <w:marTop w:val="0"/>
          <w:marBottom w:val="0"/>
          <w:divBdr>
            <w:top w:val="none" w:sz="0" w:space="0" w:color="auto"/>
            <w:left w:val="none" w:sz="0" w:space="0" w:color="auto"/>
            <w:bottom w:val="none" w:sz="0" w:space="0" w:color="auto"/>
            <w:right w:val="none" w:sz="0" w:space="0" w:color="auto"/>
          </w:divBdr>
        </w:div>
        <w:div w:id="806776555">
          <w:marLeft w:val="0"/>
          <w:marRight w:val="0"/>
          <w:marTop w:val="0"/>
          <w:marBottom w:val="0"/>
          <w:divBdr>
            <w:top w:val="none" w:sz="0" w:space="0" w:color="auto"/>
            <w:left w:val="none" w:sz="0" w:space="0" w:color="auto"/>
            <w:bottom w:val="none" w:sz="0" w:space="0" w:color="auto"/>
            <w:right w:val="none" w:sz="0" w:space="0" w:color="auto"/>
          </w:divBdr>
        </w:div>
        <w:div w:id="1764372724">
          <w:marLeft w:val="0"/>
          <w:marRight w:val="0"/>
          <w:marTop w:val="0"/>
          <w:marBottom w:val="0"/>
          <w:divBdr>
            <w:top w:val="none" w:sz="0" w:space="0" w:color="auto"/>
            <w:left w:val="none" w:sz="0" w:space="0" w:color="auto"/>
            <w:bottom w:val="none" w:sz="0" w:space="0" w:color="auto"/>
            <w:right w:val="none" w:sz="0" w:space="0" w:color="auto"/>
          </w:divBdr>
        </w:div>
        <w:div w:id="385229534">
          <w:marLeft w:val="0"/>
          <w:marRight w:val="0"/>
          <w:marTop w:val="0"/>
          <w:marBottom w:val="0"/>
          <w:divBdr>
            <w:top w:val="none" w:sz="0" w:space="0" w:color="auto"/>
            <w:left w:val="none" w:sz="0" w:space="0" w:color="auto"/>
            <w:bottom w:val="none" w:sz="0" w:space="0" w:color="auto"/>
            <w:right w:val="none" w:sz="0" w:space="0" w:color="auto"/>
          </w:divBdr>
        </w:div>
        <w:div w:id="1076393283">
          <w:marLeft w:val="0"/>
          <w:marRight w:val="0"/>
          <w:marTop w:val="0"/>
          <w:marBottom w:val="0"/>
          <w:divBdr>
            <w:top w:val="none" w:sz="0" w:space="0" w:color="auto"/>
            <w:left w:val="none" w:sz="0" w:space="0" w:color="auto"/>
            <w:bottom w:val="none" w:sz="0" w:space="0" w:color="auto"/>
            <w:right w:val="none" w:sz="0" w:space="0" w:color="auto"/>
          </w:divBdr>
        </w:div>
        <w:div w:id="915820441">
          <w:marLeft w:val="0"/>
          <w:marRight w:val="0"/>
          <w:marTop w:val="0"/>
          <w:marBottom w:val="0"/>
          <w:divBdr>
            <w:top w:val="none" w:sz="0" w:space="0" w:color="auto"/>
            <w:left w:val="none" w:sz="0" w:space="0" w:color="auto"/>
            <w:bottom w:val="none" w:sz="0" w:space="0" w:color="auto"/>
            <w:right w:val="none" w:sz="0" w:space="0" w:color="auto"/>
          </w:divBdr>
        </w:div>
        <w:div w:id="1160732860">
          <w:marLeft w:val="0"/>
          <w:marRight w:val="0"/>
          <w:marTop w:val="0"/>
          <w:marBottom w:val="0"/>
          <w:divBdr>
            <w:top w:val="none" w:sz="0" w:space="0" w:color="auto"/>
            <w:left w:val="none" w:sz="0" w:space="0" w:color="auto"/>
            <w:bottom w:val="none" w:sz="0" w:space="0" w:color="auto"/>
            <w:right w:val="none" w:sz="0" w:space="0" w:color="auto"/>
          </w:divBdr>
        </w:div>
        <w:div w:id="857886401">
          <w:marLeft w:val="0"/>
          <w:marRight w:val="0"/>
          <w:marTop w:val="0"/>
          <w:marBottom w:val="0"/>
          <w:divBdr>
            <w:top w:val="none" w:sz="0" w:space="0" w:color="auto"/>
            <w:left w:val="none" w:sz="0" w:space="0" w:color="auto"/>
            <w:bottom w:val="none" w:sz="0" w:space="0" w:color="auto"/>
            <w:right w:val="none" w:sz="0" w:space="0" w:color="auto"/>
          </w:divBdr>
        </w:div>
        <w:div w:id="1398476804">
          <w:marLeft w:val="0"/>
          <w:marRight w:val="0"/>
          <w:marTop w:val="0"/>
          <w:marBottom w:val="0"/>
          <w:divBdr>
            <w:top w:val="none" w:sz="0" w:space="0" w:color="auto"/>
            <w:left w:val="none" w:sz="0" w:space="0" w:color="auto"/>
            <w:bottom w:val="none" w:sz="0" w:space="0" w:color="auto"/>
            <w:right w:val="none" w:sz="0" w:space="0" w:color="auto"/>
          </w:divBdr>
        </w:div>
        <w:div w:id="2082487253">
          <w:marLeft w:val="0"/>
          <w:marRight w:val="0"/>
          <w:marTop w:val="0"/>
          <w:marBottom w:val="0"/>
          <w:divBdr>
            <w:top w:val="none" w:sz="0" w:space="0" w:color="auto"/>
            <w:left w:val="none" w:sz="0" w:space="0" w:color="auto"/>
            <w:bottom w:val="none" w:sz="0" w:space="0" w:color="auto"/>
            <w:right w:val="none" w:sz="0" w:space="0" w:color="auto"/>
          </w:divBdr>
        </w:div>
        <w:div w:id="116412163">
          <w:marLeft w:val="0"/>
          <w:marRight w:val="0"/>
          <w:marTop w:val="0"/>
          <w:marBottom w:val="0"/>
          <w:divBdr>
            <w:top w:val="none" w:sz="0" w:space="0" w:color="auto"/>
            <w:left w:val="none" w:sz="0" w:space="0" w:color="auto"/>
            <w:bottom w:val="none" w:sz="0" w:space="0" w:color="auto"/>
            <w:right w:val="none" w:sz="0" w:space="0" w:color="auto"/>
          </w:divBdr>
        </w:div>
        <w:div w:id="1438523172">
          <w:marLeft w:val="0"/>
          <w:marRight w:val="0"/>
          <w:marTop w:val="0"/>
          <w:marBottom w:val="0"/>
          <w:divBdr>
            <w:top w:val="none" w:sz="0" w:space="0" w:color="auto"/>
            <w:left w:val="none" w:sz="0" w:space="0" w:color="auto"/>
            <w:bottom w:val="none" w:sz="0" w:space="0" w:color="auto"/>
            <w:right w:val="none" w:sz="0" w:space="0" w:color="auto"/>
          </w:divBdr>
        </w:div>
        <w:div w:id="1171872747">
          <w:marLeft w:val="0"/>
          <w:marRight w:val="0"/>
          <w:marTop w:val="0"/>
          <w:marBottom w:val="0"/>
          <w:divBdr>
            <w:top w:val="none" w:sz="0" w:space="0" w:color="auto"/>
            <w:left w:val="none" w:sz="0" w:space="0" w:color="auto"/>
            <w:bottom w:val="none" w:sz="0" w:space="0" w:color="auto"/>
            <w:right w:val="none" w:sz="0" w:space="0" w:color="auto"/>
          </w:divBdr>
        </w:div>
        <w:div w:id="1881475017">
          <w:marLeft w:val="0"/>
          <w:marRight w:val="0"/>
          <w:marTop w:val="0"/>
          <w:marBottom w:val="0"/>
          <w:divBdr>
            <w:top w:val="none" w:sz="0" w:space="0" w:color="auto"/>
            <w:left w:val="none" w:sz="0" w:space="0" w:color="auto"/>
            <w:bottom w:val="none" w:sz="0" w:space="0" w:color="auto"/>
            <w:right w:val="none" w:sz="0" w:space="0" w:color="auto"/>
          </w:divBdr>
        </w:div>
        <w:div w:id="1074353678">
          <w:marLeft w:val="0"/>
          <w:marRight w:val="0"/>
          <w:marTop w:val="0"/>
          <w:marBottom w:val="0"/>
          <w:divBdr>
            <w:top w:val="none" w:sz="0" w:space="0" w:color="auto"/>
            <w:left w:val="none" w:sz="0" w:space="0" w:color="auto"/>
            <w:bottom w:val="none" w:sz="0" w:space="0" w:color="auto"/>
            <w:right w:val="none" w:sz="0" w:space="0" w:color="auto"/>
          </w:divBdr>
        </w:div>
        <w:div w:id="26833646">
          <w:marLeft w:val="0"/>
          <w:marRight w:val="0"/>
          <w:marTop w:val="0"/>
          <w:marBottom w:val="0"/>
          <w:divBdr>
            <w:top w:val="none" w:sz="0" w:space="0" w:color="auto"/>
            <w:left w:val="none" w:sz="0" w:space="0" w:color="auto"/>
            <w:bottom w:val="none" w:sz="0" w:space="0" w:color="auto"/>
            <w:right w:val="none" w:sz="0" w:space="0" w:color="auto"/>
          </w:divBdr>
        </w:div>
        <w:div w:id="1295941541">
          <w:marLeft w:val="0"/>
          <w:marRight w:val="0"/>
          <w:marTop w:val="0"/>
          <w:marBottom w:val="0"/>
          <w:divBdr>
            <w:top w:val="none" w:sz="0" w:space="0" w:color="auto"/>
            <w:left w:val="none" w:sz="0" w:space="0" w:color="auto"/>
            <w:bottom w:val="none" w:sz="0" w:space="0" w:color="auto"/>
            <w:right w:val="none" w:sz="0" w:space="0" w:color="auto"/>
          </w:divBdr>
        </w:div>
        <w:div w:id="264654284">
          <w:marLeft w:val="0"/>
          <w:marRight w:val="0"/>
          <w:marTop w:val="0"/>
          <w:marBottom w:val="0"/>
          <w:divBdr>
            <w:top w:val="none" w:sz="0" w:space="0" w:color="auto"/>
            <w:left w:val="none" w:sz="0" w:space="0" w:color="auto"/>
            <w:bottom w:val="none" w:sz="0" w:space="0" w:color="auto"/>
            <w:right w:val="none" w:sz="0" w:space="0" w:color="auto"/>
          </w:divBdr>
        </w:div>
      </w:divsChild>
    </w:div>
    <w:div w:id="1021398030">
      <w:bodyDiv w:val="1"/>
      <w:marLeft w:val="0"/>
      <w:marRight w:val="0"/>
      <w:marTop w:val="0"/>
      <w:marBottom w:val="0"/>
      <w:divBdr>
        <w:top w:val="none" w:sz="0" w:space="0" w:color="auto"/>
        <w:left w:val="none" w:sz="0" w:space="0" w:color="auto"/>
        <w:bottom w:val="none" w:sz="0" w:space="0" w:color="auto"/>
        <w:right w:val="none" w:sz="0" w:space="0" w:color="auto"/>
      </w:divBdr>
      <w:divsChild>
        <w:div w:id="454762327">
          <w:marLeft w:val="0"/>
          <w:marRight w:val="0"/>
          <w:marTop w:val="0"/>
          <w:marBottom w:val="0"/>
          <w:divBdr>
            <w:top w:val="none" w:sz="0" w:space="0" w:color="auto"/>
            <w:left w:val="none" w:sz="0" w:space="0" w:color="auto"/>
            <w:bottom w:val="none" w:sz="0" w:space="0" w:color="auto"/>
            <w:right w:val="none" w:sz="0" w:space="0" w:color="auto"/>
          </w:divBdr>
        </w:div>
        <w:div w:id="1627390213">
          <w:marLeft w:val="0"/>
          <w:marRight w:val="0"/>
          <w:marTop w:val="0"/>
          <w:marBottom w:val="0"/>
          <w:divBdr>
            <w:top w:val="none" w:sz="0" w:space="0" w:color="auto"/>
            <w:left w:val="none" w:sz="0" w:space="0" w:color="auto"/>
            <w:bottom w:val="none" w:sz="0" w:space="0" w:color="auto"/>
            <w:right w:val="none" w:sz="0" w:space="0" w:color="auto"/>
          </w:divBdr>
        </w:div>
        <w:div w:id="931277269">
          <w:marLeft w:val="0"/>
          <w:marRight w:val="0"/>
          <w:marTop w:val="0"/>
          <w:marBottom w:val="0"/>
          <w:divBdr>
            <w:top w:val="none" w:sz="0" w:space="0" w:color="auto"/>
            <w:left w:val="none" w:sz="0" w:space="0" w:color="auto"/>
            <w:bottom w:val="none" w:sz="0" w:space="0" w:color="auto"/>
            <w:right w:val="none" w:sz="0" w:space="0" w:color="auto"/>
          </w:divBdr>
        </w:div>
        <w:div w:id="1914704844">
          <w:marLeft w:val="0"/>
          <w:marRight w:val="0"/>
          <w:marTop w:val="0"/>
          <w:marBottom w:val="0"/>
          <w:divBdr>
            <w:top w:val="none" w:sz="0" w:space="0" w:color="auto"/>
            <w:left w:val="none" w:sz="0" w:space="0" w:color="auto"/>
            <w:bottom w:val="none" w:sz="0" w:space="0" w:color="auto"/>
            <w:right w:val="none" w:sz="0" w:space="0" w:color="auto"/>
          </w:divBdr>
        </w:div>
        <w:div w:id="169027037">
          <w:marLeft w:val="0"/>
          <w:marRight w:val="0"/>
          <w:marTop w:val="0"/>
          <w:marBottom w:val="0"/>
          <w:divBdr>
            <w:top w:val="none" w:sz="0" w:space="0" w:color="auto"/>
            <w:left w:val="none" w:sz="0" w:space="0" w:color="auto"/>
            <w:bottom w:val="none" w:sz="0" w:space="0" w:color="auto"/>
            <w:right w:val="none" w:sz="0" w:space="0" w:color="auto"/>
          </w:divBdr>
        </w:div>
        <w:div w:id="335109293">
          <w:marLeft w:val="0"/>
          <w:marRight w:val="0"/>
          <w:marTop w:val="0"/>
          <w:marBottom w:val="0"/>
          <w:divBdr>
            <w:top w:val="none" w:sz="0" w:space="0" w:color="auto"/>
            <w:left w:val="none" w:sz="0" w:space="0" w:color="auto"/>
            <w:bottom w:val="none" w:sz="0" w:space="0" w:color="auto"/>
            <w:right w:val="none" w:sz="0" w:space="0" w:color="auto"/>
          </w:divBdr>
        </w:div>
        <w:div w:id="2091466895">
          <w:marLeft w:val="0"/>
          <w:marRight w:val="0"/>
          <w:marTop w:val="0"/>
          <w:marBottom w:val="0"/>
          <w:divBdr>
            <w:top w:val="none" w:sz="0" w:space="0" w:color="auto"/>
            <w:left w:val="none" w:sz="0" w:space="0" w:color="auto"/>
            <w:bottom w:val="none" w:sz="0" w:space="0" w:color="auto"/>
            <w:right w:val="none" w:sz="0" w:space="0" w:color="auto"/>
          </w:divBdr>
        </w:div>
        <w:div w:id="935746022">
          <w:marLeft w:val="0"/>
          <w:marRight w:val="0"/>
          <w:marTop w:val="0"/>
          <w:marBottom w:val="0"/>
          <w:divBdr>
            <w:top w:val="none" w:sz="0" w:space="0" w:color="auto"/>
            <w:left w:val="none" w:sz="0" w:space="0" w:color="auto"/>
            <w:bottom w:val="none" w:sz="0" w:space="0" w:color="auto"/>
            <w:right w:val="none" w:sz="0" w:space="0" w:color="auto"/>
          </w:divBdr>
        </w:div>
        <w:div w:id="1851487224">
          <w:marLeft w:val="0"/>
          <w:marRight w:val="0"/>
          <w:marTop w:val="0"/>
          <w:marBottom w:val="0"/>
          <w:divBdr>
            <w:top w:val="none" w:sz="0" w:space="0" w:color="auto"/>
            <w:left w:val="none" w:sz="0" w:space="0" w:color="auto"/>
            <w:bottom w:val="none" w:sz="0" w:space="0" w:color="auto"/>
            <w:right w:val="none" w:sz="0" w:space="0" w:color="auto"/>
          </w:divBdr>
        </w:div>
        <w:div w:id="184367342">
          <w:marLeft w:val="0"/>
          <w:marRight w:val="0"/>
          <w:marTop w:val="0"/>
          <w:marBottom w:val="0"/>
          <w:divBdr>
            <w:top w:val="none" w:sz="0" w:space="0" w:color="auto"/>
            <w:left w:val="none" w:sz="0" w:space="0" w:color="auto"/>
            <w:bottom w:val="none" w:sz="0" w:space="0" w:color="auto"/>
            <w:right w:val="none" w:sz="0" w:space="0" w:color="auto"/>
          </w:divBdr>
        </w:div>
        <w:div w:id="623387921">
          <w:marLeft w:val="0"/>
          <w:marRight w:val="0"/>
          <w:marTop w:val="0"/>
          <w:marBottom w:val="0"/>
          <w:divBdr>
            <w:top w:val="none" w:sz="0" w:space="0" w:color="auto"/>
            <w:left w:val="none" w:sz="0" w:space="0" w:color="auto"/>
            <w:bottom w:val="none" w:sz="0" w:space="0" w:color="auto"/>
            <w:right w:val="none" w:sz="0" w:space="0" w:color="auto"/>
          </w:divBdr>
        </w:div>
        <w:div w:id="582449711">
          <w:marLeft w:val="0"/>
          <w:marRight w:val="0"/>
          <w:marTop w:val="0"/>
          <w:marBottom w:val="0"/>
          <w:divBdr>
            <w:top w:val="none" w:sz="0" w:space="0" w:color="auto"/>
            <w:left w:val="none" w:sz="0" w:space="0" w:color="auto"/>
            <w:bottom w:val="none" w:sz="0" w:space="0" w:color="auto"/>
            <w:right w:val="none" w:sz="0" w:space="0" w:color="auto"/>
          </w:divBdr>
        </w:div>
        <w:div w:id="241987030">
          <w:marLeft w:val="0"/>
          <w:marRight w:val="0"/>
          <w:marTop w:val="0"/>
          <w:marBottom w:val="0"/>
          <w:divBdr>
            <w:top w:val="none" w:sz="0" w:space="0" w:color="auto"/>
            <w:left w:val="none" w:sz="0" w:space="0" w:color="auto"/>
            <w:bottom w:val="none" w:sz="0" w:space="0" w:color="auto"/>
            <w:right w:val="none" w:sz="0" w:space="0" w:color="auto"/>
          </w:divBdr>
        </w:div>
        <w:div w:id="1265842076">
          <w:marLeft w:val="0"/>
          <w:marRight w:val="0"/>
          <w:marTop w:val="0"/>
          <w:marBottom w:val="0"/>
          <w:divBdr>
            <w:top w:val="none" w:sz="0" w:space="0" w:color="auto"/>
            <w:left w:val="none" w:sz="0" w:space="0" w:color="auto"/>
            <w:bottom w:val="none" w:sz="0" w:space="0" w:color="auto"/>
            <w:right w:val="none" w:sz="0" w:space="0" w:color="auto"/>
          </w:divBdr>
        </w:div>
        <w:div w:id="1655454002">
          <w:marLeft w:val="0"/>
          <w:marRight w:val="0"/>
          <w:marTop w:val="0"/>
          <w:marBottom w:val="0"/>
          <w:divBdr>
            <w:top w:val="none" w:sz="0" w:space="0" w:color="auto"/>
            <w:left w:val="none" w:sz="0" w:space="0" w:color="auto"/>
            <w:bottom w:val="none" w:sz="0" w:space="0" w:color="auto"/>
            <w:right w:val="none" w:sz="0" w:space="0" w:color="auto"/>
          </w:divBdr>
        </w:div>
        <w:div w:id="988943168">
          <w:marLeft w:val="0"/>
          <w:marRight w:val="0"/>
          <w:marTop w:val="0"/>
          <w:marBottom w:val="0"/>
          <w:divBdr>
            <w:top w:val="none" w:sz="0" w:space="0" w:color="auto"/>
            <w:left w:val="none" w:sz="0" w:space="0" w:color="auto"/>
            <w:bottom w:val="none" w:sz="0" w:space="0" w:color="auto"/>
            <w:right w:val="none" w:sz="0" w:space="0" w:color="auto"/>
          </w:divBdr>
        </w:div>
        <w:div w:id="2108696784">
          <w:marLeft w:val="0"/>
          <w:marRight w:val="0"/>
          <w:marTop w:val="0"/>
          <w:marBottom w:val="0"/>
          <w:divBdr>
            <w:top w:val="none" w:sz="0" w:space="0" w:color="auto"/>
            <w:left w:val="none" w:sz="0" w:space="0" w:color="auto"/>
            <w:bottom w:val="none" w:sz="0" w:space="0" w:color="auto"/>
            <w:right w:val="none" w:sz="0" w:space="0" w:color="auto"/>
          </w:divBdr>
        </w:div>
        <w:div w:id="1449078916">
          <w:marLeft w:val="0"/>
          <w:marRight w:val="0"/>
          <w:marTop w:val="0"/>
          <w:marBottom w:val="0"/>
          <w:divBdr>
            <w:top w:val="none" w:sz="0" w:space="0" w:color="auto"/>
            <w:left w:val="none" w:sz="0" w:space="0" w:color="auto"/>
            <w:bottom w:val="none" w:sz="0" w:space="0" w:color="auto"/>
            <w:right w:val="none" w:sz="0" w:space="0" w:color="auto"/>
          </w:divBdr>
        </w:div>
        <w:div w:id="1278952740">
          <w:marLeft w:val="0"/>
          <w:marRight w:val="0"/>
          <w:marTop w:val="0"/>
          <w:marBottom w:val="0"/>
          <w:divBdr>
            <w:top w:val="none" w:sz="0" w:space="0" w:color="auto"/>
            <w:left w:val="none" w:sz="0" w:space="0" w:color="auto"/>
            <w:bottom w:val="none" w:sz="0" w:space="0" w:color="auto"/>
            <w:right w:val="none" w:sz="0" w:space="0" w:color="auto"/>
          </w:divBdr>
        </w:div>
        <w:div w:id="306478700">
          <w:marLeft w:val="0"/>
          <w:marRight w:val="0"/>
          <w:marTop w:val="0"/>
          <w:marBottom w:val="0"/>
          <w:divBdr>
            <w:top w:val="none" w:sz="0" w:space="0" w:color="auto"/>
            <w:left w:val="none" w:sz="0" w:space="0" w:color="auto"/>
            <w:bottom w:val="none" w:sz="0" w:space="0" w:color="auto"/>
            <w:right w:val="none" w:sz="0" w:space="0" w:color="auto"/>
          </w:divBdr>
        </w:div>
        <w:div w:id="445976250">
          <w:marLeft w:val="0"/>
          <w:marRight w:val="0"/>
          <w:marTop w:val="0"/>
          <w:marBottom w:val="0"/>
          <w:divBdr>
            <w:top w:val="none" w:sz="0" w:space="0" w:color="auto"/>
            <w:left w:val="none" w:sz="0" w:space="0" w:color="auto"/>
            <w:bottom w:val="none" w:sz="0" w:space="0" w:color="auto"/>
            <w:right w:val="none" w:sz="0" w:space="0" w:color="auto"/>
          </w:divBdr>
        </w:div>
        <w:div w:id="2001736257">
          <w:marLeft w:val="0"/>
          <w:marRight w:val="0"/>
          <w:marTop w:val="0"/>
          <w:marBottom w:val="0"/>
          <w:divBdr>
            <w:top w:val="none" w:sz="0" w:space="0" w:color="auto"/>
            <w:left w:val="none" w:sz="0" w:space="0" w:color="auto"/>
            <w:bottom w:val="none" w:sz="0" w:space="0" w:color="auto"/>
            <w:right w:val="none" w:sz="0" w:space="0" w:color="auto"/>
          </w:divBdr>
        </w:div>
        <w:div w:id="1732997131">
          <w:marLeft w:val="0"/>
          <w:marRight w:val="0"/>
          <w:marTop w:val="0"/>
          <w:marBottom w:val="0"/>
          <w:divBdr>
            <w:top w:val="none" w:sz="0" w:space="0" w:color="auto"/>
            <w:left w:val="none" w:sz="0" w:space="0" w:color="auto"/>
            <w:bottom w:val="none" w:sz="0" w:space="0" w:color="auto"/>
            <w:right w:val="none" w:sz="0" w:space="0" w:color="auto"/>
          </w:divBdr>
        </w:div>
        <w:div w:id="100029388">
          <w:marLeft w:val="0"/>
          <w:marRight w:val="0"/>
          <w:marTop w:val="0"/>
          <w:marBottom w:val="0"/>
          <w:divBdr>
            <w:top w:val="none" w:sz="0" w:space="0" w:color="auto"/>
            <w:left w:val="none" w:sz="0" w:space="0" w:color="auto"/>
            <w:bottom w:val="none" w:sz="0" w:space="0" w:color="auto"/>
            <w:right w:val="none" w:sz="0" w:space="0" w:color="auto"/>
          </w:divBdr>
        </w:div>
        <w:div w:id="1519613245">
          <w:marLeft w:val="0"/>
          <w:marRight w:val="0"/>
          <w:marTop w:val="0"/>
          <w:marBottom w:val="0"/>
          <w:divBdr>
            <w:top w:val="none" w:sz="0" w:space="0" w:color="auto"/>
            <w:left w:val="none" w:sz="0" w:space="0" w:color="auto"/>
            <w:bottom w:val="none" w:sz="0" w:space="0" w:color="auto"/>
            <w:right w:val="none" w:sz="0" w:space="0" w:color="auto"/>
          </w:divBdr>
        </w:div>
        <w:div w:id="1192112151">
          <w:marLeft w:val="0"/>
          <w:marRight w:val="0"/>
          <w:marTop w:val="0"/>
          <w:marBottom w:val="0"/>
          <w:divBdr>
            <w:top w:val="none" w:sz="0" w:space="0" w:color="auto"/>
            <w:left w:val="none" w:sz="0" w:space="0" w:color="auto"/>
            <w:bottom w:val="none" w:sz="0" w:space="0" w:color="auto"/>
            <w:right w:val="none" w:sz="0" w:space="0" w:color="auto"/>
          </w:divBdr>
        </w:div>
        <w:div w:id="176314595">
          <w:marLeft w:val="0"/>
          <w:marRight w:val="0"/>
          <w:marTop w:val="0"/>
          <w:marBottom w:val="0"/>
          <w:divBdr>
            <w:top w:val="none" w:sz="0" w:space="0" w:color="auto"/>
            <w:left w:val="none" w:sz="0" w:space="0" w:color="auto"/>
            <w:bottom w:val="none" w:sz="0" w:space="0" w:color="auto"/>
            <w:right w:val="none" w:sz="0" w:space="0" w:color="auto"/>
          </w:divBdr>
        </w:div>
        <w:div w:id="254552832">
          <w:marLeft w:val="0"/>
          <w:marRight w:val="0"/>
          <w:marTop w:val="0"/>
          <w:marBottom w:val="0"/>
          <w:divBdr>
            <w:top w:val="none" w:sz="0" w:space="0" w:color="auto"/>
            <w:left w:val="none" w:sz="0" w:space="0" w:color="auto"/>
            <w:bottom w:val="none" w:sz="0" w:space="0" w:color="auto"/>
            <w:right w:val="none" w:sz="0" w:space="0" w:color="auto"/>
          </w:divBdr>
        </w:div>
        <w:div w:id="646016498">
          <w:marLeft w:val="0"/>
          <w:marRight w:val="0"/>
          <w:marTop w:val="0"/>
          <w:marBottom w:val="0"/>
          <w:divBdr>
            <w:top w:val="none" w:sz="0" w:space="0" w:color="auto"/>
            <w:left w:val="none" w:sz="0" w:space="0" w:color="auto"/>
            <w:bottom w:val="none" w:sz="0" w:space="0" w:color="auto"/>
            <w:right w:val="none" w:sz="0" w:space="0" w:color="auto"/>
          </w:divBdr>
        </w:div>
        <w:div w:id="159582888">
          <w:marLeft w:val="0"/>
          <w:marRight w:val="0"/>
          <w:marTop w:val="0"/>
          <w:marBottom w:val="0"/>
          <w:divBdr>
            <w:top w:val="none" w:sz="0" w:space="0" w:color="auto"/>
            <w:left w:val="none" w:sz="0" w:space="0" w:color="auto"/>
            <w:bottom w:val="none" w:sz="0" w:space="0" w:color="auto"/>
            <w:right w:val="none" w:sz="0" w:space="0" w:color="auto"/>
          </w:divBdr>
        </w:div>
        <w:div w:id="1722630844">
          <w:marLeft w:val="0"/>
          <w:marRight w:val="0"/>
          <w:marTop w:val="0"/>
          <w:marBottom w:val="0"/>
          <w:divBdr>
            <w:top w:val="none" w:sz="0" w:space="0" w:color="auto"/>
            <w:left w:val="none" w:sz="0" w:space="0" w:color="auto"/>
            <w:bottom w:val="none" w:sz="0" w:space="0" w:color="auto"/>
            <w:right w:val="none" w:sz="0" w:space="0" w:color="auto"/>
          </w:divBdr>
        </w:div>
        <w:div w:id="1282030522">
          <w:marLeft w:val="0"/>
          <w:marRight w:val="0"/>
          <w:marTop w:val="0"/>
          <w:marBottom w:val="0"/>
          <w:divBdr>
            <w:top w:val="none" w:sz="0" w:space="0" w:color="auto"/>
            <w:left w:val="none" w:sz="0" w:space="0" w:color="auto"/>
            <w:bottom w:val="none" w:sz="0" w:space="0" w:color="auto"/>
            <w:right w:val="none" w:sz="0" w:space="0" w:color="auto"/>
          </w:divBdr>
        </w:div>
        <w:div w:id="1582716845">
          <w:marLeft w:val="0"/>
          <w:marRight w:val="0"/>
          <w:marTop w:val="0"/>
          <w:marBottom w:val="0"/>
          <w:divBdr>
            <w:top w:val="none" w:sz="0" w:space="0" w:color="auto"/>
            <w:left w:val="none" w:sz="0" w:space="0" w:color="auto"/>
            <w:bottom w:val="none" w:sz="0" w:space="0" w:color="auto"/>
            <w:right w:val="none" w:sz="0" w:space="0" w:color="auto"/>
          </w:divBdr>
        </w:div>
        <w:div w:id="473909258">
          <w:marLeft w:val="0"/>
          <w:marRight w:val="0"/>
          <w:marTop w:val="0"/>
          <w:marBottom w:val="0"/>
          <w:divBdr>
            <w:top w:val="none" w:sz="0" w:space="0" w:color="auto"/>
            <w:left w:val="none" w:sz="0" w:space="0" w:color="auto"/>
            <w:bottom w:val="none" w:sz="0" w:space="0" w:color="auto"/>
            <w:right w:val="none" w:sz="0" w:space="0" w:color="auto"/>
          </w:divBdr>
        </w:div>
        <w:div w:id="1204633180">
          <w:marLeft w:val="0"/>
          <w:marRight w:val="0"/>
          <w:marTop w:val="0"/>
          <w:marBottom w:val="0"/>
          <w:divBdr>
            <w:top w:val="none" w:sz="0" w:space="0" w:color="auto"/>
            <w:left w:val="none" w:sz="0" w:space="0" w:color="auto"/>
            <w:bottom w:val="none" w:sz="0" w:space="0" w:color="auto"/>
            <w:right w:val="none" w:sz="0" w:space="0" w:color="auto"/>
          </w:divBdr>
        </w:div>
        <w:div w:id="1626497696">
          <w:marLeft w:val="0"/>
          <w:marRight w:val="0"/>
          <w:marTop w:val="0"/>
          <w:marBottom w:val="0"/>
          <w:divBdr>
            <w:top w:val="none" w:sz="0" w:space="0" w:color="auto"/>
            <w:left w:val="none" w:sz="0" w:space="0" w:color="auto"/>
            <w:bottom w:val="none" w:sz="0" w:space="0" w:color="auto"/>
            <w:right w:val="none" w:sz="0" w:space="0" w:color="auto"/>
          </w:divBdr>
        </w:div>
        <w:div w:id="846797547">
          <w:marLeft w:val="0"/>
          <w:marRight w:val="0"/>
          <w:marTop w:val="0"/>
          <w:marBottom w:val="0"/>
          <w:divBdr>
            <w:top w:val="none" w:sz="0" w:space="0" w:color="auto"/>
            <w:left w:val="none" w:sz="0" w:space="0" w:color="auto"/>
            <w:bottom w:val="none" w:sz="0" w:space="0" w:color="auto"/>
            <w:right w:val="none" w:sz="0" w:space="0" w:color="auto"/>
          </w:divBdr>
        </w:div>
        <w:div w:id="930622531">
          <w:marLeft w:val="0"/>
          <w:marRight w:val="0"/>
          <w:marTop w:val="0"/>
          <w:marBottom w:val="0"/>
          <w:divBdr>
            <w:top w:val="none" w:sz="0" w:space="0" w:color="auto"/>
            <w:left w:val="none" w:sz="0" w:space="0" w:color="auto"/>
            <w:bottom w:val="none" w:sz="0" w:space="0" w:color="auto"/>
            <w:right w:val="none" w:sz="0" w:space="0" w:color="auto"/>
          </w:divBdr>
        </w:div>
        <w:div w:id="361244078">
          <w:marLeft w:val="0"/>
          <w:marRight w:val="0"/>
          <w:marTop w:val="0"/>
          <w:marBottom w:val="0"/>
          <w:divBdr>
            <w:top w:val="none" w:sz="0" w:space="0" w:color="auto"/>
            <w:left w:val="none" w:sz="0" w:space="0" w:color="auto"/>
            <w:bottom w:val="none" w:sz="0" w:space="0" w:color="auto"/>
            <w:right w:val="none" w:sz="0" w:space="0" w:color="auto"/>
          </w:divBdr>
        </w:div>
        <w:div w:id="517819355">
          <w:marLeft w:val="0"/>
          <w:marRight w:val="0"/>
          <w:marTop w:val="0"/>
          <w:marBottom w:val="0"/>
          <w:divBdr>
            <w:top w:val="none" w:sz="0" w:space="0" w:color="auto"/>
            <w:left w:val="none" w:sz="0" w:space="0" w:color="auto"/>
            <w:bottom w:val="none" w:sz="0" w:space="0" w:color="auto"/>
            <w:right w:val="none" w:sz="0" w:space="0" w:color="auto"/>
          </w:divBdr>
        </w:div>
        <w:div w:id="755055674">
          <w:marLeft w:val="0"/>
          <w:marRight w:val="0"/>
          <w:marTop w:val="0"/>
          <w:marBottom w:val="0"/>
          <w:divBdr>
            <w:top w:val="none" w:sz="0" w:space="0" w:color="auto"/>
            <w:left w:val="none" w:sz="0" w:space="0" w:color="auto"/>
            <w:bottom w:val="none" w:sz="0" w:space="0" w:color="auto"/>
            <w:right w:val="none" w:sz="0" w:space="0" w:color="auto"/>
          </w:divBdr>
        </w:div>
        <w:div w:id="428042259">
          <w:marLeft w:val="0"/>
          <w:marRight w:val="0"/>
          <w:marTop w:val="0"/>
          <w:marBottom w:val="0"/>
          <w:divBdr>
            <w:top w:val="none" w:sz="0" w:space="0" w:color="auto"/>
            <w:left w:val="none" w:sz="0" w:space="0" w:color="auto"/>
            <w:bottom w:val="none" w:sz="0" w:space="0" w:color="auto"/>
            <w:right w:val="none" w:sz="0" w:space="0" w:color="auto"/>
          </w:divBdr>
        </w:div>
      </w:divsChild>
    </w:div>
    <w:div w:id="1145465765">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25973384">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1878931796">
      <w:bodyDiv w:val="1"/>
      <w:marLeft w:val="0"/>
      <w:marRight w:val="0"/>
      <w:marTop w:val="0"/>
      <w:marBottom w:val="0"/>
      <w:divBdr>
        <w:top w:val="none" w:sz="0" w:space="0" w:color="auto"/>
        <w:left w:val="none" w:sz="0" w:space="0" w:color="auto"/>
        <w:bottom w:val="none" w:sz="0" w:space="0" w:color="auto"/>
        <w:right w:val="none" w:sz="0" w:space="0" w:color="auto"/>
      </w:divBdr>
    </w:div>
    <w:div w:id="2037194999">
      <w:bodyDiv w:val="1"/>
      <w:marLeft w:val="0"/>
      <w:marRight w:val="0"/>
      <w:marTop w:val="0"/>
      <w:marBottom w:val="0"/>
      <w:divBdr>
        <w:top w:val="none" w:sz="0" w:space="0" w:color="auto"/>
        <w:left w:val="none" w:sz="0" w:space="0" w:color="auto"/>
        <w:bottom w:val="none" w:sz="0" w:space="0" w:color="auto"/>
        <w:right w:val="none" w:sz="0" w:space="0" w:color="auto"/>
      </w:divBdr>
    </w:div>
    <w:div w:id="20411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03F9-5822-4038-8EEF-3D29071F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4071</Words>
  <Characters>24432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28</cp:revision>
  <cp:lastPrinted>2015-11-05T11:07:00Z</cp:lastPrinted>
  <dcterms:created xsi:type="dcterms:W3CDTF">2015-11-16T08:22:00Z</dcterms:created>
  <dcterms:modified xsi:type="dcterms:W3CDTF">2015-12-18T12:43:00Z</dcterms:modified>
</cp:coreProperties>
</file>