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3278B8" w:rsidRDefault="003278B8" w:rsidP="00863524">
      <w:pPr>
        <w:pStyle w:val="Nagwek"/>
        <w:spacing w:before="120" w:after="120"/>
        <w:jc w:val="center"/>
        <w:rPr>
          <w:rFonts w:cs="Arial"/>
          <w:b/>
          <w:sz w:val="32"/>
          <w:szCs w:val="32"/>
        </w:rPr>
      </w:pPr>
    </w:p>
    <w:p w:rsidR="003278B8" w:rsidRDefault="003278B8" w:rsidP="003278B8">
      <w:pPr>
        <w:pStyle w:val="Nagwek"/>
        <w:spacing w:before="120" w:after="120"/>
        <w:jc w:val="center"/>
      </w:pPr>
      <w:r>
        <w:rPr>
          <w:b/>
          <w:sz w:val="32"/>
          <w:szCs w:val="32"/>
        </w:rPr>
        <w:t>(E-usługi i otwarte zasoby publiczne)</w:t>
      </w:r>
      <w:bookmarkStart w:id="2" w:name="_GoBack"/>
    </w:p>
    <w:bookmarkEnd w:id="0"/>
    <w:bookmarkEnd w:id="1"/>
    <w:p w:rsidR="00E873C4" w:rsidRDefault="00E873C4" w:rsidP="00E873C4">
      <w:pPr>
        <w:tabs>
          <w:tab w:val="left" w:pos="2835"/>
        </w:tabs>
      </w:pPr>
    </w:p>
    <w:bookmarkEnd w:id="2"/>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RPDS.02.01.01-IZ.00-02-044/15</w:t>
      </w:r>
    </w:p>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81560B">
        <w:rPr>
          <w:sz w:val="28"/>
          <w:szCs w:val="28"/>
        </w:rPr>
        <w:t>luty</w:t>
      </w:r>
      <w:r w:rsidR="0081560B" w:rsidRPr="00E873C4">
        <w:rPr>
          <w:sz w:val="28"/>
          <w:szCs w:val="28"/>
        </w:rPr>
        <w:t xml:space="preserve"> </w:t>
      </w:r>
      <w:r w:rsidR="006E2672" w:rsidRPr="00E873C4">
        <w:rPr>
          <w:sz w:val="28"/>
          <w:szCs w:val="28"/>
        </w:rPr>
        <w:t>201</w:t>
      </w:r>
      <w:r w:rsidR="006E2672">
        <w:rPr>
          <w:sz w:val="28"/>
          <w:szCs w:val="28"/>
        </w:rPr>
        <w:t>6</w:t>
      </w:r>
      <w:r w:rsidR="006E2672"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5C8A" w:rsidRDefault="008F4AAF" w:rsidP="008F4AAF">
            <w:pPr>
              <w:autoSpaceDE w:val="0"/>
              <w:autoSpaceDN w:val="0"/>
              <w:adjustRightInd w:val="0"/>
              <w:spacing w:after="0" w:line="240" w:lineRule="auto"/>
              <w:rPr>
                <w:rFonts w:ascii="Calibri" w:hAnsi="Calibri" w:cs="Calibri"/>
              </w:rPr>
            </w:pPr>
            <w:r w:rsidRPr="00855C8A">
              <w:rPr>
                <w:rFonts w:ascii="Calibri" w:hAnsi="Calibri" w:cs="Calibri"/>
              </w:rPr>
              <w:t xml:space="preserve">Dyrektywa OOŚ </w:t>
            </w:r>
          </w:p>
        </w:tc>
        <w:tc>
          <w:tcPr>
            <w:tcW w:w="7796" w:type="dxa"/>
          </w:tcPr>
          <w:p w:rsidR="008F4AAF" w:rsidRPr="00855C8A" w:rsidRDefault="008F4AAF" w:rsidP="007B7525">
            <w:pPr>
              <w:autoSpaceDE w:val="0"/>
              <w:autoSpaceDN w:val="0"/>
              <w:adjustRightInd w:val="0"/>
              <w:spacing w:after="0" w:line="240" w:lineRule="auto"/>
              <w:jc w:val="both"/>
              <w:rPr>
                <w:rFonts w:ascii="Calibri" w:hAnsi="Calibri" w:cs="Calibri"/>
              </w:rPr>
            </w:pPr>
            <w:r w:rsidRPr="00855C8A">
              <w:rPr>
                <w:rFonts w:ascii="Calibri" w:hAnsi="Calibri" w:cs="Calibri"/>
              </w:rPr>
              <w:t xml:space="preserve">Dyrektywa Parlamentu Europejskiego i Rady 2011/92/WE z dnia 13 grudnia 2011 r. w sprawie oceny skutków wywieranych przez niektóre przedsięwzięcia publiczne </w:t>
            </w:r>
            <w:r w:rsidR="00634D48" w:rsidRPr="00855C8A">
              <w:rPr>
                <w:rFonts w:ascii="Calibri" w:hAnsi="Calibri" w:cs="Calibri"/>
              </w:rPr>
              <w:br/>
            </w:r>
            <w:r w:rsidRPr="00855C8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0687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182231" w:rsidP="003A06E1">
            <w:pPr>
              <w:autoSpaceDE w:val="0"/>
              <w:autoSpaceDN w:val="0"/>
              <w:adjustRightInd w:val="0"/>
              <w:spacing w:after="0" w:line="240" w:lineRule="auto"/>
              <w:rPr>
                <w:rFonts w:ascii="Calibri" w:hAnsi="Calibri" w:cs="Calibri"/>
                <w:color w:val="000000"/>
              </w:rPr>
            </w:pPr>
            <w:r>
              <w:rPr>
                <w:rFonts w:ascii="Calibri" w:hAnsi="Calibri" w:cs="Calibri"/>
                <w:color w:val="000000"/>
              </w:rPr>
              <w:t>PO</w:t>
            </w:r>
            <w:r w:rsidR="003A06E1">
              <w:rPr>
                <w:rFonts w:ascii="Calibri" w:hAnsi="Calibri" w:cs="Calibri"/>
                <w:color w:val="000000"/>
              </w:rPr>
              <w:t xml:space="preserve"> PC</w:t>
            </w:r>
          </w:p>
        </w:tc>
        <w:tc>
          <w:tcPr>
            <w:tcW w:w="7796" w:type="dxa"/>
          </w:tcPr>
          <w:p w:rsidR="00182231" w:rsidRPr="008F4AAF" w:rsidRDefault="00182231" w:rsidP="003A06E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3A06E1">
              <w:t xml:space="preserve"> </w:t>
            </w:r>
            <w:r w:rsidR="003A06E1" w:rsidRPr="003A06E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55C8A" w:rsidRDefault="00435B86" w:rsidP="00435B86">
            <w:pPr>
              <w:autoSpaceDE w:val="0"/>
              <w:autoSpaceDN w:val="0"/>
              <w:adjustRightInd w:val="0"/>
              <w:spacing w:after="0" w:line="240" w:lineRule="auto"/>
              <w:rPr>
                <w:rFonts w:ascii="Calibri" w:hAnsi="Calibri" w:cs="Calibri"/>
              </w:rPr>
            </w:pPr>
            <w:proofErr w:type="spellStart"/>
            <w:r w:rsidRPr="00855C8A">
              <w:rPr>
                <w:rFonts w:ascii="Calibri" w:hAnsi="Calibri" w:cs="Calibri"/>
              </w:rPr>
              <w:t>Uooś</w:t>
            </w:r>
            <w:proofErr w:type="spellEnd"/>
            <w:r w:rsidRPr="00855C8A">
              <w:rPr>
                <w:rFonts w:ascii="Calibri" w:hAnsi="Calibri" w:cs="Calibri"/>
              </w:rPr>
              <w:t xml:space="preserve"> </w:t>
            </w:r>
          </w:p>
        </w:tc>
        <w:tc>
          <w:tcPr>
            <w:tcW w:w="7796" w:type="dxa"/>
          </w:tcPr>
          <w:p w:rsidR="00435B86" w:rsidRPr="00855C8A" w:rsidRDefault="00435B86" w:rsidP="00435B86">
            <w:pPr>
              <w:autoSpaceDE w:val="0"/>
              <w:autoSpaceDN w:val="0"/>
              <w:adjustRightInd w:val="0"/>
              <w:spacing w:after="0" w:line="240" w:lineRule="auto"/>
              <w:jc w:val="both"/>
              <w:rPr>
                <w:rFonts w:ascii="Calibri" w:hAnsi="Calibri" w:cs="Calibri"/>
              </w:rPr>
            </w:pPr>
            <w:r w:rsidRPr="00855C8A">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0F1AC2">
              <w:rPr>
                <w:rFonts w:asciiTheme="minorHAnsi" w:hAnsiTheme="minorHAnsi"/>
                <w:sz w:val="22"/>
                <w:szCs w:val="22"/>
              </w:rPr>
              <w:t>Regulamin konkursu</w:t>
            </w:r>
            <w:bookmarkEnd w:id="3"/>
            <w:bookmarkEnd w:id="4"/>
            <w:bookmarkEnd w:id="5"/>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297C5D" w:rsidRDefault="00297C5D" w:rsidP="0051043C">
            <w:pPr>
              <w:pStyle w:val="Nagwek"/>
              <w:spacing w:before="120" w:after="120"/>
              <w:jc w:val="both"/>
              <w:rPr>
                <w:rFonts w:cs="Arial"/>
              </w:rPr>
            </w:pPr>
          </w:p>
          <w:p w:rsidR="00297C5D" w:rsidRPr="00F316D2" w:rsidRDefault="00297C5D" w:rsidP="00297C5D">
            <w:pPr>
              <w:pStyle w:val="Nagwek"/>
              <w:spacing w:before="120" w:after="120"/>
              <w:jc w:val="both"/>
              <w:rPr>
                <w:rFonts w:cs="Arial"/>
                <w:b/>
              </w:rPr>
            </w:pPr>
            <w:r w:rsidRPr="00F316D2">
              <w:rPr>
                <w:rFonts w:cs="Arial"/>
                <w:b/>
              </w:rPr>
              <w:t>Konkurs będzie skierowany do:</w:t>
            </w:r>
          </w:p>
          <w:p w:rsidR="00297C5D" w:rsidRPr="00F316D2" w:rsidRDefault="00297C5D" w:rsidP="00297C5D">
            <w:pPr>
              <w:pStyle w:val="Nagwek"/>
              <w:spacing w:before="120" w:after="120"/>
              <w:jc w:val="both"/>
              <w:rPr>
                <w:rFonts w:cs="Arial"/>
                <w:b/>
              </w:rPr>
            </w:pPr>
            <w:r w:rsidRPr="00F316D2">
              <w:rPr>
                <w:rFonts w:cs="Arial"/>
                <w:b/>
              </w:rPr>
              <w:t xml:space="preserve"> - beneficjentów mających siedzibę poza obszarami ZIT </w:t>
            </w:r>
          </w:p>
          <w:p w:rsidR="00297C5D" w:rsidRDefault="00297C5D" w:rsidP="00297C5D">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6" w:name="_Toc425494884"/>
            <w:bookmarkEnd w:id="6"/>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lastRenderedPageBreak/>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w:t>
            </w:r>
            <w:r w:rsidR="004905C3" w:rsidRPr="00D62FDC">
              <w:rPr>
                <w:rFonts w:asciiTheme="minorHAnsi" w:hAnsiTheme="minorHAnsi"/>
                <w:bCs/>
              </w:rPr>
              <w:lastRenderedPageBreak/>
              <w:t>z 2011 r. Nr 177, poz. 1054 z późn.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D4148C" w:rsidRPr="00F720AB">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w:t>
            </w:r>
            <w:r w:rsidRPr="002F2511">
              <w:rPr>
                <w:rFonts w:asciiTheme="minorHAnsi" w:hAnsiTheme="minorHAnsi"/>
                <w:szCs w:val="22"/>
              </w:rPr>
              <w:lastRenderedPageBreak/>
              <w:t xml:space="preserve">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Rozporządzenie Rady Ministrów z dnia 12 kwietnia 2012 r. w sprawie Krajowych Ram Interoperacyjności, minimalnych wymagań dla rejestrów publicznych i wymiany informacji w postaci elektronicznej oraz 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Ustawa z dnia 4 marca 2010 r. o infrastrukturze informacji przestrzennej (Dz. U. Nr 76, poz. 489 z późn.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Ustawa z dnia 28 kwietnia 2011 r. o systemie informacji w ochronie zdrowia (Dz. U. Nr 113, poz. 657 z późn.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078</w:t>
            </w:r>
            <w:r w:rsidR="006B6362" w:rsidRPr="000F1AC2">
              <w:rPr>
                <w:rFonts w:cs="Arial"/>
                <w:b/>
              </w:rPr>
              <w:t>, 101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079, 101</w:t>
            </w:r>
          </w:p>
          <w:p w:rsidR="00DD6DD5" w:rsidRDefault="00DD6DD5" w:rsidP="00DD6DD5">
            <w:pPr>
              <w:autoSpaceDE w:val="0"/>
              <w:autoSpaceDN w:val="0"/>
              <w:adjustRightInd w:val="0"/>
              <w:spacing w:after="0" w:line="240" w:lineRule="auto"/>
              <w:jc w:val="both"/>
              <w:rPr>
                <w:rFonts w:cs="Arial"/>
              </w:rPr>
            </w:pPr>
          </w:p>
          <w:p w:rsidR="002226CE" w:rsidRPr="000F1AC2" w:rsidRDefault="002226CE" w:rsidP="00DD6DD5">
            <w:pPr>
              <w:autoSpaceDE w:val="0"/>
              <w:autoSpaceDN w:val="0"/>
              <w:adjustRightInd w:val="0"/>
              <w:spacing w:after="0" w:line="240" w:lineRule="auto"/>
              <w:jc w:val="both"/>
              <w:rPr>
                <w:rFonts w:cs="Arial"/>
              </w:rPr>
            </w:pPr>
            <w:r w:rsidRPr="002226CE">
              <w:rPr>
                <w:rFonts w:cs="Arial"/>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E47BF9" w:rsidRDefault="00E47BF9" w:rsidP="00DD6DD5">
            <w:pPr>
              <w:autoSpaceDE w:val="0"/>
              <w:autoSpaceDN w:val="0"/>
              <w:adjustRightInd w:val="0"/>
              <w:spacing w:after="0" w:line="240" w:lineRule="auto"/>
              <w:jc w:val="both"/>
              <w:rPr>
                <w:rFonts w:cs="Arial"/>
              </w:rPr>
            </w:pPr>
            <w:r w:rsidRPr="00E47BF9">
              <w:rPr>
                <w:rFonts w:cs="Arial"/>
                <w:b/>
              </w:rPr>
              <w:t>Cross-financing:</w:t>
            </w:r>
            <w:r w:rsidR="000B40FD">
              <w:rPr>
                <w:rFonts w:cs="Arial"/>
                <w:b/>
              </w:rPr>
              <w:t xml:space="preserve"> </w:t>
            </w:r>
            <w:r w:rsidR="000B40FD">
              <w:rPr>
                <w:rFonts w:cs="Arial"/>
              </w:rPr>
              <w:t>Możliwy w przypadku w</w:t>
            </w:r>
            <w:r w:rsidRPr="00E47BF9">
              <w:rPr>
                <w:rFonts w:cs="Arial"/>
              </w:rPr>
              <w:t>ydatk</w:t>
            </w:r>
            <w:r w:rsidR="000B40FD">
              <w:rPr>
                <w:rFonts w:cs="Arial"/>
              </w:rPr>
              <w:t>ów</w:t>
            </w:r>
            <w:r w:rsidRPr="00E47BF9">
              <w:rPr>
                <w:rFonts w:cs="Arial"/>
              </w:rPr>
              <w:t xml:space="preserve"> bezpośrednio związan</w:t>
            </w:r>
            <w:r w:rsidR="000B40FD">
              <w:rPr>
                <w:rFonts w:cs="Arial"/>
              </w:rPr>
              <w:t>ych</w:t>
            </w:r>
            <w:r w:rsidRPr="00E47BF9">
              <w:rPr>
                <w:rFonts w:cs="Arial"/>
              </w:rPr>
              <w:t xml:space="preserve"> ze szkoleniem pracowników obsługujących </w:t>
            </w:r>
            <w:r w:rsidR="000B40FD">
              <w:rPr>
                <w:rFonts w:cs="Arial"/>
              </w:rPr>
              <w:t xml:space="preserve">zakupiony sprzęt/oprogramowanie - </w:t>
            </w:r>
            <w:r w:rsidR="000B40FD" w:rsidRPr="000B40FD">
              <w:rPr>
                <w:rFonts w:cs="Arial"/>
              </w:rPr>
              <w:t>do 10% wydatków kwalifikowanych projektu.</w:t>
            </w:r>
          </w:p>
          <w:p w:rsidR="00E47BF9" w:rsidRPr="000F1AC2" w:rsidRDefault="00E47BF9"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E47BF9" w:rsidRDefault="00E47BF9" w:rsidP="00DD6DD5">
            <w:pPr>
              <w:autoSpaceDE w:val="0"/>
              <w:autoSpaceDN w:val="0"/>
              <w:adjustRightInd w:val="0"/>
              <w:spacing w:after="0" w:line="240" w:lineRule="auto"/>
              <w:jc w:val="both"/>
              <w:rPr>
                <w:rFonts w:cs="Arial"/>
              </w:rPr>
            </w:pPr>
          </w:p>
          <w:p w:rsidR="00C30323" w:rsidRDefault="00297AA3"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sidR="002226CE">
              <w:rPr>
                <w:rFonts w:cs="Arial"/>
              </w:rPr>
              <w:t>wnioskodawca</w:t>
            </w:r>
            <w:r w:rsidRPr="00297AA3">
              <w:rPr>
                <w:rFonts w:cs="Arial"/>
              </w:rPr>
              <w:t xml:space="preserve"> wyodrębnił </w:t>
            </w:r>
            <w:r w:rsidR="002226CE">
              <w:rPr>
                <w:rFonts w:cs="Arial"/>
              </w:rPr>
              <w:br/>
            </w:r>
            <w:r w:rsidRPr="00297AA3">
              <w:rPr>
                <w:rFonts w:cs="Arial"/>
              </w:rPr>
              <w:t>w harmonogramie rzeczowo- finansowym osobne kategorie wydatków dotycząc</w:t>
            </w:r>
            <w:r w:rsidR="002226CE">
              <w:rPr>
                <w:rFonts w:cs="Arial"/>
              </w:rPr>
              <w:t xml:space="preserve">e </w:t>
            </w:r>
            <w:r w:rsidRPr="00297AA3">
              <w:rPr>
                <w:rFonts w:cs="Arial"/>
              </w:rPr>
              <w:t>zakupu wyposażenia i wytworzenie niezbędnej infrastruktury informatycznej</w:t>
            </w:r>
            <w:r w:rsidR="002226CE">
              <w:rPr>
                <w:rFonts w:cs="Arial"/>
              </w:rPr>
              <w:t>.</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2. Kompleksowe projekty dotyczące e‐integracji i rozwoju e‐ kompetencji -   </w:t>
            </w:r>
            <w:r w:rsidRPr="000F1AC2">
              <w:rPr>
                <w:rFonts w:cs="Arial"/>
              </w:rPr>
              <w:lastRenderedPageBreak/>
              <w:t>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2368A3" w:rsidRPr="000F1AC2" w:rsidRDefault="00690428" w:rsidP="002368A3">
            <w:pPr>
              <w:pStyle w:val="CM1"/>
              <w:spacing w:before="200" w:after="200"/>
              <w:jc w:val="both"/>
              <w:rPr>
                <w:rFonts w:asciiTheme="minorHAnsi" w:hAnsiTheme="minorHAnsi" w:cs="EUAlbertina"/>
                <w:sz w:val="22"/>
                <w:szCs w:val="22"/>
              </w:rPr>
            </w:pPr>
            <w:r>
              <w:rPr>
                <w:rFonts w:asciiTheme="minorHAnsi" w:hAnsiTheme="minorHAnsi"/>
                <w:sz w:val="22"/>
                <w:szCs w:val="22"/>
              </w:rPr>
              <w:t>Opis kategorii</w:t>
            </w:r>
            <w:r w:rsidR="002368A3" w:rsidRPr="000F1AC2">
              <w:rPr>
                <w:rFonts w:asciiTheme="minorHAnsi" w:hAnsiTheme="minorHAnsi"/>
                <w:sz w:val="22"/>
                <w:szCs w:val="22"/>
              </w:rPr>
              <w:t xml:space="preserve"> interwencji</w:t>
            </w:r>
            <w:r>
              <w:rPr>
                <w:rFonts w:asciiTheme="minorHAnsi" w:hAnsiTheme="minorHAnsi"/>
                <w:sz w:val="22"/>
                <w:szCs w:val="22"/>
              </w:rPr>
              <w:t xml:space="preserve"> </w:t>
            </w:r>
            <w:r w:rsidRPr="00690428">
              <w:rPr>
                <w:rFonts w:asciiTheme="minorHAnsi" w:hAnsiTheme="minorHAnsi"/>
                <w:sz w:val="22"/>
                <w:szCs w:val="22"/>
              </w:rPr>
              <w:t>(zakres</w:t>
            </w:r>
            <w:r>
              <w:rPr>
                <w:rFonts w:asciiTheme="minorHAnsi" w:hAnsiTheme="minorHAnsi"/>
                <w:sz w:val="22"/>
                <w:szCs w:val="22"/>
              </w:rPr>
              <w:t>u</w:t>
            </w:r>
            <w:r w:rsidRPr="00690428">
              <w:rPr>
                <w:rFonts w:asciiTheme="minorHAnsi" w:hAnsiTheme="minorHAnsi"/>
                <w:sz w:val="22"/>
                <w:szCs w:val="22"/>
              </w:rPr>
              <w:t xml:space="preserve"> interwencji)</w:t>
            </w:r>
            <w:r>
              <w:rPr>
                <w:rFonts w:asciiTheme="minorHAnsi" w:hAnsiTheme="minorHAnsi"/>
                <w:sz w:val="22"/>
                <w:szCs w:val="22"/>
              </w:rPr>
              <w:t>:</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 xml:space="preserve">podmioty wskazane wyżej jako </w:t>
            </w:r>
            <w:r w:rsidRPr="000F1AC2">
              <w:rPr>
                <w:rFonts w:eastAsia="TTE1ABE920t00" w:cs="Arial"/>
              </w:rPr>
              <w:lastRenderedPageBreak/>
              <w:t>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Pr="000F1AC2">
              <w:rPr>
                <w:rFonts w:cs="Calibri"/>
                <w:b/>
              </w:rPr>
              <w:t>23 678 991</w:t>
            </w:r>
            <w:r w:rsidRPr="000F1AC2">
              <w:rPr>
                <w:rFonts w:cs="Calibri"/>
              </w:rPr>
              <w:t xml:space="preserve"> </w:t>
            </w:r>
            <w:r w:rsidRPr="000F1AC2">
              <w:rPr>
                <w:rFonts w:cs="Calibri"/>
                <w:b/>
              </w:rPr>
              <w:t>Euro, tj. 100 945 906,50                       PLN</w:t>
            </w:r>
            <w:r w:rsidRPr="000F1AC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656CEB" w:rsidRPr="00656CEB">
              <w:t>zatwierdzania Listy ocenionych projektów</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sidR="009447AC">
              <w:rPr>
                <w:rFonts w:eastAsia="Times New Roman" w:cs="Times New Roman"/>
                <w:lang w:eastAsia="pl-PL"/>
              </w:rPr>
              <w:t>prawa unijnego</w:t>
            </w:r>
            <w:r w:rsidR="009447AC">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430B0A" w:rsidRDefault="00600EB8" w:rsidP="0051536A">
            <w:pPr>
              <w:spacing w:before="120" w:after="120" w:line="240" w:lineRule="auto"/>
              <w:jc w:val="both"/>
              <w:rPr>
                <w:b/>
              </w:rPr>
            </w:pPr>
            <w:r w:rsidRPr="000F1AC2">
              <w:rPr>
                <w:rFonts w:eastAsia="Times New Roman" w:cs="Arial"/>
                <w:bCs/>
                <w:lang w:eastAsia="pl-PL"/>
              </w:rPr>
              <w:t>W przypadku stwierdzenia przez wnioskodawcę występowania pomocy publicznej w projekcie</w:t>
            </w:r>
            <w:r w:rsidRPr="000F1AC2">
              <w:rPr>
                <w:rFonts w:cs="Arial"/>
              </w:rPr>
              <w:t>, zastosowanie znajdą właściwe przepisy prawa wspólnotowego i krajowego dotyczące zasad udzielania tej pomocy.</w:t>
            </w:r>
          </w:p>
          <w:p w:rsidR="00430B0A" w:rsidRPr="002C08CD" w:rsidRDefault="00430B0A" w:rsidP="004D0373">
            <w:pPr>
              <w:spacing w:before="120" w:after="120" w:line="240" w:lineRule="auto"/>
              <w:jc w:val="both"/>
            </w:pPr>
            <w:r w:rsidRPr="002C08CD">
              <w:t>Przyjmuje się, że w odniesieniu do podmiotów funkcjonujących w ramach publicznego systemu opieki zdrowotnej</w:t>
            </w:r>
            <w:r w:rsidR="00FC3C60">
              <w:t xml:space="preserve"> i jednocześnie realizujących projekty dot. działalności w publicznym systemie opieki zdrowotnej</w:t>
            </w:r>
            <w:r w:rsidRPr="002C08CD">
              <w:t xml:space="preserve"> nie będą miały </w:t>
            </w:r>
            <w:r w:rsidRPr="002C08CD">
              <w:lastRenderedPageBreak/>
              <w:t>zastosowania</w:t>
            </w:r>
            <w:r w:rsidR="004D0373">
              <w:t xml:space="preserve"> </w:t>
            </w:r>
            <w:r w:rsidRPr="002C08CD">
              <w:t>przepisy o pomocy publicznej. Nie ma przy tym znaczenia forma organizacyjna podmiotu leczniczego.</w:t>
            </w:r>
          </w:p>
          <w:p w:rsidR="00FB11FE" w:rsidRDefault="00C831D9" w:rsidP="002C08CD">
            <w:pPr>
              <w:spacing w:before="120" w:after="120" w:line="240" w:lineRule="auto"/>
              <w:jc w:val="both"/>
              <w:rPr>
                <w:b/>
              </w:rPr>
            </w:pPr>
            <w:r w:rsidRPr="000B035A">
              <w:rPr>
                <w:b/>
              </w:rPr>
              <w:t>Istnieje możliwość realizacji projektów „mieszanych”, tzn. objęty</w:t>
            </w:r>
            <w:r w:rsidR="001114F7" w:rsidRPr="000B035A">
              <w:rPr>
                <w:b/>
              </w:rPr>
              <w:t>ch</w:t>
            </w:r>
            <w:r w:rsidRPr="000B035A">
              <w:rPr>
                <w:b/>
              </w:rPr>
              <w:t xml:space="preserve"> w części pomocą publiczną</w:t>
            </w:r>
            <w:r w:rsidR="00FD5C67">
              <w:rPr>
                <w:b/>
              </w:rPr>
              <w:t xml:space="preserve"> (tj. w zakresie w jakim dot. działalności gospodarczej wnioskodawcy, np. świadczenie usług medycznych</w:t>
            </w:r>
            <w:r w:rsidR="00FB11FE">
              <w:rPr>
                <w:b/>
              </w:rPr>
              <w:t xml:space="preserve"> poza publicznym systemem ochrony zdrowia</w:t>
            </w:r>
            <w:r w:rsidR="00FD5C67">
              <w:rPr>
                <w:b/>
              </w:rPr>
              <w:t>)</w:t>
            </w:r>
            <w:r w:rsidRPr="000B035A">
              <w:rPr>
                <w:b/>
              </w:rPr>
              <w:t>, a w części wsparciem niestanowiącym pomocy</w:t>
            </w:r>
            <w:r w:rsidR="00FD5C67">
              <w:rPr>
                <w:b/>
              </w:rPr>
              <w:t xml:space="preserve"> (tj. w zakresie prowadzonej działalności </w:t>
            </w:r>
            <w:r w:rsidR="002C08CD">
              <w:rPr>
                <w:b/>
              </w:rPr>
              <w:t>niegospodarczej</w:t>
            </w:r>
            <w:r w:rsidR="00FD5C67">
              <w:rPr>
                <w:b/>
              </w:rPr>
              <w:t>, np. w publicznym systemie ochrony zdrowia</w:t>
            </w:r>
            <w:r w:rsidR="00FB11FE">
              <w:rPr>
                <w:b/>
              </w:rPr>
              <w:t>)</w:t>
            </w:r>
            <w:r w:rsidRPr="000B035A">
              <w:rPr>
                <w:b/>
              </w:rPr>
              <w:t>.</w:t>
            </w:r>
            <w:r w:rsidR="00EA1721">
              <w:rPr>
                <w:b/>
              </w:rPr>
              <w:t xml:space="preserve"> </w:t>
            </w:r>
          </w:p>
          <w:p w:rsidR="00C831D9" w:rsidRPr="000B035A" w:rsidRDefault="00EA1721" w:rsidP="00C831D9">
            <w:pPr>
              <w:spacing w:before="120" w:after="120" w:line="240" w:lineRule="auto"/>
              <w:jc w:val="both"/>
              <w:rPr>
                <w:b/>
              </w:rPr>
            </w:pPr>
            <w:r>
              <w:rPr>
                <w:b/>
              </w:rPr>
              <w:t xml:space="preserve">Dotyczy to wyłącznie takich projektów, gdzie istnieje możliwość wyodrębnienia elementów projektu przyporządkowanych do działalności gospodarczej </w:t>
            </w:r>
            <w:r w:rsidR="00FB11FE">
              <w:rPr>
                <w:b/>
              </w:rPr>
              <w:br/>
            </w:r>
            <w:r>
              <w:rPr>
                <w:b/>
              </w:rPr>
              <w:t xml:space="preserve">i niegospodarczej wnioskodawcy. </w:t>
            </w:r>
          </w:p>
          <w:p w:rsidR="00FB11FE" w:rsidRDefault="00C831D9" w:rsidP="00C831D9">
            <w:pPr>
              <w:spacing w:before="120" w:after="120" w:line="240" w:lineRule="auto"/>
              <w:jc w:val="both"/>
            </w:pPr>
            <w:r w:rsidRPr="009E3CD8">
              <w:t>W powyższym przypadku należy pamiętać o konieczności prowadzenia rozdzielnej rachunkowości dla działalności gospodarczej i niegospodarczej</w:t>
            </w:r>
            <w:r w:rsidR="00EA1721">
              <w:t xml:space="preserve"> – przez cały okres realizacji projektu i okres trwałości. </w:t>
            </w:r>
          </w:p>
          <w:p w:rsidR="001114F7" w:rsidRPr="009E3CD8" w:rsidRDefault="00EA1721" w:rsidP="00C831D9">
            <w:pPr>
              <w:spacing w:before="120" w:after="120" w:line="240" w:lineRule="auto"/>
              <w:jc w:val="both"/>
            </w:pPr>
            <w:r>
              <w:t>Konsekwencją niedochowania powyższych warunków w okresie trwałości projektu może być części</w:t>
            </w:r>
            <w:r w:rsidR="00FB11FE">
              <w:t>owy</w:t>
            </w:r>
            <w:r>
              <w:t xml:space="preserve"> lub całkowity zwrot </w:t>
            </w:r>
            <w:r w:rsidR="00FB11FE">
              <w:t>dofinansowania</w:t>
            </w:r>
            <w:r>
              <w:t xml:space="preserve">. </w:t>
            </w:r>
          </w:p>
          <w:p w:rsidR="00FB11FE" w:rsidRDefault="00FB11FE" w:rsidP="00C831D9">
            <w:pPr>
              <w:spacing w:before="120" w:after="120" w:line="240" w:lineRule="auto"/>
              <w:jc w:val="both"/>
            </w:pPr>
          </w:p>
          <w:p w:rsidR="001114F7" w:rsidRPr="000B035A" w:rsidRDefault="00C831D9" w:rsidP="00C831D9">
            <w:pPr>
              <w:spacing w:before="120" w:after="120" w:line="240" w:lineRule="auto"/>
              <w:jc w:val="both"/>
            </w:pPr>
            <w:r w:rsidRPr="009E3CD8">
              <w:t xml:space="preserve">W </w:t>
            </w:r>
            <w:r w:rsidR="001114F7" w:rsidRPr="009E3CD8">
              <w:t xml:space="preserve">przypadku zastosowania zapisów Rozporządzenia Ministra Infrastruktury </w:t>
            </w:r>
            <w:r w:rsidR="00FB11FE">
              <w:br/>
            </w:r>
            <w:r w:rsidR="001114F7" w:rsidRPr="009E3CD8">
              <w:t xml:space="preserve">i Rozwoju z dnia 3 września 2015 r. w sprawie udzielania regionalnej pomocy inwestycyjnej w ramach regionalnych programów operacyjnych na lata 2014–2020, </w:t>
            </w:r>
            <w:r w:rsidR="000E573E" w:rsidRPr="009E3CD8">
              <w:t xml:space="preserve"> konieczne jest spełnienie wszystkich  warunków określonych w  tym rozporządzeniu, np.  „efektu zachęty” i „inwestycji początkowej”</w:t>
            </w:r>
            <w:r w:rsidR="000E573E" w:rsidRPr="000B035A">
              <w:rPr>
                <w:rStyle w:val="Odwoanieprzypisudolnego"/>
              </w:rPr>
              <w:footnoteReference w:id="2"/>
            </w:r>
            <w:r w:rsidR="000E573E" w:rsidRPr="000B035A">
              <w:t>.</w:t>
            </w:r>
          </w:p>
          <w:p w:rsidR="000B035A" w:rsidRDefault="000B035A" w:rsidP="00C831D9">
            <w:pPr>
              <w:spacing w:before="120" w:after="120" w:line="240" w:lineRule="auto"/>
              <w:jc w:val="both"/>
            </w:pPr>
            <w:r w:rsidRPr="000B035A">
              <w:t xml:space="preserve">W przypadku projektów „mieszanych” konieczność spełnienia „efektu zachęty” oznacza rozpoczęcie realizacji </w:t>
            </w:r>
            <w:r w:rsidRPr="000B035A">
              <w:rPr>
                <w:b/>
              </w:rPr>
              <w:t>całego projektu</w:t>
            </w:r>
            <w:r w:rsidRPr="000B035A">
              <w:t xml:space="preserve"> po złożeniu wniosku </w:t>
            </w:r>
            <w:r w:rsidR="00FB11FE">
              <w:br/>
            </w:r>
            <w:r w:rsidRPr="000B035A">
              <w:t>o dofinansowanie.</w:t>
            </w:r>
          </w:p>
          <w:p w:rsidR="00FB11FE" w:rsidRDefault="00FB11FE" w:rsidP="00C831D9">
            <w:pPr>
              <w:spacing w:before="120" w:after="120" w:line="240" w:lineRule="auto"/>
              <w:jc w:val="both"/>
            </w:pPr>
          </w:p>
          <w:p w:rsidR="00EA1721" w:rsidRPr="000B035A" w:rsidRDefault="00EA1721" w:rsidP="00C831D9">
            <w:pPr>
              <w:spacing w:before="120" w:after="120" w:line="240" w:lineRule="auto"/>
              <w:jc w:val="both"/>
            </w:pPr>
            <w:r>
              <w:t>W przypadku wystąpienia pomocy publicznej w projekcie, w zależności od jego charakteru zastosowanie mogą mieć poniższe rozporządzenia. Wybór rozporządzenia</w:t>
            </w:r>
            <w:r w:rsidR="00430B0A">
              <w:t xml:space="preserve"> s</w:t>
            </w:r>
            <w:r w:rsidR="00FB11FE">
              <w:t>pośród</w:t>
            </w:r>
            <w:r w:rsidR="00430B0A">
              <w:t xml:space="preserve"> poniższych</w:t>
            </w:r>
            <w:r w:rsidR="00FB11FE">
              <w:t xml:space="preserve"> </w:t>
            </w:r>
            <w:r>
              <w:t xml:space="preserve"> należy do Wnioskodawcy:</w:t>
            </w:r>
          </w:p>
          <w:p w:rsidR="00EA1721" w:rsidRDefault="00EA1721" w:rsidP="00EA1721">
            <w:pPr>
              <w:spacing w:before="120" w:after="120" w:line="240" w:lineRule="auto"/>
              <w:jc w:val="both"/>
            </w:pPr>
          </w:p>
          <w:p w:rsidR="00430B0A" w:rsidRDefault="00EA1721" w:rsidP="00430B0A">
            <w:pPr>
              <w:pStyle w:val="Akapitzlist"/>
              <w:numPr>
                <w:ilvl w:val="0"/>
                <w:numId w:val="38"/>
              </w:numPr>
              <w:spacing w:before="120" w:after="120" w:line="240" w:lineRule="auto"/>
              <w:jc w:val="both"/>
              <w:rPr>
                <w:rFonts w:ascii="Calibri" w:hAnsi="Calibri"/>
              </w:rPr>
            </w:pPr>
            <w:r w:rsidRPr="00430B0A">
              <w:rPr>
                <w:rFonts w:ascii="Calibri" w:hAnsi="Calibri"/>
              </w:rPr>
              <w:t>Rozporządzenia Ministra Infrastruktury i Rozwoju z dnia 3 września 2015 r. w sprawie udzielania regionalnej pomocy inwestycyjnej w ramach regionalnych programów operacyjnych na lata 2014–2020.</w:t>
            </w:r>
          </w:p>
          <w:p w:rsidR="00EA1721" w:rsidRPr="00430B0A" w:rsidRDefault="00EA1721" w:rsidP="00430B0A">
            <w:pPr>
              <w:pStyle w:val="Akapitzlist"/>
              <w:numPr>
                <w:ilvl w:val="0"/>
                <w:numId w:val="38"/>
              </w:numPr>
              <w:spacing w:before="120" w:after="120" w:line="240" w:lineRule="auto"/>
              <w:jc w:val="both"/>
              <w:rPr>
                <w:rFonts w:ascii="Calibri" w:hAnsi="Calibri"/>
              </w:rPr>
            </w:pPr>
            <w:r w:rsidRPr="00430B0A">
              <w:rPr>
                <w:rStyle w:val="h2"/>
                <w:rFonts w:ascii="Calibri" w:hAnsi="Calibri"/>
              </w:rPr>
              <w:t xml:space="preserve">Rozporządzenia Ministra Infrastruktury i Rozwoju z dnia 19 marca 2015 r. w sprawie udzielania pomocy de </w:t>
            </w:r>
            <w:proofErr w:type="spellStart"/>
            <w:r w:rsidRPr="00430B0A">
              <w:rPr>
                <w:rStyle w:val="h2"/>
                <w:rFonts w:ascii="Calibri" w:hAnsi="Calibri"/>
              </w:rPr>
              <w:t>minimis</w:t>
            </w:r>
            <w:proofErr w:type="spellEnd"/>
            <w:r w:rsidRPr="00430B0A">
              <w:rPr>
                <w:rStyle w:val="h2"/>
                <w:rFonts w:ascii="Calibri" w:hAnsi="Calibri"/>
              </w:rPr>
              <w:t xml:space="preserve"> w ramach regionalnych programów operacyjnych na lata 2014–2020 </w:t>
            </w:r>
            <w:r w:rsidRPr="00430B0A">
              <w:rPr>
                <w:rFonts w:ascii="Calibri" w:hAnsi="Calibri"/>
              </w:rPr>
              <w:t xml:space="preserve">- kwota pomocy </w:t>
            </w:r>
            <w:r w:rsidRPr="00430B0A">
              <w:rPr>
                <w:rFonts w:ascii="Calibri" w:hAnsi="Calibri"/>
                <w:i/>
                <w:iCs/>
              </w:rPr>
              <w:t xml:space="preserve">de </w:t>
            </w:r>
            <w:proofErr w:type="spellStart"/>
            <w:r w:rsidRPr="00430B0A">
              <w:rPr>
                <w:rFonts w:ascii="Calibri" w:hAnsi="Calibri"/>
                <w:i/>
                <w:iCs/>
              </w:rPr>
              <w:t>minimis</w:t>
            </w:r>
            <w:proofErr w:type="spellEnd"/>
            <w:r w:rsidRPr="00430B0A">
              <w:rPr>
                <w:rFonts w:ascii="Calibri" w:hAnsi="Calibri"/>
                <w:i/>
                <w:iCs/>
              </w:rPr>
              <w:t xml:space="preserve"> </w:t>
            </w:r>
            <w:r w:rsidRPr="00430B0A">
              <w:rPr>
                <w:rFonts w:ascii="Calibri" w:hAnsi="Calibri"/>
              </w:rPr>
              <w:t xml:space="preserve">nie może przekroczyć 200 tys. Euro na beneficjenta (jest to maksymalny limit pomocy de </w:t>
            </w:r>
            <w:proofErr w:type="spellStart"/>
            <w:r w:rsidRPr="00430B0A">
              <w:rPr>
                <w:rFonts w:ascii="Calibri" w:hAnsi="Calibri"/>
              </w:rPr>
              <w:t>minimis</w:t>
            </w:r>
            <w:proofErr w:type="spellEnd"/>
            <w:r w:rsidRPr="00430B0A">
              <w:rPr>
                <w:rFonts w:ascii="Calibri" w:hAnsi="Calibri"/>
              </w:rPr>
              <w:t xml:space="preserve"> jaki może otrzymać dany podmiot w okresie 3 </w:t>
            </w:r>
            <w:r w:rsidRPr="00430B0A">
              <w:rPr>
                <w:rFonts w:ascii="Calibri" w:hAnsi="Calibri"/>
              </w:rPr>
              <w:lastRenderedPageBreak/>
              <w:t>lat).</w:t>
            </w:r>
          </w:p>
          <w:p w:rsidR="00430B0A" w:rsidRDefault="00430B0A" w:rsidP="00430B0A">
            <w:pPr>
              <w:pStyle w:val="Akapitzlist"/>
              <w:numPr>
                <w:ilvl w:val="0"/>
                <w:numId w:val="38"/>
              </w:numPr>
              <w:spacing w:before="120" w:after="120" w:line="240" w:lineRule="auto"/>
              <w:jc w:val="both"/>
              <w:rPr>
                <w:rFonts w:ascii="Calibri" w:hAnsi="Calibri"/>
              </w:rPr>
            </w:pPr>
            <w:r>
              <w:rPr>
                <w:rFonts w:ascii="Calibri" w:hAnsi="Calibri"/>
              </w:rPr>
              <w:t>w</w:t>
            </w:r>
            <w:r w:rsidRPr="00430B0A">
              <w:rPr>
                <w:rFonts w:ascii="Calibri" w:hAnsi="Calibri"/>
              </w:rPr>
              <w:t xml:space="preserve"> projektach dot. digitalizacji i publikacji utworów muzycznych </w:t>
            </w:r>
            <w:r>
              <w:rPr>
                <w:rFonts w:ascii="Calibri" w:hAnsi="Calibri"/>
              </w:rPr>
              <w:br/>
            </w:r>
            <w:r w:rsidRPr="00430B0A">
              <w:rPr>
                <w:rFonts w:ascii="Calibri" w:hAnsi="Calibri"/>
              </w:rP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9D451B" w:rsidRDefault="009D451B" w:rsidP="009D451B">
            <w:pPr>
              <w:spacing w:before="120" w:after="120" w:line="240" w:lineRule="auto"/>
              <w:jc w:val="both"/>
              <w:rPr>
                <w:rFonts w:ascii="Calibri" w:hAnsi="Calibri"/>
              </w:rPr>
            </w:pPr>
          </w:p>
          <w:p w:rsidR="00C16D8A" w:rsidRPr="00430B0A" w:rsidRDefault="009D451B" w:rsidP="009D451B">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sidR="00476C45">
              <w:rPr>
                <w:rFonts w:ascii="Calibri" w:hAnsi="Calibri"/>
              </w:rPr>
              <w:t>-</w:t>
            </w:r>
            <w:r w:rsidRPr="009D451B">
              <w:rPr>
                <w:rFonts w:ascii="Calibri" w:hAnsi="Calibri"/>
              </w:rPr>
              <w:t>financing</w:t>
            </w:r>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30B0A" w:rsidRDefault="00430B0A" w:rsidP="00EA1721">
            <w:pPr>
              <w:spacing w:before="120" w:after="120" w:line="240" w:lineRule="auto"/>
              <w:jc w:val="both"/>
            </w:pPr>
          </w:p>
          <w:p w:rsidR="00EA1721" w:rsidRDefault="00EA1721" w:rsidP="00EA1721">
            <w:pPr>
              <w:spacing w:before="120" w:after="120" w:line="240" w:lineRule="auto"/>
              <w:jc w:val="both"/>
            </w:pPr>
            <w:r w:rsidRPr="000F1AC2">
              <w:t xml:space="preserve">Wszystkie ww. regulacje dotyczące pomocy publicznej dostępne są na stronie </w:t>
            </w:r>
            <w:hyperlink r:id="rId12" w:history="1">
              <w:r w:rsidRPr="000F1AC2">
                <w:rPr>
                  <w:rStyle w:val="Hipercze"/>
                  <w:color w:val="auto"/>
                </w:rPr>
                <w:t>www.funduszeeuropejskie.gov.pl</w:t>
              </w:r>
            </w:hyperlink>
            <w:r w:rsidRPr="000F1AC2">
              <w:t xml:space="preserve">. </w:t>
            </w:r>
          </w:p>
          <w:p w:rsidR="00840652" w:rsidRPr="000F1AC2" w:rsidRDefault="00840652" w:rsidP="000B035A">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3A0AC0" w:rsidRPr="003A0AC0"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r w:rsidR="003A0AC0">
              <w:rPr>
                <w:rFonts w:asciiTheme="minorHAnsi" w:hAnsiTheme="minorHAnsi" w:cs="Arial"/>
              </w:rPr>
              <w:t>,</w:t>
            </w:r>
          </w:p>
          <w:p w:rsidR="00424DF6" w:rsidRPr="000F1AC2" w:rsidRDefault="003A0AC0" w:rsidP="003A0AC0">
            <w:pPr>
              <w:pStyle w:val="Akapitzlist"/>
              <w:numPr>
                <w:ilvl w:val="0"/>
                <w:numId w:val="15"/>
              </w:numPr>
              <w:tabs>
                <w:tab w:val="left" w:pos="459"/>
              </w:tabs>
              <w:spacing w:before="40" w:after="40" w:line="240" w:lineRule="auto"/>
              <w:jc w:val="both"/>
              <w:rPr>
                <w:rFonts w:cs="Arial"/>
              </w:rPr>
            </w:pPr>
            <w:r w:rsidRPr="003A0AC0">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746825" w:rsidRPr="00BD42C8" w:rsidTr="006D7C1A">
        <w:tc>
          <w:tcPr>
            <w:tcW w:w="534" w:type="dxa"/>
          </w:tcPr>
          <w:p w:rsidR="00300E2C" w:rsidRPr="008F2B77" w:rsidRDefault="00A60962" w:rsidP="00151119">
            <w:pPr>
              <w:autoSpaceDE w:val="0"/>
              <w:autoSpaceDN w:val="0"/>
              <w:adjustRightInd w:val="0"/>
              <w:spacing w:after="0" w:line="240" w:lineRule="auto"/>
              <w:rPr>
                <w:rFonts w:cs="Calibri"/>
                <w:b/>
                <w:bCs/>
              </w:rPr>
            </w:pPr>
            <w:r w:rsidRPr="008F2B77">
              <w:rPr>
                <w:rFonts w:cs="Calibri"/>
                <w:b/>
                <w:bCs/>
              </w:rPr>
              <w:t>11.</w:t>
            </w:r>
          </w:p>
        </w:tc>
        <w:tc>
          <w:tcPr>
            <w:tcW w:w="2268" w:type="dxa"/>
          </w:tcPr>
          <w:p w:rsidR="00300E2C" w:rsidRPr="008F2B77" w:rsidRDefault="00300E2C" w:rsidP="00151119">
            <w:pPr>
              <w:pStyle w:val="Default"/>
              <w:rPr>
                <w:rFonts w:asciiTheme="minorHAnsi" w:hAnsiTheme="minorHAnsi"/>
                <w:b/>
                <w:bCs/>
                <w:color w:val="auto"/>
                <w:sz w:val="22"/>
                <w:szCs w:val="22"/>
              </w:rPr>
            </w:pPr>
            <w:r w:rsidRPr="008F2B77">
              <w:rPr>
                <w:rFonts w:asciiTheme="minorHAnsi" w:hAnsiTheme="minorHAnsi" w:cs="Arial"/>
                <w:b/>
                <w:color w:val="auto"/>
                <w:sz w:val="22"/>
                <w:szCs w:val="22"/>
              </w:rPr>
              <w:t>Warunki uwzględniania dochodu w projekcie</w:t>
            </w:r>
            <w:r w:rsidR="004D6188" w:rsidRPr="008F2B77">
              <w:rPr>
                <w:rFonts w:asciiTheme="minorHAnsi" w:hAnsiTheme="minorHAnsi" w:cs="Arial"/>
                <w:b/>
                <w:color w:val="auto"/>
                <w:sz w:val="22"/>
                <w:szCs w:val="22"/>
              </w:rPr>
              <w:t>:</w:t>
            </w:r>
          </w:p>
        </w:tc>
        <w:tc>
          <w:tcPr>
            <w:tcW w:w="7494" w:type="dxa"/>
          </w:tcPr>
          <w:p w:rsidR="00300E2C" w:rsidRPr="008F2B77" w:rsidRDefault="00300E2C" w:rsidP="00151119">
            <w:pPr>
              <w:autoSpaceDE w:val="0"/>
              <w:autoSpaceDN w:val="0"/>
              <w:adjustRightInd w:val="0"/>
              <w:spacing w:after="0" w:line="240" w:lineRule="auto"/>
            </w:pPr>
            <w:r w:rsidRPr="008F2B77">
              <w:t>Luka finansowa w projektach</w:t>
            </w:r>
            <w:r w:rsidR="00BD168F" w:rsidRPr="008F2B77">
              <w:t xml:space="preserve"> lub częściach projektów</w:t>
            </w:r>
            <w:r w:rsidRPr="008F2B77">
              <w:t xml:space="preserve"> nieobjętych pomocą publiczną.</w:t>
            </w:r>
          </w:p>
          <w:p w:rsidR="00BD42C8" w:rsidRPr="008F2B77" w:rsidRDefault="00BD42C8" w:rsidP="00151119">
            <w:pPr>
              <w:autoSpaceDE w:val="0"/>
              <w:autoSpaceDN w:val="0"/>
              <w:adjustRightInd w:val="0"/>
              <w:spacing w:after="0" w:line="240" w:lineRule="auto"/>
            </w:pPr>
          </w:p>
          <w:p w:rsidR="00BD42C8" w:rsidRPr="008F2B77" w:rsidRDefault="00BD42C8" w:rsidP="001E4942">
            <w:pPr>
              <w:spacing w:before="120" w:after="120" w:line="240" w:lineRule="auto"/>
              <w:jc w:val="both"/>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lastRenderedPageBreak/>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dla średnich przedsiębiorców–do  35% wydatków kwalifikujących się do objęcia wsparciem;</w:t>
            </w:r>
          </w:p>
          <w:p w:rsidR="00FC3C60" w:rsidRPr="000F1AC2" w:rsidRDefault="00FC3C60" w:rsidP="003D255F">
            <w:pPr>
              <w:pStyle w:val="Akapitzlist"/>
              <w:numPr>
                <w:ilvl w:val="0"/>
                <w:numId w:val="33"/>
              </w:numPr>
              <w:spacing w:before="0"/>
              <w:jc w:val="both"/>
              <w:rPr>
                <w:rFonts w:ascii="Calibri" w:hAnsi="Calibri" w:cs="Calibri"/>
              </w:rPr>
            </w:pPr>
            <w:r w:rsidRPr="000F1AC2">
              <w:rPr>
                <w:rFonts w:ascii="Calibri" w:hAnsi="Calibri" w:cs="Calibri"/>
              </w:rPr>
              <w:t xml:space="preserve">dla </w:t>
            </w:r>
            <w:r>
              <w:rPr>
                <w:rFonts w:ascii="Calibri" w:hAnsi="Calibri" w:cs="Calibri"/>
              </w:rPr>
              <w:t>dużych</w:t>
            </w:r>
            <w:r w:rsidRPr="000F1AC2">
              <w:rPr>
                <w:rFonts w:ascii="Calibri" w:hAnsi="Calibri" w:cs="Calibri"/>
              </w:rPr>
              <w:t xml:space="preserve"> przedsiębiorców–do  </w:t>
            </w:r>
            <w:r>
              <w:rPr>
                <w:rFonts w:ascii="Calibri" w:hAnsi="Calibri" w:cs="Calibri"/>
              </w:rPr>
              <w:t>2</w:t>
            </w:r>
            <w:r w:rsidRPr="000F1AC2">
              <w:rPr>
                <w:rFonts w:ascii="Calibri" w:hAnsi="Calibri" w:cs="Calibri"/>
              </w:rPr>
              <w:t>5% wydatków kwalifikujących się do objęcia wsparciem</w:t>
            </w:r>
            <w:r w:rsidR="000F6E5D">
              <w:rPr>
                <w:rFonts w:ascii="Calibri" w:hAnsi="Calibri" w:cs="Calibri"/>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D4148C" w:rsidRPr="00D4148C" w:rsidRDefault="00D4148C" w:rsidP="00D4148C">
            <w:pPr>
              <w:pStyle w:val="Akapitzlist"/>
              <w:numPr>
                <w:ilvl w:val="0"/>
                <w:numId w:val="34"/>
              </w:numPr>
              <w:spacing w:before="0"/>
              <w:ind w:left="1167" w:hanging="283"/>
              <w:rPr>
                <w:rFonts w:ascii="Calibri" w:eastAsiaTheme="minorHAnsi" w:hAnsi="Calibri" w:cs="Calibri"/>
                <w:szCs w:val="22"/>
                <w:lang w:eastAsia="en-US"/>
              </w:rPr>
            </w:pPr>
            <w:r w:rsidRPr="00D4148C">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w:t>
            </w:r>
            <w:r w:rsidR="00DE51F0" w:rsidRPr="000F1AC2">
              <w:rPr>
                <w:rFonts w:eastAsia="TimesNewRoman" w:cs="TimesNewRoman"/>
                <w:color w:val="auto"/>
                <w:sz w:val="22"/>
                <w:szCs w:val="22"/>
              </w:rPr>
              <w:lastRenderedPageBreak/>
              <w:t xml:space="preserve">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4"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trwa 7 dni od dnia zakończenia naboru</w:t>
            </w:r>
            <w:r w:rsidR="00E47441">
              <w:rPr>
                <w:rFonts w:ascii="Calibri" w:hAnsi="Calibri" w:cs="Calibri"/>
              </w:rPr>
              <w:t>.</w:t>
            </w:r>
          </w:p>
          <w:p w:rsidR="00851FAD" w:rsidRPr="00D4148C" w:rsidRDefault="00E47441" w:rsidP="00E47441">
            <w:pPr>
              <w:autoSpaceDE w:val="0"/>
              <w:autoSpaceDN w:val="0"/>
              <w:adjustRightInd w:val="0"/>
              <w:spacing w:line="240" w:lineRule="auto"/>
              <w:jc w:val="both"/>
              <w:rPr>
                <w:rFonts w:ascii="Calibri" w:hAnsi="Calibri" w:cs="Calibri"/>
              </w:rPr>
            </w:pPr>
            <w:r w:rsidRPr="00D4148C">
              <w:rPr>
                <w:rFonts w:ascii="Calibri" w:hAnsi="Calibri" w:cs="Calibri"/>
              </w:rPr>
              <w:t>N</w:t>
            </w:r>
            <w:r w:rsidR="00851FAD" w:rsidRPr="00D4148C">
              <w:rPr>
                <w:rFonts w:ascii="Calibri" w:hAnsi="Calibri" w:cs="Calibri"/>
              </w:rPr>
              <w:t>ie stanowi</w:t>
            </w:r>
            <w:r w:rsidRPr="00D4148C">
              <w:rPr>
                <w:rFonts w:ascii="Calibri" w:hAnsi="Calibri" w:cs="Calibri"/>
              </w:rPr>
              <w:t xml:space="preserve"> ona</w:t>
            </w:r>
            <w:r w:rsidR="00851FAD" w:rsidRPr="00D4148C">
              <w:rPr>
                <w:rFonts w:ascii="Calibri" w:hAnsi="Calibri" w:cs="Calibri"/>
              </w:rPr>
              <w:t xml:space="preserve"> etapu oceny wniosków, w związku z czym </w:t>
            </w:r>
            <w:r w:rsidR="00851FAD" w:rsidRPr="00D4148C">
              <w:rPr>
                <w:rFonts w:cs="Arial"/>
              </w:rPr>
              <w:t xml:space="preserve">wnioskodawcy, </w:t>
            </w:r>
            <w:r w:rsidRPr="00D4148C">
              <w:rPr>
                <w:rFonts w:cs="Arial"/>
              </w:rPr>
              <w:br/>
            </w:r>
            <w:r w:rsidR="00851FAD" w:rsidRPr="00D4148C">
              <w:rPr>
                <w:rFonts w:cs="Arial"/>
              </w:rPr>
              <w:t>w przypadku pozostawienia jego wniosku o dofinansowanie bez rozpatrzenia, nie przysługuje protest w rozumieniu rozdziału 15 ustawy</w:t>
            </w:r>
            <w:r w:rsidRPr="00D4148C">
              <w:rPr>
                <w:rFonts w:cs="Arial"/>
              </w:rPr>
              <w:t>.</w:t>
            </w:r>
            <w:r w:rsidR="00851FAD" w:rsidRPr="00D4148C">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xml:space="preserve">– jeśli dotyczą </w:t>
            </w:r>
            <w:r w:rsidRPr="000F1AC2">
              <w:rPr>
                <w:rFonts w:ascii="Calibri" w:hAnsi="Calibri" w:cs="Calibri"/>
              </w:rPr>
              <w:lastRenderedPageBreak/>
              <w:t>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5"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 xml:space="preserve">od godz. 8.00 dnia 1 lutego 2016 r. do godz. 15.00 dnia </w:t>
            </w:r>
            <w:r w:rsidR="00B36B2D">
              <w:rPr>
                <w:b/>
              </w:rPr>
              <w:t>31</w:t>
            </w:r>
            <w:r w:rsidR="00B36B2D" w:rsidRPr="000F1AC2">
              <w:rPr>
                <w:b/>
              </w:rPr>
              <w:t xml:space="preserve"> </w:t>
            </w:r>
            <w:r w:rsidR="00CF6BA4" w:rsidRPr="000F1AC2">
              <w:rPr>
                <w:b/>
              </w:rPr>
              <w:t>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 xml:space="preserve">z użyciem podpisu elektronicznego, weryfikowanego za pomocą kwalifikowanego certyfikatu lub </w:t>
            </w:r>
            <w:r w:rsidRPr="000F1AC2">
              <w:rPr>
                <w:rFonts w:cs="Arial"/>
              </w:rPr>
              <w:lastRenderedPageBreak/>
              <w:t>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lastRenderedPageBreak/>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D4148C" w:rsidRPr="000F1AC2" w:rsidRDefault="00D4148C" w:rsidP="00297AA3">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D4148C" w:rsidRPr="000F1AC2" w:rsidRDefault="00D4148C" w:rsidP="00297AA3">
            <w:pPr>
              <w:pStyle w:val="Default"/>
              <w:jc w:val="both"/>
              <w:rPr>
                <w:rFonts w:asciiTheme="minorHAnsi" w:hAnsiTheme="minorHAnsi"/>
                <w:color w:val="auto"/>
                <w:sz w:val="22"/>
                <w:szCs w:val="22"/>
              </w:rPr>
            </w:pP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D4148C" w:rsidRPr="000F1AC2" w:rsidRDefault="00D4148C" w:rsidP="0081019B">
            <w:pPr>
              <w:pStyle w:val="Default"/>
              <w:jc w:val="both"/>
              <w:rPr>
                <w:color w:val="auto"/>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D4148C" w:rsidRPr="000F1AC2" w:rsidRDefault="00D4148C"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F74960" w:rsidRPr="00F74960"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D4148C" w:rsidRPr="00F74960" w:rsidRDefault="00D4148C" w:rsidP="007A06B8">
            <w:pPr>
              <w:spacing w:before="240" w:line="240" w:lineRule="auto"/>
              <w:jc w:val="both"/>
            </w:pPr>
            <w:r w:rsidRPr="00F74960">
              <w:t xml:space="preserve">Studium wykonalności nie stanowi osobnego załącznika do wniosku </w:t>
            </w:r>
            <w:r w:rsidRPr="00F74960">
              <w:br/>
              <w:t xml:space="preserve">o dofinansowanie. Część opisowa studium jest zintegrowana z wnioskiem, stanowiąc jedną z zakładek w generatorze wniosków. Nie przewidziano odrębnych wytycznych IZ RPO WD do sporządzania studium wykonalności. </w:t>
            </w:r>
            <w:r w:rsidRPr="00F74960">
              <w:lastRenderedPageBreak/>
              <w:t xml:space="preserve">Wymogi dotyczące zakresu informacji, jakie muszą się znaleźć w poszczególnych punktach w zakładce </w:t>
            </w:r>
            <w:r w:rsidRPr="00F74960">
              <w:rPr>
                <w:i/>
              </w:rPr>
              <w:t>Studium wykonalności</w:t>
            </w:r>
            <w:r w:rsidRPr="00F74960">
              <w:t xml:space="preserve"> zawarte są w instrukcji wypełnienia wniosku o dofinansowanie. Ponadto Wnioskodawcy zobowiązani są do przedłożenia analizy finansowej w postaci arkuszy kalkulacyjnych w formacie Excel z aktywnymi formułami</w:t>
            </w:r>
            <w:r w:rsidR="0032486E" w:rsidRPr="00F74960">
              <w:t xml:space="preserve"> oraz do przedłożenia analizy ekonomicznej (kosztów i korzyści) pozwalającej oszacować </w:t>
            </w:r>
            <w:r w:rsidR="0032486E" w:rsidRPr="00F74960">
              <w:rPr>
                <w:b/>
              </w:rPr>
              <w:t>społeczno-ekonomiczną stopę zwrotu</w:t>
            </w:r>
            <w:r w:rsidRPr="00F74960">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2486E" w:rsidRPr="00F74960" w:rsidRDefault="0032486E" w:rsidP="007A06B8">
            <w:pPr>
              <w:spacing w:before="240" w:line="240" w:lineRule="auto"/>
              <w:jc w:val="both"/>
            </w:pPr>
            <w:r w:rsidRPr="00F74960">
              <w:t xml:space="preserve">W przypadku skomplikowanych projektów realizowanych </w:t>
            </w:r>
            <w:r w:rsidR="001758BD">
              <w:t>co najmniej 10</w:t>
            </w:r>
            <w:r w:rsidRPr="00F74960">
              <w:t xml:space="preserve"> 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D4148C" w:rsidRPr="00F74960" w:rsidRDefault="00D4148C" w:rsidP="00A75F59">
            <w:pPr>
              <w:spacing w:before="240" w:line="240" w:lineRule="auto"/>
              <w:jc w:val="both"/>
              <w:rPr>
                <w:rFonts w:cs="Calibri"/>
              </w:rPr>
            </w:pPr>
            <w:r w:rsidRPr="00F74960">
              <w:t xml:space="preserve">Na stronie internetowej </w:t>
            </w:r>
            <w:hyperlink r:id="rId20" w:history="1">
              <w:r w:rsidRPr="00F74960">
                <w:rPr>
                  <w:rStyle w:val="Hipercze"/>
                  <w:color w:val="auto"/>
                </w:rPr>
                <w:t>www.rpo.dolnyslask.pl</w:t>
              </w:r>
            </w:hyperlink>
            <w:r w:rsidRPr="00F74960">
              <w:t xml:space="preserve"> w zakładce: </w:t>
            </w:r>
            <w:r w:rsidRPr="00F74960">
              <w:rPr>
                <w:i/>
              </w:rPr>
              <w:t xml:space="preserve">RPO 2014 2020 &gt; Dowiedz się więcej o programie &gt; Pobierz poradniki i publikacje </w:t>
            </w:r>
            <w:r w:rsidRPr="00F74960">
              <w:t xml:space="preserve">zamieszczono opracowanie pn. „Analiza finansowa na potrzeby aplikacji o środki Europejskiego Funduszu Rozwoju Regionalnego w ramach RPO WD 2014 – 2020 - przykłady” zawierające przykładowe tabele (puste) oraz fikcyjną analizę finansową dla </w:t>
            </w:r>
            <w:r w:rsidRPr="00F74960">
              <w:br/>
              <w:t xml:space="preserve">4 różnych rodzajów projektów. W zakładce: </w:t>
            </w:r>
            <w:r w:rsidRPr="00F74960">
              <w:rPr>
                <w:i/>
              </w:rPr>
              <w:t>RPO 2014 2020</w:t>
            </w:r>
            <w:r w:rsidRPr="00F74960">
              <w:t xml:space="preserve"> &gt; </w:t>
            </w:r>
            <w:r w:rsidRPr="00F74960">
              <w:rPr>
                <w:i/>
              </w:rPr>
              <w:t xml:space="preserve">Skorzystaj </w:t>
            </w:r>
            <w:r w:rsidRPr="00F74960">
              <w:rPr>
                <w:i/>
              </w:rPr>
              <w:br/>
              <w:t xml:space="preserve">z programu &gt; Jak zacząć korzystać z programu &gt; Wypełnienie wniosku </w:t>
            </w:r>
            <w:r w:rsidRPr="00F74960">
              <w:t xml:space="preserve">zamieszczono ramową strukturę studium wykonalności na potrzeby aplikacji </w:t>
            </w:r>
            <w:r w:rsidRPr="00F74960">
              <w:br/>
              <w:t>o środki Europejskiego Funduszu Rozwoju Regionalnego w ramach RPO WD 2014 – 2020 (listy pól, które wnioskodawcy będą wypełniać w generatorze wniosków w części dotyczącej studium wykonalności).</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D4148C" w:rsidRPr="000F1AC2" w:rsidRDefault="00D4148C"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 xml:space="preserve">Lista wskaźników na poziomie projektu dla poddziałania 2.1.1 E-usługi publiczne RPO WD 2014-2020 </w:t>
            </w:r>
            <w:r w:rsidRPr="000F1AC2">
              <w:rPr>
                <w:color w:val="auto"/>
                <w:sz w:val="22"/>
                <w:szCs w:val="22"/>
              </w:rPr>
              <w:t>do niniejszego Regulaminu</w:t>
            </w:r>
            <w:r w:rsidRPr="000F1AC2">
              <w:rPr>
                <w:iCs/>
                <w:color w:val="auto"/>
                <w:sz w:val="22"/>
                <w:szCs w:val="22"/>
              </w:rPr>
              <w:t xml:space="preserve">. </w:t>
            </w:r>
          </w:p>
          <w:p w:rsidR="00D4148C" w:rsidRPr="000F1AC2" w:rsidRDefault="00D4148C"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3A6136">
            <w:pPr>
              <w:spacing w:after="0" w:line="240" w:lineRule="auto"/>
              <w:jc w:val="both"/>
              <w:rPr>
                <w:rFonts w:ascii="Calibri" w:hAnsi="Calibri"/>
              </w:rPr>
            </w:pPr>
            <w:r w:rsidRPr="000F1AC2">
              <w:rPr>
                <w:rFonts w:ascii="Calibri" w:hAnsi="Calibri"/>
              </w:rPr>
              <w:t xml:space="preserve">IZ RPO WD, po zakończeniu każdego etapu konkursu </w:t>
            </w:r>
            <w:r w:rsidRPr="000F1AC2">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w:t>
            </w:r>
            <w:r w:rsidRPr="000F1AC2">
              <w:rPr>
                <w:rFonts w:ascii="Calibri" w:hAnsi="Calibri"/>
              </w:rPr>
              <w:lastRenderedPageBreak/>
              <w:t xml:space="preserve">kryteriów wyboru projektów. </w:t>
            </w:r>
          </w:p>
          <w:p w:rsidR="00D4148C" w:rsidRPr="000F1AC2" w:rsidRDefault="00D4148C"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 wdrożeniowej.</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CA2A13" w:rsidRDefault="00D4148C" w:rsidP="00CA2A13">
            <w:pPr>
              <w:spacing w:after="0" w:line="240" w:lineRule="auto"/>
              <w:jc w:val="both"/>
              <w:rPr>
                <w:rFonts w:ascii="Calibri" w:hAnsi="Calibri"/>
              </w:rPr>
            </w:pPr>
            <w:r w:rsidRPr="000F1AC2">
              <w:rPr>
                <w:rFonts w:ascii="Calibri" w:hAnsi="Calibri"/>
              </w:rPr>
              <w:t>Protest przysługuje Wnioskodawcy od negatywnej oceny projektu</w:t>
            </w:r>
            <w:r>
              <w:t xml:space="preserve"> </w:t>
            </w:r>
            <w:r w:rsidRPr="00CA2A13">
              <w:rPr>
                <w:rFonts w:ascii="Calibri" w:hAnsi="Calibri"/>
              </w:rPr>
              <w:t>w zakresie spełnienia przez projekt kryteriów wyboru projektów, w ramach której:</w:t>
            </w:r>
          </w:p>
          <w:p w:rsidR="00D4148C" w:rsidRPr="00CA2A13" w:rsidRDefault="00D4148C"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D4148C" w:rsidRPr="00CA2A13" w:rsidRDefault="00D4148C" w:rsidP="00CA2A13">
            <w:pPr>
              <w:spacing w:after="0" w:line="240" w:lineRule="auto"/>
              <w:jc w:val="both"/>
              <w:rPr>
                <w:rFonts w:ascii="Calibri" w:hAnsi="Calibri"/>
              </w:rPr>
            </w:pPr>
            <w:r w:rsidRPr="00CA2A13">
              <w:rPr>
                <w:rFonts w:ascii="Calibri" w:hAnsi="Calibri"/>
              </w:rPr>
              <w:t>lub</w:t>
            </w:r>
          </w:p>
          <w:p w:rsidR="00D4148C" w:rsidRDefault="00D4148C"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4148C" w:rsidRDefault="00D4148C" w:rsidP="00CA2A13">
            <w:pPr>
              <w:spacing w:after="0" w:line="240" w:lineRule="auto"/>
              <w:jc w:val="both"/>
              <w:rPr>
                <w:rFonts w:ascii="Calibri" w:hAnsi="Calibri"/>
              </w:rPr>
            </w:pPr>
          </w:p>
          <w:p w:rsidR="00D4148C" w:rsidRPr="003C6677" w:rsidRDefault="00D4148C"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D4148C" w:rsidRDefault="00D4148C" w:rsidP="00CA2A13">
            <w:pPr>
              <w:spacing w:after="0" w:line="240" w:lineRule="auto"/>
              <w:jc w:val="both"/>
              <w:rPr>
                <w:rFonts w:ascii="Calibri" w:hAnsi="Calibri"/>
              </w:rPr>
            </w:pP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Protest jest wnoszony przez Wnioskodawcę w formie pisemnej, bezpośrednio do IZ RPO WD. Zgodnie z art. 54 ust. 2 ustawy wdrożeniowej, </w:t>
            </w:r>
            <w:r w:rsidRPr="000F1AC2">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0F1AC2">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tabs>
                <w:tab w:val="num" w:pos="0"/>
              </w:tabs>
              <w:spacing w:after="0" w:line="240" w:lineRule="auto"/>
              <w:jc w:val="both"/>
              <w:rPr>
                <w:rFonts w:ascii="Calibri" w:hAnsi="Calibri" w:cs="Arial"/>
              </w:rPr>
            </w:pPr>
            <w:r w:rsidRPr="000F1AC2">
              <w:rPr>
                <w:rFonts w:ascii="Calibri" w:hAnsi="Calibri" w:cs="Arial"/>
              </w:rPr>
              <w:lastRenderedPageBreak/>
              <w:t xml:space="preserve">IZ RPO WD rozpatruje protest – weryfikując prawidłowość oceny projektu </w:t>
            </w:r>
            <w:r w:rsidRPr="000F1AC2">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D4148C" w:rsidRPr="000F1AC2" w:rsidRDefault="00D4148C"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D4148C" w:rsidRPr="000F1AC2" w:rsidRDefault="00D4148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D4148C" w:rsidRPr="000F1AC2" w:rsidRDefault="00D4148C" w:rsidP="0071078C">
            <w:pPr>
              <w:spacing w:after="0" w:line="240" w:lineRule="auto"/>
              <w:jc w:val="both"/>
              <w:rPr>
                <w:rFonts w:ascii="Calibri" w:hAnsi="Calibri"/>
              </w:rPr>
            </w:pPr>
            <w:r w:rsidRPr="000F1AC2">
              <w:rPr>
                <w:rFonts w:ascii="Calibri" w:hAnsi="Calibri"/>
              </w:rPr>
              <w:t xml:space="preserve">- po terminie, </w:t>
            </w:r>
          </w:p>
          <w:p w:rsidR="00D4148C" w:rsidRPr="000F1AC2" w:rsidRDefault="00D4148C"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D4148C" w:rsidRPr="000F1AC2" w:rsidRDefault="00D4148C" w:rsidP="0071078C">
            <w:pPr>
              <w:spacing w:after="0" w:line="240" w:lineRule="auto"/>
              <w:jc w:val="both"/>
              <w:rPr>
                <w:rFonts w:ascii="Calibri" w:hAnsi="Calibri"/>
              </w:rPr>
            </w:pPr>
            <w:r w:rsidRPr="000F1AC2">
              <w:rPr>
                <w:rFonts w:ascii="Calibri" w:hAnsi="Calibri"/>
              </w:rPr>
              <w:t>- bez wskazania kryteriów wyboru projektów, z których oceną Wnioskodawca się nie zgadza</w:t>
            </w:r>
            <w:r>
              <w:rPr>
                <w:rFonts w:ascii="Calibri" w:hAnsi="Calibri"/>
              </w:rPr>
              <w:t xml:space="preserve">, </w:t>
            </w:r>
            <w:r w:rsidRPr="000F1AC2">
              <w:rPr>
                <w:rFonts w:ascii="Calibri" w:hAnsi="Calibri"/>
              </w:rPr>
              <w:t>wraz z uzasadnieniem.</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D4148C" w:rsidRPr="000F1AC2" w:rsidRDefault="00D4148C" w:rsidP="0071078C">
            <w:pPr>
              <w:spacing w:after="0" w:line="240" w:lineRule="auto"/>
              <w:jc w:val="both"/>
              <w:rPr>
                <w:rFonts w:ascii="Calibri" w:hAnsi="Calibri"/>
              </w:rPr>
            </w:pP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Pr="000F1AC2">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0F1AC2">
              <w:rPr>
                <w:rFonts w:ascii="Calibri" w:eastAsia="Calibri" w:hAnsi="Calibri" w:cs="Arial"/>
              </w:rPr>
              <w:br/>
              <w:t xml:space="preserve">W przypadku, gdy w odpowiedzi na wezwanie: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IZ RPO WD pisemnie informuje Wnioskodawcę o pozostawieniu protestu bez rozpatrzenia, wskazując przesłankę/przesłanki będące przyczyną odmowy </w:t>
            </w:r>
            <w:r w:rsidRPr="000F1AC2">
              <w:rPr>
                <w:rFonts w:ascii="Calibri" w:eastAsia="Calibri" w:hAnsi="Calibri" w:cs="Arial"/>
              </w:rPr>
              <w:lastRenderedPageBreak/>
              <w:t>rozstrzygnięcia środka odwoławczego.</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suppressAutoHyphens/>
              <w:spacing w:after="0" w:line="240" w:lineRule="auto"/>
              <w:jc w:val="both"/>
              <w:rPr>
                <w:rFonts w:ascii="Calibri" w:hAnsi="Calibri" w:cs="Arial"/>
              </w:rPr>
            </w:pPr>
            <w:r w:rsidRPr="000F1AC2">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D4148C" w:rsidRPr="000F1AC2" w:rsidRDefault="00D4148C" w:rsidP="00540EE1">
            <w:pPr>
              <w:tabs>
                <w:tab w:val="left" w:pos="993"/>
                <w:tab w:val="left" w:pos="1276"/>
              </w:tabs>
              <w:spacing w:after="0" w:line="240" w:lineRule="auto"/>
              <w:jc w:val="both"/>
              <w:rPr>
                <w:rFonts w:ascii="Calibri" w:hAnsi="Calibri" w:cs="Arial"/>
              </w:rPr>
            </w:pP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148C" w:rsidRPr="000F1AC2" w:rsidRDefault="00D4148C" w:rsidP="00151119">
            <w:pPr>
              <w:autoSpaceDE w:val="0"/>
              <w:autoSpaceDN w:val="0"/>
              <w:adjustRightInd w:val="0"/>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 wdrożeniowej. Ww. listy zawierają m.in. numer wniosku, tytuł projektu, nazwę wnioskodawcy, kwotę dofinansowania oraz wartość całkowitą projektu. </w:t>
            </w:r>
          </w:p>
          <w:p w:rsidR="00D4148C" w:rsidRPr="000F1AC2" w:rsidRDefault="00D4148C"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1" w:history="1">
              <w:r w:rsidRPr="000F1AC2">
                <w:rPr>
                  <w:rStyle w:val="Hipercze"/>
                  <w:color w:val="auto"/>
                </w:rPr>
                <w:t>www.rpo.dolnyslask.pl</w:t>
              </w:r>
            </w:hyperlink>
            <w:r w:rsidRPr="000F1AC2">
              <w:t xml:space="preserve">  oraz na portalu Funduszy Europejskich: </w:t>
            </w:r>
            <w:hyperlink r:id="rId22"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D4148C" w:rsidRPr="000F1AC2" w:rsidRDefault="00D4148C"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informację o składzie KOP. </w:t>
            </w:r>
          </w:p>
          <w:p w:rsidR="00D4148C" w:rsidRPr="000F1AC2" w:rsidRDefault="00D4148C" w:rsidP="008600F3">
            <w:pPr>
              <w:pStyle w:val="Default"/>
              <w:jc w:val="both"/>
              <w:rPr>
                <w:rFonts w:asciiTheme="minorHAnsi" w:hAnsiTheme="minorHAnsi"/>
                <w:color w:val="auto"/>
                <w:sz w:val="22"/>
                <w:szCs w:val="22"/>
              </w:rPr>
            </w:pPr>
          </w:p>
          <w:p w:rsidR="00D4148C" w:rsidRPr="000F1AC2" w:rsidRDefault="00D4148C" w:rsidP="008600F3">
            <w:pPr>
              <w:pStyle w:val="Default"/>
              <w:jc w:val="both"/>
              <w:rPr>
                <w:color w:val="auto"/>
                <w:sz w:val="22"/>
                <w:szCs w:val="22"/>
              </w:rPr>
            </w:pPr>
            <w:r w:rsidRPr="000F1AC2">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0F1AC2">
              <w:rPr>
                <w:color w:val="auto"/>
                <w:sz w:val="22"/>
                <w:szCs w:val="22"/>
              </w:rPr>
              <w:br/>
              <w:t xml:space="preserve">w rozumieniu ustawy z dnia 6 września 2001 r. o dostępie do informacji publicznej (Tj. Dz. U. z 2014 r., poz. 782 z późn. zm.), nie są: </w:t>
            </w:r>
          </w:p>
          <w:p w:rsidR="00D4148C" w:rsidRPr="000F1AC2" w:rsidRDefault="00D4148C" w:rsidP="008600F3">
            <w:pPr>
              <w:pStyle w:val="Default"/>
              <w:jc w:val="both"/>
              <w:rPr>
                <w:color w:val="auto"/>
                <w:sz w:val="22"/>
                <w:szCs w:val="22"/>
              </w:rPr>
            </w:pPr>
            <w:r w:rsidRPr="000F1AC2">
              <w:rPr>
                <w:color w:val="auto"/>
                <w:sz w:val="22"/>
                <w:szCs w:val="22"/>
              </w:rPr>
              <w:t xml:space="preserve">a) dokumenty i informacje przedstawiane przez wnioskodawców, do momentu zawarcia z nimi umowy o dofinansowanie albo wydania w stosunku do nich decyzji o dofinansowaniu projektu; </w:t>
            </w:r>
          </w:p>
          <w:p w:rsidR="00D4148C" w:rsidRPr="000F1AC2" w:rsidRDefault="00D4148C"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D4148C" w:rsidRPr="000F1AC2" w:rsidRDefault="00D4148C"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w:t>
            </w:r>
            <w:r w:rsidRPr="000F1AC2">
              <w:lastRenderedPageBreak/>
              <w:t xml:space="preserve">one informacji publicznej. </w:t>
            </w:r>
          </w:p>
          <w:p w:rsidR="00D4148C" w:rsidRPr="000F1AC2" w:rsidRDefault="00D4148C" w:rsidP="008600F3">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D4148C" w:rsidRPr="000F1AC2" w:rsidRDefault="00D4148C"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rPr>
                <w:rFonts w:cs="Calibri"/>
              </w:rPr>
              <w:t>IOK udziela wyjaśnień w kwestiach dotyczących konkursu i odpowiedzi na zapytania indywidualne poprzez</w:t>
            </w:r>
            <w:r w:rsidRPr="000F1AC2">
              <w:t xml:space="preserve">: </w:t>
            </w:r>
          </w:p>
          <w:p w:rsidR="00D4148C" w:rsidRPr="000F1AC2" w:rsidRDefault="00D4148C"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D4148C" w:rsidRPr="000F1AC2" w:rsidRDefault="00D4148C"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D4148C" w:rsidRPr="000F1AC2" w:rsidRDefault="00D4148C"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4148C" w:rsidRPr="000F1AC2" w:rsidRDefault="00D4148C"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D4148C" w:rsidRPr="000F1AC2" w:rsidRDefault="0081560B" w:rsidP="00D176C2">
            <w:pPr>
              <w:pStyle w:val="bodytext"/>
              <w:jc w:val="center"/>
              <w:rPr>
                <w:rFonts w:asciiTheme="minorHAnsi" w:hAnsiTheme="minorHAnsi"/>
                <w:b/>
                <w:sz w:val="22"/>
                <w:szCs w:val="22"/>
                <w:lang w:val="en-US"/>
              </w:rPr>
            </w:pPr>
            <w:hyperlink r:id="rId23" w:history="1">
              <w:r w:rsidR="00D4148C" w:rsidRPr="000F1AC2">
                <w:rPr>
                  <w:rStyle w:val="Hipercze"/>
                  <w:rFonts w:asciiTheme="minorHAnsi" w:hAnsiTheme="minorHAnsi"/>
                  <w:b/>
                  <w:color w:val="auto"/>
                  <w:sz w:val="22"/>
                  <w:szCs w:val="22"/>
                  <w:lang w:val="en-US"/>
                </w:rPr>
                <w:t>pife@dolnyslask.pl</w:t>
              </w:r>
            </w:hyperlink>
          </w:p>
          <w:p w:rsidR="00D4148C" w:rsidRPr="000F1AC2" w:rsidRDefault="0081560B" w:rsidP="00D176C2">
            <w:pPr>
              <w:spacing w:before="120" w:after="120" w:line="240" w:lineRule="auto"/>
              <w:jc w:val="center"/>
              <w:rPr>
                <w:lang w:val="en-US"/>
              </w:rPr>
            </w:pPr>
            <w:hyperlink r:id="rId24" w:history="1">
              <w:r w:rsidR="00D4148C" w:rsidRPr="000F1AC2">
                <w:rPr>
                  <w:rStyle w:val="Hipercze"/>
                  <w:color w:val="auto"/>
                  <w:lang w:val="en-US"/>
                </w:rPr>
                <w:t>pife.jeleniagora@dolnyslask.pl</w:t>
              </w:r>
            </w:hyperlink>
          </w:p>
          <w:p w:rsidR="00D4148C" w:rsidRPr="000F1AC2" w:rsidRDefault="0081560B" w:rsidP="00D176C2">
            <w:pPr>
              <w:spacing w:before="120" w:after="120" w:line="240" w:lineRule="auto"/>
              <w:jc w:val="center"/>
              <w:rPr>
                <w:lang w:val="en-US"/>
              </w:rPr>
            </w:pPr>
            <w:hyperlink r:id="rId25" w:history="1">
              <w:r w:rsidR="00D4148C" w:rsidRPr="000F1AC2">
                <w:rPr>
                  <w:rStyle w:val="Hipercze"/>
                  <w:color w:val="auto"/>
                  <w:lang w:val="en-US"/>
                </w:rPr>
                <w:t>pife.legnica@dolnyslask.pl</w:t>
              </w:r>
            </w:hyperlink>
          </w:p>
          <w:p w:rsidR="00D4148C" w:rsidRPr="007C0CD4" w:rsidRDefault="0081560B" w:rsidP="00D176C2">
            <w:pPr>
              <w:spacing w:before="120" w:after="120" w:line="240" w:lineRule="auto"/>
              <w:jc w:val="center"/>
            </w:pPr>
            <w:hyperlink r:id="rId26" w:history="1">
              <w:r w:rsidR="00D4148C" w:rsidRPr="007C0CD4">
                <w:rPr>
                  <w:rStyle w:val="Hipercze"/>
                  <w:color w:val="auto"/>
                </w:rPr>
                <w:t>pife.walbrzych@dolnyslask.pl</w:t>
              </w:r>
            </w:hyperlink>
          </w:p>
          <w:p w:rsidR="00D4148C" w:rsidRPr="007C0CD4" w:rsidRDefault="00D4148C" w:rsidP="00D176C2">
            <w:pPr>
              <w:autoSpaceDE w:val="0"/>
              <w:autoSpaceDN w:val="0"/>
              <w:adjustRightInd w:val="0"/>
              <w:spacing w:before="120" w:after="120" w:line="240" w:lineRule="auto"/>
              <w:jc w:val="both"/>
              <w:rPr>
                <w:rFonts w:cs="Calibri"/>
              </w:rPr>
            </w:pPr>
          </w:p>
          <w:p w:rsidR="00D4148C" w:rsidRPr="000F1AC2" w:rsidRDefault="00D4148C"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7"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Pr>
                <w:rFonts w:cs="Calibri"/>
              </w:rPr>
              <w:t xml:space="preserve"> Przed zadaniem pytania należy zapoznać się </w:t>
            </w:r>
            <w:r w:rsidRPr="007C0CD4">
              <w:rPr>
                <w:rFonts w:cs="Calibri"/>
              </w:rPr>
              <w:t>z katalogiem najczęściej zadawanych pytań.</w:t>
            </w:r>
          </w:p>
          <w:p w:rsidR="00D4148C" w:rsidRPr="000F1AC2" w:rsidRDefault="00D4148C"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0F1AC2">
                <w:rPr>
                  <w:rStyle w:val="Hipercze"/>
                  <w:rFonts w:cs="Calibri"/>
                  <w:color w:val="auto"/>
                </w:rPr>
                <w:t>www.rpo.dolnyslask.pl</w:t>
              </w:r>
            </w:hyperlink>
            <w:r w:rsidRPr="000F1AC2">
              <w:t>.</w:t>
            </w:r>
          </w:p>
          <w:p w:rsidR="00D4148C" w:rsidRPr="000F1AC2" w:rsidRDefault="00D4148C"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projektów wybranych do dofinansowania.</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26.</w:t>
            </w:r>
          </w:p>
        </w:tc>
        <w:tc>
          <w:tcPr>
            <w:tcW w:w="2268" w:type="dxa"/>
          </w:tcPr>
          <w:p w:rsidR="00D4148C" w:rsidRPr="000F1AC2" w:rsidRDefault="00D4148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w:t>
            </w:r>
            <w:r w:rsidRPr="000F1AC2">
              <w:rPr>
                <w:rFonts w:asciiTheme="minorHAnsi" w:hAnsiTheme="minorHAnsi"/>
                <w:b/>
                <w:bCs/>
                <w:color w:val="auto"/>
                <w:sz w:val="22"/>
                <w:szCs w:val="22"/>
              </w:rPr>
              <w:lastRenderedPageBreak/>
              <w:t xml:space="preserve">rozstrzygnięcia konkursu: </w:t>
            </w:r>
          </w:p>
        </w:tc>
        <w:tc>
          <w:tcPr>
            <w:tcW w:w="7494" w:type="dxa"/>
          </w:tcPr>
          <w:p w:rsidR="00D4148C" w:rsidRPr="000F1AC2" w:rsidRDefault="00D4148C" w:rsidP="008D3631">
            <w:pPr>
              <w:pStyle w:val="Default"/>
              <w:rPr>
                <w:color w:val="auto"/>
              </w:rPr>
            </w:pPr>
            <w:r w:rsidRPr="000F1AC2">
              <w:rPr>
                <w:rFonts w:asciiTheme="minorHAnsi" w:hAnsiTheme="minorHAnsi"/>
                <w:color w:val="auto"/>
                <w:sz w:val="22"/>
                <w:szCs w:val="22"/>
              </w:rPr>
              <w:lastRenderedPageBreak/>
              <w:t xml:space="preserve">Orientacyjny termin rozstrzygnięcia konkursu to wrzesień 2016 r. </w:t>
            </w:r>
          </w:p>
        </w:tc>
      </w:tr>
      <w:tr w:rsidR="00D4148C" w:rsidRPr="000F1AC2" w:rsidTr="00A60962">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lastRenderedPageBreak/>
              <w:t>27.</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t>IOK zastrzega sobie prawo do anulowania konkursu w następujących przypadkach do momentu zatwierdzenia listy rankingowej:</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D4148C" w:rsidRPr="000F1AC2" w:rsidRDefault="00D4148C"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D4148C" w:rsidRPr="000F1AC2" w:rsidRDefault="00D4148C"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4148C" w:rsidRPr="000F1AC2" w:rsidRDefault="00D4148C"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9" w:history="1">
              <w:r w:rsidRPr="000F1AC2">
                <w:rPr>
                  <w:rStyle w:val="Hipercze"/>
                  <w:rFonts w:cs="Calibri"/>
                  <w:color w:val="auto"/>
                </w:rPr>
                <w:t>www.rpo.dolnyslask.pl</w:t>
              </w:r>
            </w:hyperlink>
            <w:r w:rsidRPr="000F1AC2">
              <w:t>.</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28.</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D4148C" w:rsidRPr="000F1AC2" w:rsidRDefault="00D4148C" w:rsidP="000F329D">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późn. zm.), </w:t>
            </w:r>
          </w:p>
          <w:p w:rsidR="00D4148C" w:rsidRPr="000F1AC2" w:rsidRDefault="00D4148C"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lastRenderedPageBreak/>
              <w:t>Rozporządzenie Ministra Infrastruktury i Rozwoju z dnia 3 września 2015 r. w sprawie udzielania regionalnej pomocy inwestycyjnej w ramach regionalnych programów 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D4148C" w:rsidRPr="000F1AC2" w:rsidRDefault="00D4148C"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D4148C" w:rsidRPr="000F1AC2" w:rsidRDefault="00D4148C" w:rsidP="00D4232B">
            <w:pPr>
              <w:pStyle w:val="Default"/>
              <w:jc w:val="both"/>
              <w:rPr>
                <w:rFonts w:asciiTheme="minorHAnsi" w:hAnsiTheme="minorHAnsi"/>
                <w:color w:val="auto"/>
                <w:sz w:val="22"/>
                <w:szCs w:val="22"/>
              </w:rPr>
            </w:pPr>
          </w:p>
          <w:p w:rsidR="00D4148C" w:rsidRPr="000F1AC2" w:rsidRDefault="00D4148C" w:rsidP="00151119">
            <w:pPr>
              <w:spacing w:after="0" w:line="240" w:lineRule="auto"/>
              <w:jc w:val="both"/>
            </w:pPr>
          </w:p>
          <w:p w:rsidR="00D4148C" w:rsidRPr="000F1AC2" w:rsidRDefault="00D4148C"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D4148C" w:rsidRPr="000F1AC2" w:rsidRDefault="00D4148C" w:rsidP="00DB2EA5">
            <w:pPr>
              <w:spacing w:after="0" w:line="240" w:lineRule="auto"/>
              <w:jc w:val="both"/>
              <w:rPr>
                <w:rFonts w:ascii="Calibri" w:hAnsi="Calibri" w:cs="Arial"/>
              </w:rPr>
            </w:pPr>
          </w:p>
          <w:p w:rsidR="00D4148C" w:rsidRPr="000F1AC2" w:rsidRDefault="00D4148C" w:rsidP="00FA749C">
            <w:pPr>
              <w:spacing w:after="0" w:line="240" w:lineRule="auto"/>
              <w:jc w:val="both"/>
            </w:pPr>
            <w:r w:rsidRPr="000F1AC2">
              <w:t xml:space="preserve">Najpóźniejszy termin złożenia ostatniego wniosku o płatność: </w:t>
            </w:r>
            <w:r w:rsidRPr="000F1AC2">
              <w:rPr>
                <w:b/>
              </w:rPr>
              <w:t>06.2018 r.</w:t>
            </w:r>
          </w:p>
          <w:p w:rsidR="00D4148C" w:rsidRPr="000F1AC2" w:rsidRDefault="00D4148C" w:rsidP="00387FDF">
            <w:pPr>
              <w:pStyle w:val="Default"/>
              <w:jc w:val="both"/>
              <w:rPr>
                <w:rFonts w:asciiTheme="minorHAnsi" w:hAnsiTheme="minorHAnsi" w:cstheme="minorBidi"/>
                <w:color w:val="auto"/>
                <w:sz w:val="22"/>
                <w:szCs w:val="22"/>
              </w:rPr>
            </w:pPr>
          </w:p>
          <w:p w:rsidR="00D4148C" w:rsidRDefault="00D4148C"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D4148C" w:rsidRDefault="00D4148C" w:rsidP="008D405C">
            <w:pPr>
              <w:pStyle w:val="Default"/>
              <w:jc w:val="both"/>
              <w:rPr>
                <w:rFonts w:asciiTheme="minorHAnsi" w:hAnsiTheme="minorHAnsi"/>
                <w:b/>
                <w:sz w:val="22"/>
                <w:szCs w:val="22"/>
                <w:u w:val="single"/>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4148C" w:rsidRPr="00B26D06" w:rsidRDefault="00D4148C" w:rsidP="004D560E">
            <w:pPr>
              <w:autoSpaceDE w:val="0"/>
              <w:autoSpaceDN w:val="0"/>
              <w:adjustRightInd w:val="0"/>
              <w:spacing w:after="0" w:line="240" w:lineRule="auto"/>
              <w:jc w:val="both"/>
              <w:rPr>
                <w:rFonts w:cs="Calibri"/>
                <w:color w:val="000000"/>
              </w:rPr>
            </w:pPr>
          </w:p>
          <w:p w:rsidR="00D4148C" w:rsidRDefault="00D4148C" w:rsidP="004D560E">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2014-2020.</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lastRenderedPageBreak/>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D4148C" w:rsidRDefault="00D4148C" w:rsidP="004D560E">
            <w:pPr>
              <w:pStyle w:val="Default"/>
              <w:jc w:val="both"/>
              <w:rPr>
                <w:rFonts w:asciiTheme="minorHAnsi" w:hAnsiTheme="minorHAnsi"/>
                <w:b/>
                <w:sz w:val="22"/>
                <w:szCs w:val="22"/>
                <w:u w:val="single"/>
              </w:rPr>
            </w:pPr>
            <w:r w:rsidRPr="00B26D06">
              <w:t xml:space="preserve">Instytucja Zarządzająca RPO WD nie podpisze z Wnioskodawcą umowy </w:t>
            </w:r>
            <w:r>
              <w:br/>
            </w:r>
            <w:r w:rsidRPr="00B26D06">
              <w:t>o dofinansowanie projektu do czasu zakończenia przedmiotowej kontroli.</w:t>
            </w:r>
          </w:p>
          <w:p w:rsidR="00D4148C" w:rsidRPr="000F1AC2" w:rsidRDefault="00D4148C" w:rsidP="00456C95">
            <w:pPr>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D4148C" w:rsidRPr="000F1AC2" w:rsidRDefault="00D4148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D4148C" w:rsidRPr="000F1AC2" w:rsidRDefault="00D4148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4148C" w:rsidRPr="000F1AC2" w:rsidRDefault="00D4148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D4148C" w:rsidRPr="000F1AC2" w:rsidRDefault="00D4148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D4148C" w:rsidRPr="000F1AC2" w:rsidRDefault="00D4148C" w:rsidP="000763EC">
            <w:pPr>
              <w:pStyle w:val="Default"/>
              <w:jc w:val="both"/>
              <w:rPr>
                <w:rFonts w:asciiTheme="minorHAnsi" w:hAnsiTheme="minorHAnsi"/>
                <w:color w:val="auto"/>
                <w:sz w:val="22"/>
                <w:szCs w:val="22"/>
              </w:rPr>
            </w:pPr>
          </w:p>
        </w:tc>
      </w:tr>
      <w:tr w:rsidR="00D4148C" w:rsidRPr="00151119" w:rsidTr="006D7C1A">
        <w:tc>
          <w:tcPr>
            <w:tcW w:w="534" w:type="dxa"/>
          </w:tcPr>
          <w:p w:rsidR="00D4148C" w:rsidRDefault="00D4148C"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D4148C" w:rsidRPr="009E1832" w:rsidRDefault="00D4148C"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D4148C" w:rsidRPr="00850017"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D4148C" w:rsidRPr="00850017" w:rsidRDefault="00D4148C"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w:t>
            </w:r>
            <w:r w:rsidRPr="00850017">
              <w:lastRenderedPageBreak/>
              <w:t xml:space="preserve">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D4148C" w:rsidRPr="00850017" w:rsidRDefault="00D4148C"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0"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D4148C" w:rsidRPr="00850017" w:rsidRDefault="00D4148C"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D4148C" w:rsidRPr="00850017" w:rsidRDefault="00D4148C" w:rsidP="00850017">
            <w:pPr>
              <w:pStyle w:val="Akapitzlist"/>
              <w:spacing w:before="100" w:after="100" w:line="240" w:lineRule="auto"/>
              <w:ind w:left="360"/>
              <w:jc w:val="both"/>
              <w:rPr>
                <w:rFonts w:asciiTheme="minorHAnsi" w:hAnsiTheme="minorHAnsi"/>
                <w:szCs w:val="22"/>
              </w:rPr>
            </w:pPr>
          </w:p>
          <w:p w:rsidR="00D4148C"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D4148C" w:rsidRPr="00956559" w:rsidRDefault="00D4148C" w:rsidP="00956559">
            <w:pPr>
              <w:pStyle w:val="Akapitzlist"/>
              <w:rPr>
                <w:rFonts w:asciiTheme="minorHAnsi" w:hAnsiTheme="minorHAnsi"/>
                <w:szCs w:val="22"/>
              </w:rPr>
            </w:pPr>
          </w:p>
          <w:p w:rsidR="00D4148C" w:rsidRPr="00956559" w:rsidRDefault="00D4148C"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1" w:history="1">
              <w:r w:rsidRPr="002B1A75">
                <w:rPr>
                  <w:rStyle w:val="Hipercze"/>
                  <w:rFonts w:cs="Tahoma"/>
                </w:rPr>
                <w:t>www.rpo.dolnyslask.pl</w:t>
              </w:r>
            </w:hyperlink>
            <w:r w:rsidRPr="00956559">
              <w:rPr>
                <w:rFonts w:cs="Tahoma"/>
              </w:rPr>
              <w:t>.</w:t>
            </w:r>
            <w:r>
              <w:rPr>
                <w:rFonts w:cs="Tahoma"/>
              </w:rPr>
              <w:t xml:space="preserve"> </w:t>
            </w:r>
          </w:p>
          <w:p w:rsidR="00D4148C" w:rsidRPr="00850017" w:rsidRDefault="00D4148C"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D4148C" w:rsidRPr="009E1832" w:rsidRDefault="00D4148C"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D4148C" w:rsidRPr="000F1AC2" w:rsidRDefault="00D4148C"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D4148C" w:rsidRPr="000F1AC2" w:rsidRDefault="00D4148C"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D4148C" w:rsidRPr="000F1AC2" w:rsidRDefault="00D4148C"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D4148C" w:rsidRPr="000F1AC2" w:rsidRDefault="00D4148C"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w:t>
            </w:r>
            <w:r w:rsidRPr="000F1AC2">
              <w:lastRenderedPageBreak/>
              <w:t xml:space="preserve">partnerstwa, odpowiedzialność za prawidłową realizację projektu ponosi Beneficjent jako strona umowy o dofinansowanie. </w:t>
            </w:r>
          </w:p>
          <w:p w:rsidR="00D4148C" w:rsidRPr="000F1AC2" w:rsidRDefault="00D4148C"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D4148C" w:rsidRPr="000F1AC2" w:rsidRDefault="00D4148C"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4148C" w:rsidRPr="000F1AC2" w:rsidRDefault="00D4148C" w:rsidP="009E1832">
            <w:pPr>
              <w:spacing w:before="120" w:after="120" w:line="240" w:lineRule="auto"/>
              <w:jc w:val="both"/>
            </w:pPr>
            <w:r w:rsidRPr="000F1AC2">
              <w:t xml:space="preserve">Utworzenie partnerstwa musi nastąpić przed złożeniem wniosku o dofinansowanie. </w:t>
            </w:r>
          </w:p>
          <w:p w:rsidR="00D4148C" w:rsidRPr="000F1AC2" w:rsidRDefault="00D4148C" w:rsidP="009E1832">
            <w:pPr>
              <w:spacing w:before="120" w:after="120" w:line="240" w:lineRule="auto"/>
              <w:jc w:val="both"/>
            </w:pPr>
            <w:r w:rsidRPr="000F1AC2">
              <w:t>Stroną porozumienia oraz umowy o partnerstwie nie może być podmiot wykluczony z możliwości otrzymania dofinansowania.</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D4148C" w:rsidRPr="000F1AC2" w:rsidRDefault="00D4148C"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D4148C" w:rsidRPr="000F1AC2" w:rsidRDefault="00D4148C"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D4148C" w:rsidRPr="000F1AC2" w:rsidRDefault="00D4148C" w:rsidP="009E1832">
            <w:pPr>
              <w:spacing w:before="120" w:after="120" w:line="240" w:lineRule="auto"/>
              <w:jc w:val="both"/>
            </w:pPr>
          </w:p>
          <w:p w:rsidR="00D4148C" w:rsidRPr="000F1AC2" w:rsidRDefault="00D4148C"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D4148C" w:rsidRPr="000F1AC2" w:rsidRDefault="00D4148C"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z późn. zm.), ubiegający się o dofinansowanie dokonuje wyboru partnerów spoza sektora finansów publicznych z zachowaniem zasady przejrzystości i równego traktowania podmiotów. Z zachowaniem zasad określonych w art. 33 ust. 2 ustawy.</w:t>
            </w:r>
          </w:p>
          <w:p w:rsidR="00D4148C" w:rsidRPr="000F1AC2" w:rsidRDefault="00D4148C"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D4148C" w:rsidRPr="000F1AC2" w:rsidRDefault="00D4148C"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3B3A15">
        <w:rPr>
          <w:rFonts w:asciiTheme="minorHAnsi" w:hAnsiTheme="minorHAnsi" w:cs="Calibri"/>
          <w:color w:val="000000"/>
          <w:szCs w:val="22"/>
        </w:rPr>
        <w:t>/</w:t>
      </w:r>
      <w:r w:rsidR="00FB5E7A">
        <w:rPr>
          <w:rFonts w:asciiTheme="minorHAnsi" w:hAnsiTheme="minorHAnsi" w:cs="Calibri"/>
          <w:color w:val="000000"/>
          <w:szCs w:val="22"/>
        </w:rPr>
        <w:t>decyzj</w:t>
      </w:r>
      <w:r w:rsidR="00877C5A">
        <w:rPr>
          <w:rFonts w:asciiTheme="minorHAnsi" w:hAnsiTheme="minorHAnsi" w:cs="Calibri"/>
          <w:color w:val="000000"/>
          <w:szCs w:val="22"/>
        </w:rPr>
        <w:t>i</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A3" w:rsidRDefault="00297AA3" w:rsidP="00E873C4">
      <w:pPr>
        <w:spacing w:after="0" w:line="240" w:lineRule="auto"/>
      </w:pPr>
      <w:r>
        <w:separator/>
      </w:r>
    </w:p>
  </w:endnote>
  <w:endnote w:type="continuationSeparator" w:id="0">
    <w:p w:rsidR="00297AA3" w:rsidRDefault="00297AA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A3" w:rsidRDefault="00297AA3" w:rsidP="00E873C4">
      <w:pPr>
        <w:spacing w:after="0" w:line="240" w:lineRule="auto"/>
      </w:pPr>
      <w:r>
        <w:separator/>
      </w:r>
    </w:p>
  </w:footnote>
  <w:footnote w:type="continuationSeparator" w:id="0">
    <w:p w:rsidR="00297AA3" w:rsidRDefault="00297AA3" w:rsidP="00E873C4">
      <w:pPr>
        <w:spacing w:after="0" w:line="240" w:lineRule="auto"/>
      </w:pPr>
      <w:r>
        <w:continuationSeparator/>
      </w:r>
    </w:p>
  </w:footnote>
  <w:footnote w:id="1">
    <w:p w:rsidR="00297AA3" w:rsidRPr="009447AC" w:rsidRDefault="00297A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2">
    <w:p w:rsidR="00297AA3" w:rsidRPr="009E3CD8" w:rsidRDefault="00297AA3" w:rsidP="009E3CD8">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297AA3" w:rsidRDefault="00297A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746583F"/>
    <w:multiLevelType w:val="hybridMultilevel"/>
    <w:tmpl w:val="7C68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BA20FC"/>
    <w:multiLevelType w:val="hybridMultilevel"/>
    <w:tmpl w:val="D5D25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003AA"/>
    <w:multiLevelType w:val="hybridMultilevel"/>
    <w:tmpl w:val="9544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2"/>
  </w:num>
  <w:num w:numId="4">
    <w:abstractNumId w:val="28"/>
  </w:num>
  <w:num w:numId="5">
    <w:abstractNumId w:val="3"/>
  </w:num>
  <w:num w:numId="6">
    <w:abstractNumId w:val="35"/>
  </w:num>
  <w:num w:numId="7">
    <w:abstractNumId w:val="7"/>
  </w:num>
  <w:num w:numId="8">
    <w:abstractNumId w:val="12"/>
  </w:num>
  <w:num w:numId="9">
    <w:abstractNumId w:val="30"/>
  </w:num>
  <w:num w:numId="10">
    <w:abstractNumId w:val="17"/>
  </w:num>
  <w:num w:numId="11">
    <w:abstractNumId w:val="2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0"/>
  </w:num>
  <w:num w:numId="17">
    <w:abstractNumId w:val="37"/>
  </w:num>
  <w:num w:numId="18">
    <w:abstractNumId w:val="21"/>
  </w:num>
  <w:num w:numId="19">
    <w:abstractNumId w:val="1"/>
  </w:num>
  <w:num w:numId="20">
    <w:abstractNumId w:val="18"/>
  </w:num>
  <w:num w:numId="21">
    <w:abstractNumId w:val="22"/>
  </w:num>
  <w:num w:numId="22">
    <w:abstractNumId w:val="36"/>
  </w:num>
  <w:num w:numId="23">
    <w:abstractNumId w:val="15"/>
  </w:num>
  <w:num w:numId="24">
    <w:abstractNumId w:val="29"/>
  </w:num>
  <w:num w:numId="25">
    <w:abstractNumId w:val="33"/>
  </w:num>
  <w:num w:numId="26">
    <w:abstractNumId w:val="16"/>
  </w:num>
  <w:num w:numId="27">
    <w:abstractNumId w:val="19"/>
  </w:num>
  <w:num w:numId="28">
    <w:abstractNumId w:val="4"/>
  </w:num>
  <w:num w:numId="29">
    <w:abstractNumId w:val="24"/>
  </w:num>
  <w:num w:numId="30">
    <w:abstractNumId w:val="34"/>
  </w:num>
  <w:num w:numId="31">
    <w:abstractNumId w:val="27"/>
  </w:num>
  <w:num w:numId="32">
    <w:abstractNumId w:val="2"/>
  </w:num>
  <w:num w:numId="33">
    <w:abstractNumId w:val="14"/>
  </w:num>
  <w:num w:numId="34">
    <w:abstractNumId w:val="6"/>
  </w:num>
  <w:num w:numId="35">
    <w:abstractNumId w:val="9"/>
  </w:num>
  <w:num w:numId="36">
    <w:abstractNumId w:val="31"/>
  </w:num>
  <w:num w:numId="37">
    <w:abstractNumId w:val="20"/>
  </w:num>
  <w:num w:numId="38">
    <w:abstractNumId w:val="13"/>
  </w:num>
  <w:num w:numId="3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52B0"/>
    <w:rsid w:val="00067A0F"/>
    <w:rsid w:val="000763EC"/>
    <w:rsid w:val="00077561"/>
    <w:rsid w:val="00083567"/>
    <w:rsid w:val="000A5A8B"/>
    <w:rsid w:val="000A6962"/>
    <w:rsid w:val="000B035A"/>
    <w:rsid w:val="000B40FD"/>
    <w:rsid w:val="000C10A2"/>
    <w:rsid w:val="000C3565"/>
    <w:rsid w:val="000C47BE"/>
    <w:rsid w:val="000D366A"/>
    <w:rsid w:val="000E092B"/>
    <w:rsid w:val="000E2E3A"/>
    <w:rsid w:val="000E573E"/>
    <w:rsid w:val="000E7206"/>
    <w:rsid w:val="000E776E"/>
    <w:rsid w:val="000E7FD3"/>
    <w:rsid w:val="000F1AC2"/>
    <w:rsid w:val="000F329D"/>
    <w:rsid w:val="000F6E5D"/>
    <w:rsid w:val="00101E95"/>
    <w:rsid w:val="0010374F"/>
    <w:rsid w:val="001114F7"/>
    <w:rsid w:val="00116A7F"/>
    <w:rsid w:val="00124CCA"/>
    <w:rsid w:val="00130AA7"/>
    <w:rsid w:val="00141276"/>
    <w:rsid w:val="00141926"/>
    <w:rsid w:val="00141FBD"/>
    <w:rsid w:val="00144B6A"/>
    <w:rsid w:val="0015088A"/>
    <w:rsid w:val="00151119"/>
    <w:rsid w:val="00163C1F"/>
    <w:rsid w:val="001741B3"/>
    <w:rsid w:val="001758BD"/>
    <w:rsid w:val="00182231"/>
    <w:rsid w:val="001B7E02"/>
    <w:rsid w:val="001E4942"/>
    <w:rsid w:val="00203AEB"/>
    <w:rsid w:val="002049F3"/>
    <w:rsid w:val="00216D57"/>
    <w:rsid w:val="002226CE"/>
    <w:rsid w:val="002366CF"/>
    <w:rsid w:val="002368A3"/>
    <w:rsid w:val="002479B3"/>
    <w:rsid w:val="002559DF"/>
    <w:rsid w:val="00263D0C"/>
    <w:rsid w:val="00264CC3"/>
    <w:rsid w:val="002771D8"/>
    <w:rsid w:val="00284BCE"/>
    <w:rsid w:val="002872B3"/>
    <w:rsid w:val="00297AA3"/>
    <w:rsid w:val="00297C5D"/>
    <w:rsid w:val="002A02F4"/>
    <w:rsid w:val="002A772D"/>
    <w:rsid w:val="002B4B1B"/>
    <w:rsid w:val="002B5686"/>
    <w:rsid w:val="002B745A"/>
    <w:rsid w:val="002B7A29"/>
    <w:rsid w:val="002C08CD"/>
    <w:rsid w:val="002D184C"/>
    <w:rsid w:val="002D6AE8"/>
    <w:rsid w:val="002E5B1F"/>
    <w:rsid w:val="002F2511"/>
    <w:rsid w:val="00300CB6"/>
    <w:rsid w:val="00300E2C"/>
    <w:rsid w:val="00313F93"/>
    <w:rsid w:val="00315B8E"/>
    <w:rsid w:val="00320901"/>
    <w:rsid w:val="0032333D"/>
    <w:rsid w:val="0032486E"/>
    <w:rsid w:val="003278B8"/>
    <w:rsid w:val="00331C42"/>
    <w:rsid w:val="00344EF4"/>
    <w:rsid w:val="00346319"/>
    <w:rsid w:val="00355022"/>
    <w:rsid w:val="00364F8A"/>
    <w:rsid w:val="00372F5E"/>
    <w:rsid w:val="00385497"/>
    <w:rsid w:val="00386933"/>
    <w:rsid w:val="00387FDF"/>
    <w:rsid w:val="00390D9C"/>
    <w:rsid w:val="00393818"/>
    <w:rsid w:val="003A06E1"/>
    <w:rsid w:val="003A0AC0"/>
    <w:rsid w:val="003A6136"/>
    <w:rsid w:val="003B3A15"/>
    <w:rsid w:val="003B6C9D"/>
    <w:rsid w:val="003C4931"/>
    <w:rsid w:val="003D255F"/>
    <w:rsid w:val="003D6EF8"/>
    <w:rsid w:val="003F1BA7"/>
    <w:rsid w:val="003F59D8"/>
    <w:rsid w:val="00424DF6"/>
    <w:rsid w:val="00430B0A"/>
    <w:rsid w:val="00434B9B"/>
    <w:rsid w:val="00435B86"/>
    <w:rsid w:val="00442880"/>
    <w:rsid w:val="00456C95"/>
    <w:rsid w:val="004640F4"/>
    <w:rsid w:val="00473A69"/>
    <w:rsid w:val="00474A39"/>
    <w:rsid w:val="00476C45"/>
    <w:rsid w:val="00485BAF"/>
    <w:rsid w:val="004905C3"/>
    <w:rsid w:val="004A3789"/>
    <w:rsid w:val="004B137E"/>
    <w:rsid w:val="004B45B7"/>
    <w:rsid w:val="004C4183"/>
    <w:rsid w:val="004D0373"/>
    <w:rsid w:val="004D07A7"/>
    <w:rsid w:val="004D560E"/>
    <w:rsid w:val="004D6188"/>
    <w:rsid w:val="004E1A59"/>
    <w:rsid w:val="004E245A"/>
    <w:rsid w:val="004E2E01"/>
    <w:rsid w:val="004F4D56"/>
    <w:rsid w:val="004F7ABA"/>
    <w:rsid w:val="0051043C"/>
    <w:rsid w:val="00511137"/>
    <w:rsid w:val="0051536A"/>
    <w:rsid w:val="005261AF"/>
    <w:rsid w:val="00526BD5"/>
    <w:rsid w:val="00530F60"/>
    <w:rsid w:val="00532690"/>
    <w:rsid w:val="00532F07"/>
    <w:rsid w:val="0053485A"/>
    <w:rsid w:val="00540EE1"/>
    <w:rsid w:val="005415B5"/>
    <w:rsid w:val="00545F6E"/>
    <w:rsid w:val="0056015A"/>
    <w:rsid w:val="00565A63"/>
    <w:rsid w:val="00571FD0"/>
    <w:rsid w:val="00575541"/>
    <w:rsid w:val="005D1AEB"/>
    <w:rsid w:val="005D67D6"/>
    <w:rsid w:val="005E116B"/>
    <w:rsid w:val="005E3357"/>
    <w:rsid w:val="00600EB8"/>
    <w:rsid w:val="00634D48"/>
    <w:rsid w:val="0065392A"/>
    <w:rsid w:val="00656CEB"/>
    <w:rsid w:val="006762E1"/>
    <w:rsid w:val="00683BC9"/>
    <w:rsid w:val="00690428"/>
    <w:rsid w:val="006928EA"/>
    <w:rsid w:val="006A1BF0"/>
    <w:rsid w:val="006B0BAB"/>
    <w:rsid w:val="006B2FE8"/>
    <w:rsid w:val="006B5689"/>
    <w:rsid w:val="006B5A9F"/>
    <w:rsid w:val="006B6362"/>
    <w:rsid w:val="006C03F2"/>
    <w:rsid w:val="006C2FB4"/>
    <w:rsid w:val="006D46B0"/>
    <w:rsid w:val="006D7C1A"/>
    <w:rsid w:val="006E2672"/>
    <w:rsid w:val="006E567C"/>
    <w:rsid w:val="006F2E74"/>
    <w:rsid w:val="006F69DA"/>
    <w:rsid w:val="00701A7D"/>
    <w:rsid w:val="0071078C"/>
    <w:rsid w:val="007112E1"/>
    <w:rsid w:val="00715262"/>
    <w:rsid w:val="00746825"/>
    <w:rsid w:val="007556F0"/>
    <w:rsid w:val="007564BC"/>
    <w:rsid w:val="007625CF"/>
    <w:rsid w:val="00791A39"/>
    <w:rsid w:val="00791DB1"/>
    <w:rsid w:val="007A06B8"/>
    <w:rsid w:val="007B042A"/>
    <w:rsid w:val="007B0A0A"/>
    <w:rsid w:val="007B7525"/>
    <w:rsid w:val="007C0CD4"/>
    <w:rsid w:val="007D19B0"/>
    <w:rsid w:val="007D5FE3"/>
    <w:rsid w:val="007E0AA1"/>
    <w:rsid w:val="007E4E1C"/>
    <w:rsid w:val="007E7954"/>
    <w:rsid w:val="007F2804"/>
    <w:rsid w:val="007F3D9A"/>
    <w:rsid w:val="007F45E9"/>
    <w:rsid w:val="007F5DA2"/>
    <w:rsid w:val="007F7945"/>
    <w:rsid w:val="00805E31"/>
    <w:rsid w:val="0081019B"/>
    <w:rsid w:val="0081560B"/>
    <w:rsid w:val="0083415B"/>
    <w:rsid w:val="008373EE"/>
    <w:rsid w:val="00840652"/>
    <w:rsid w:val="00842D47"/>
    <w:rsid w:val="00850017"/>
    <w:rsid w:val="00851FAD"/>
    <w:rsid w:val="00855C8A"/>
    <w:rsid w:val="008600F3"/>
    <w:rsid w:val="00863524"/>
    <w:rsid w:val="00877C5A"/>
    <w:rsid w:val="00891A07"/>
    <w:rsid w:val="0089254A"/>
    <w:rsid w:val="008A2273"/>
    <w:rsid w:val="008D3631"/>
    <w:rsid w:val="008D405C"/>
    <w:rsid w:val="008E35D3"/>
    <w:rsid w:val="008E5657"/>
    <w:rsid w:val="008F2B77"/>
    <w:rsid w:val="008F4AAF"/>
    <w:rsid w:val="00900C09"/>
    <w:rsid w:val="00914C9F"/>
    <w:rsid w:val="00916F84"/>
    <w:rsid w:val="00922DB5"/>
    <w:rsid w:val="00936001"/>
    <w:rsid w:val="00941F31"/>
    <w:rsid w:val="009447AC"/>
    <w:rsid w:val="00956559"/>
    <w:rsid w:val="00956C47"/>
    <w:rsid w:val="00961B8B"/>
    <w:rsid w:val="0096352D"/>
    <w:rsid w:val="0096429D"/>
    <w:rsid w:val="00972D12"/>
    <w:rsid w:val="00991FEC"/>
    <w:rsid w:val="009C095F"/>
    <w:rsid w:val="009D451B"/>
    <w:rsid w:val="009E1832"/>
    <w:rsid w:val="009E3CD8"/>
    <w:rsid w:val="009E443F"/>
    <w:rsid w:val="009E5231"/>
    <w:rsid w:val="009F1A23"/>
    <w:rsid w:val="009F540F"/>
    <w:rsid w:val="00A01645"/>
    <w:rsid w:val="00A0659C"/>
    <w:rsid w:val="00A2442F"/>
    <w:rsid w:val="00A24988"/>
    <w:rsid w:val="00A2632D"/>
    <w:rsid w:val="00A34A81"/>
    <w:rsid w:val="00A52334"/>
    <w:rsid w:val="00A60962"/>
    <w:rsid w:val="00A675F0"/>
    <w:rsid w:val="00A75F59"/>
    <w:rsid w:val="00A87906"/>
    <w:rsid w:val="00AA421A"/>
    <w:rsid w:val="00AA4760"/>
    <w:rsid w:val="00AA65C0"/>
    <w:rsid w:val="00AB4FBA"/>
    <w:rsid w:val="00AB5956"/>
    <w:rsid w:val="00AC43B1"/>
    <w:rsid w:val="00AD3892"/>
    <w:rsid w:val="00AD417D"/>
    <w:rsid w:val="00AD6E10"/>
    <w:rsid w:val="00AE05B6"/>
    <w:rsid w:val="00AF490F"/>
    <w:rsid w:val="00AF520B"/>
    <w:rsid w:val="00B04FD0"/>
    <w:rsid w:val="00B16EF4"/>
    <w:rsid w:val="00B21A67"/>
    <w:rsid w:val="00B24F52"/>
    <w:rsid w:val="00B36B2D"/>
    <w:rsid w:val="00B41748"/>
    <w:rsid w:val="00B42EB9"/>
    <w:rsid w:val="00B474CB"/>
    <w:rsid w:val="00B5255D"/>
    <w:rsid w:val="00B61F6F"/>
    <w:rsid w:val="00B66089"/>
    <w:rsid w:val="00B66E42"/>
    <w:rsid w:val="00B67EF7"/>
    <w:rsid w:val="00B70D81"/>
    <w:rsid w:val="00B92573"/>
    <w:rsid w:val="00B9341F"/>
    <w:rsid w:val="00B951DC"/>
    <w:rsid w:val="00BD168F"/>
    <w:rsid w:val="00BD42C8"/>
    <w:rsid w:val="00BE5EED"/>
    <w:rsid w:val="00BE7BF6"/>
    <w:rsid w:val="00C04E00"/>
    <w:rsid w:val="00C06875"/>
    <w:rsid w:val="00C16578"/>
    <w:rsid w:val="00C16D8A"/>
    <w:rsid w:val="00C20A58"/>
    <w:rsid w:val="00C22B29"/>
    <w:rsid w:val="00C22C74"/>
    <w:rsid w:val="00C30323"/>
    <w:rsid w:val="00C37569"/>
    <w:rsid w:val="00C46C82"/>
    <w:rsid w:val="00C47AD4"/>
    <w:rsid w:val="00C5183E"/>
    <w:rsid w:val="00C62904"/>
    <w:rsid w:val="00C646BC"/>
    <w:rsid w:val="00C655DF"/>
    <w:rsid w:val="00C77D65"/>
    <w:rsid w:val="00C831D9"/>
    <w:rsid w:val="00C833FC"/>
    <w:rsid w:val="00C918E6"/>
    <w:rsid w:val="00C97491"/>
    <w:rsid w:val="00CA2A13"/>
    <w:rsid w:val="00CA32FC"/>
    <w:rsid w:val="00CA4DCC"/>
    <w:rsid w:val="00CB0572"/>
    <w:rsid w:val="00CE00BD"/>
    <w:rsid w:val="00CE03F4"/>
    <w:rsid w:val="00CF6BA4"/>
    <w:rsid w:val="00D0002D"/>
    <w:rsid w:val="00D041A2"/>
    <w:rsid w:val="00D12C60"/>
    <w:rsid w:val="00D15F37"/>
    <w:rsid w:val="00D176C2"/>
    <w:rsid w:val="00D4148C"/>
    <w:rsid w:val="00D4232B"/>
    <w:rsid w:val="00D4395F"/>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5F45"/>
    <w:rsid w:val="00E2717D"/>
    <w:rsid w:val="00E47441"/>
    <w:rsid w:val="00E47BF9"/>
    <w:rsid w:val="00E5371F"/>
    <w:rsid w:val="00E60FE6"/>
    <w:rsid w:val="00E61C9D"/>
    <w:rsid w:val="00E630E4"/>
    <w:rsid w:val="00E72D06"/>
    <w:rsid w:val="00E766EE"/>
    <w:rsid w:val="00E81405"/>
    <w:rsid w:val="00E820F5"/>
    <w:rsid w:val="00E857AC"/>
    <w:rsid w:val="00E869DD"/>
    <w:rsid w:val="00E873C4"/>
    <w:rsid w:val="00EA1721"/>
    <w:rsid w:val="00ED56A0"/>
    <w:rsid w:val="00EE06D5"/>
    <w:rsid w:val="00EF3E21"/>
    <w:rsid w:val="00EF749B"/>
    <w:rsid w:val="00F013EF"/>
    <w:rsid w:val="00F05333"/>
    <w:rsid w:val="00F259B1"/>
    <w:rsid w:val="00F653A6"/>
    <w:rsid w:val="00F66A4E"/>
    <w:rsid w:val="00F720AB"/>
    <w:rsid w:val="00F74960"/>
    <w:rsid w:val="00F76B28"/>
    <w:rsid w:val="00F80095"/>
    <w:rsid w:val="00F8458B"/>
    <w:rsid w:val="00F92F37"/>
    <w:rsid w:val="00F945CA"/>
    <w:rsid w:val="00FA6B9F"/>
    <w:rsid w:val="00FA749C"/>
    <w:rsid w:val="00FB11FE"/>
    <w:rsid w:val="00FB53DA"/>
    <w:rsid w:val="00FB5E7A"/>
    <w:rsid w:val="00FC3C60"/>
    <w:rsid w:val="00FC700D"/>
    <w:rsid w:val="00FD5C67"/>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8017456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76071254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383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6751-56C4-4FD8-AE9C-E79442AF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28</Pages>
  <Words>9640</Words>
  <Characters>57840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107</cp:revision>
  <cp:lastPrinted>2016-02-09T11:53:00Z</cp:lastPrinted>
  <dcterms:created xsi:type="dcterms:W3CDTF">2015-11-16T14:33:00Z</dcterms:created>
  <dcterms:modified xsi:type="dcterms:W3CDTF">2016-02-09T11:54:00Z</dcterms:modified>
</cp:coreProperties>
</file>