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CD1E7F" w:rsidRDefault="00E873C4" w:rsidP="00CD1E7F">
      <w:pPr>
        <w:pStyle w:val="Nagwek"/>
        <w:jc w:val="right"/>
      </w:pPr>
      <w:r>
        <w:rPr>
          <w:sz w:val="24"/>
          <w:szCs w:val="24"/>
        </w:rPr>
        <w:tab/>
      </w:r>
      <w:r>
        <w:rPr>
          <w:sz w:val="24"/>
          <w:szCs w:val="24"/>
        </w:rPr>
        <w:tab/>
      </w:r>
      <w:r w:rsidR="00CD1E7F" w:rsidRPr="00922DB5">
        <w:t xml:space="preserve">Załącznik </w:t>
      </w:r>
      <w:bookmarkStart w:id="0" w:name="_GoBack"/>
      <w:bookmarkEnd w:id="0"/>
      <w:r w:rsidR="00CD1E7F" w:rsidRPr="00922DB5">
        <w:t>do Uchwały</w:t>
      </w:r>
      <w:r w:rsidR="00CD1E7F">
        <w:t xml:space="preserve">  Nr ……………..…           </w:t>
      </w:r>
    </w:p>
    <w:p w:rsidR="00CD1E7F" w:rsidRDefault="00CD1E7F" w:rsidP="00CD1E7F">
      <w:pPr>
        <w:pStyle w:val="Nagwek"/>
        <w:jc w:val="right"/>
      </w:pPr>
      <w:r>
        <w:t xml:space="preserve">Zarządu Województwa Dolnośląskiego </w:t>
      </w:r>
    </w:p>
    <w:p w:rsidR="00CD1E7F" w:rsidRDefault="00CD1E7F" w:rsidP="00CD1E7F">
      <w:pPr>
        <w:pStyle w:val="Nagwek"/>
        <w:jc w:val="right"/>
      </w:pPr>
      <w:r>
        <w:t>z dnia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Oś priorytetowa 4</w:t>
      </w:r>
      <w:r w:rsidR="00DA4A3C">
        <w:rPr>
          <w:rFonts w:cs="Arial"/>
          <w:b/>
          <w:sz w:val="32"/>
          <w:szCs w:val="32"/>
        </w:rPr>
        <w:t xml:space="preserve"> </w:t>
      </w:r>
      <w:r w:rsidRPr="00E873C4">
        <w:rPr>
          <w:rFonts w:cs="Arial"/>
          <w:b/>
          <w:sz w:val="32"/>
          <w:szCs w:val="32"/>
        </w:rPr>
        <w:t>Środowisko i zasoby</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Pr="00E873C4">
        <w:rPr>
          <w:rFonts w:cs="Arial"/>
          <w:b/>
          <w:sz w:val="32"/>
          <w:szCs w:val="32"/>
          <w:u w:val="single"/>
        </w:rPr>
        <w:t>4.3</w:t>
      </w:r>
      <w:r w:rsidR="00DA4A3C">
        <w:rPr>
          <w:rFonts w:cs="Arial"/>
          <w:b/>
          <w:sz w:val="32"/>
          <w:szCs w:val="32"/>
          <w:u w:val="single"/>
        </w:rPr>
        <w:t xml:space="preserve"> </w:t>
      </w:r>
      <w:r w:rsidRPr="00E873C4">
        <w:rPr>
          <w:rFonts w:cs="Arial"/>
          <w:b/>
          <w:sz w:val="32"/>
          <w:szCs w:val="32"/>
          <w:u w:val="single"/>
        </w:rPr>
        <w:t>Dziedzictwo kulturowe</w:t>
      </w:r>
    </w:p>
    <w:p w:rsidR="00E873C4" w:rsidRPr="00863524" w:rsidRDefault="00805E31" w:rsidP="00480411">
      <w:pPr>
        <w:pStyle w:val="Nagwek"/>
        <w:spacing w:before="120" w:after="120"/>
        <w:jc w:val="center"/>
        <w:rPr>
          <w:rFonts w:cs="Arial"/>
          <w:b/>
          <w:sz w:val="32"/>
          <w:szCs w:val="32"/>
        </w:rPr>
      </w:pPr>
      <w:r w:rsidRPr="000C47BE">
        <w:rPr>
          <w:rFonts w:cs="Arial"/>
          <w:b/>
          <w:sz w:val="32"/>
          <w:szCs w:val="32"/>
        </w:rPr>
        <w:t>Poddziałanie 4.3.</w:t>
      </w:r>
      <w:r w:rsidR="00463960">
        <w:rPr>
          <w:rFonts w:cs="Arial"/>
          <w:b/>
          <w:sz w:val="32"/>
          <w:szCs w:val="32"/>
        </w:rPr>
        <w:t>2</w:t>
      </w:r>
      <w:r w:rsidRPr="000C47BE">
        <w:rPr>
          <w:rFonts w:cs="Arial"/>
          <w:b/>
          <w:sz w:val="32"/>
          <w:szCs w:val="32"/>
        </w:rPr>
        <w:t xml:space="preserve"> </w:t>
      </w:r>
      <w:r w:rsidR="00863524" w:rsidRPr="00863524">
        <w:rPr>
          <w:rFonts w:cs="Arial"/>
          <w:b/>
          <w:sz w:val="32"/>
          <w:szCs w:val="32"/>
        </w:rPr>
        <w:t xml:space="preserve">Dziedzictwo kulturowe – </w:t>
      </w:r>
      <w:r w:rsidR="00863524">
        <w:rPr>
          <w:rFonts w:cs="Arial"/>
          <w:b/>
          <w:sz w:val="32"/>
          <w:szCs w:val="32"/>
        </w:rPr>
        <w:br/>
      </w:r>
      <w:r w:rsidR="00F94286">
        <w:rPr>
          <w:rFonts w:cs="Arial"/>
          <w:b/>
          <w:sz w:val="32"/>
          <w:szCs w:val="32"/>
        </w:rPr>
        <w:t xml:space="preserve">ZIT </w:t>
      </w:r>
      <w:proofErr w:type="spellStart"/>
      <w:r w:rsidR="00F94286">
        <w:rPr>
          <w:rFonts w:cs="Arial"/>
          <w:b/>
          <w:sz w:val="32"/>
          <w:szCs w:val="32"/>
        </w:rPr>
        <w:t>WrOF</w:t>
      </w:r>
      <w:proofErr w:type="spellEnd"/>
    </w:p>
    <w:bookmarkEnd w:id="1"/>
    <w:bookmarkEnd w:id="2"/>
    <w:p w:rsidR="00E873C4" w:rsidRDefault="00E873C4" w:rsidP="00480411">
      <w:pPr>
        <w:tabs>
          <w:tab w:val="left" w:pos="2835"/>
        </w:tabs>
        <w:spacing w:line="240" w:lineRule="auto"/>
      </w:pPr>
    </w:p>
    <w:p w:rsidR="00E873C4" w:rsidRPr="00390D9C" w:rsidRDefault="00390D9C" w:rsidP="00480411">
      <w:pPr>
        <w:spacing w:line="240" w:lineRule="auto"/>
        <w:jc w:val="center"/>
        <w:rPr>
          <w:b/>
          <w:sz w:val="28"/>
          <w:szCs w:val="28"/>
        </w:rPr>
      </w:pPr>
      <w:r w:rsidRPr="00CD1E7F">
        <w:rPr>
          <w:b/>
          <w:sz w:val="28"/>
          <w:szCs w:val="28"/>
        </w:rPr>
        <w:t xml:space="preserve">Nr </w:t>
      </w:r>
      <w:r w:rsidR="004E1A59" w:rsidRPr="00CD1E7F">
        <w:rPr>
          <w:b/>
          <w:sz w:val="28"/>
          <w:szCs w:val="28"/>
        </w:rPr>
        <w:t xml:space="preserve">naboru </w:t>
      </w:r>
      <w:r w:rsidR="002777A2" w:rsidRPr="00CD1E7F">
        <w:rPr>
          <w:b/>
          <w:sz w:val="28"/>
          <w:szCs w:val="28"/>
        </w:rPr>
        <w:t>RPDS.04.03.0</w:t>
      </w:r>
      <w:r w:rsidR="00463960" w:rsidRPr="00CD1E7F">
        <w:rPr>
          <w:b/>
          <w:sz w:val="28"/>
          <w:szCs w:val="28"/>
        </w:rPr>
        <w:t>2</w:t>
      </w:r>
      <w:r w:rsidR="002777A2" w:rsidRPr="00CD1E7F">
        <w:rPr>
          <w:b/>
          <w:sz w:val="28"/>
          <w:szCs w:val="28"/>
        </w:rPr>
        <w:t>-I</w:t>
      </w:r>
      <w:r w:rsidR="00CD1E7F" w:rsidRPr="00CD1E7F">
        <w:rPr>
          <w:b/>
          <w:sz w:val="28"/>
          <w:szCs w:val="28"/>
        </w:rPr>
        <w:t>Z</w:t>
      </w:r>
      <w:r w:rsidR="002777A2" w:rsidRPr="00CD1E7F">
        <w:rPr>
          <w:b/>
          <w:sz w:val="28"/>
          <w:szCs w:val="28"/>
        </w:rPr>
        <w:t>.00-02-03</w:t>
      </w:r>
      <w:r w:rsidR="00463960" w:rsidRPr="00CD1E7F">
        <w:rPr>
          <w:b/>
          <w:sz w:val="28"/>
          <w:szCs w:val="28"/>
        </w:rPr>
        <w:t>3</w:t>
      </w:r>
      <w:r w:rsidR="004E1A59" w:rsidRPr="00CD1E7F">
        <w:rPr>
          <w:b/>
          <w:sz w:val="28"/>
          <w:szCs w:val="28"/>
        </w:rPr>
        <w:t>/15</w:t>
      </w:r>
    </w:p>
    <w:p w:rsidR="00E873C4" w:rsidRDefault="00E873C4" w:rsidP="00480411">
      <w:pPr>
        <w:spacing w:line="240" w:lineRule="auto"/>
      </w:pPr>
    </w:p>
    <w:p w:rsidR="00124CCA" w:rsidRDefault="00124CCA" w:rsidP="00480411">
      <w:pPr>
        <w:spacing w:line="240" w:lineRule="auto"/>
      </w:pP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Wrocław, listopad 2015</w:t>
      </w:r>
      <w:r w:rsidR="008F4AAF" w:rsidRPr="008F4AAF">
        <w:rPr>
          <w:b/>
          <w:bCs/>
        </w:rPr>
        <w:t xml:space="preserve"> </w:t>
      </w:r>
    </w:p>
    <w:p w:rsidR="007B7525" w:rsidRDefault="007B7525" w:rsidP="00480411">
      <w:pPr>
        <w:spacing w:line="240" w:lineRule="auto"/>
        <w:ind w:right="1"/>
        <w:rPr>
          <w:b/>
          <w:bCs/>
        </w:rPr>
      </w:pPr>
    </w:p>
    <w:p w:rsidR="00480411" w:rsidRDefault="00480411" w:rsidP="00480411">
      <w:pPr>
        <w:spacing w:line="240" w:lineRule="auto"/>
        <w:ind w:left="-142"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onkurs</w:t>
            </w:r>
            <w:r w:rsidR="00037778">
              <w:rPr>
                <w:rFonts w:ascii="Calibri" w:hAnsi="Calibri" w:cs="Calibri"/>
                <w:color w:val="000000"/>
              </w:rPr>
              <w:t>,</w:t>
            </w:r>
            <w:r w:rsidR="008F4AAF" w:rsidRPr="008F4AAF">
              <w:rPr>
                <w:rFonts w:ascii="Calibri" w:hAnsi="Calibri" w:cs="Calibri"/>
                <w:color w:val="000000"/>
              </w:rPr>
              <w:t xml:space="preserve"> </w:t>
            </w:r>
            <w:r w:rsidR="00037778" w:rsidRPr="00545BB9">
              <w:t xml:space="preserve"> tj. IZ RPO WD 2014 – 2020 oraz Gmina Wrocław pełniąca funkcję I</w:t>
            </w:r>
            <w:r w:rsidR="00037778">
              <w:t xml:space="preserve">nstytucji </w:t>
            </w:r>
            <w:r w:rsidR="00037778" w:rsidRPr="00545BB9">
              <w:t>P</w:t>
            </w:r>
            <w:r w:rsidR="00037778">
              <w:t>ośredniczącej w</w:t>
            </w:r>
            <w:r w:rsidR="00037778" w:rsidRPr="00545BB9">
              <w:t xml:space="preserve"> ramach instrumentu </w:t>
            </w:r>
            <w:r w:rsidR="00037778" w:rsidRPr="00545BB9">
              <w:rPr>
                <w:rFonts w:cs="Arial"/>
                <w:spacing w:val="-4"/>
              </w:rPr>
              <w:t xml:space="preserve">Zintegrowane Inwestycje Terytorialne Wrocławskiego Obszaru </w:t>
            </w:r>
            <w:r w:rsidR="00037778">
              <w:rPr>
                <w:rFonts w:cs="Arial"/>
                <w:spacing w:val="-4"/>
              </w:rPr>
              <w:t>Funkcjonalnego (</w:t>
            </w:r>
            <w:r w:rsidR="00F94286">
              <w:rPr>
                <w:rFonts w:cs="Arial"/>
                <w:spacing w:val="-4"/>
              </w:rPr>
              <w:t xml:space="preserve">ZIT </w:t>
            </w:r>
            <w:proofErr w:type="spellStart"/>
            <w:r w:rsidR="00F94286">
              <w:rPr>
                <w:rFonts w:cs="Arial"/>
                <w:spacing w:val="-4"/>
              </w:rPr>
              <w:t>WrOF</w:t>
            </w:r>
            <w:proofErr w:type="spellEnd"/>
            <w:r w:rsidR="00037778" w:rsidRPr="00545BB9">
              <w:rPr>
                <w:rFonts w:cs="Arial"/>
                <w:spacing w:val="-4"/>
              </w:rPr>
              <w:t>)</w:t>
            </w:r>
          </w:p>
        </w:tc>
      </w:tr>
      <w:tr w:rsidR="00037778" w:rsidRPr="00DB69D3" w:rsidTr="00037778">
        <w:trPr>
          <w:trHeight w:val="110"/>
        </w:trPr>
        <w:tc>
          <w:tcPr>
            <w:tcW w:w="2093" w:type="dxa"/>
          </w:tcPr>
          <w:p w:rsidR="00037778" w:rsidRPr="00DB69D3" w:rsidRDefault="00037778" w:rsidP="00037778">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037778" w:rsidRPr="00DB69D3" w:rsidRDefault="00037778" w:rsidP="00037778">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w:t>
            </w:r>
            <w:r w:rsidR="00F94286">
              <w:rPr>
                <w:rFonts w:cs="Calibri"/>
                <w:color w:val="000000"/>
              </w:rPr>
              <w:t xml:space="preserve">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w:t>
            </w:r>
            <w:r w:rsidR="00F94286">
              <w:rPr>
                <w:rFonts w:cs="Calibri"/>
                <w:color w:val="000000"/>
              </w:rPr>
              <w:t xml:space="preserve">ZIT </w:t>
            </w:r>
            <w:proofErr w:type="spellStart"/>
            <w:r w:rsidR="00F94286">
              <w:rPr>
                <w:rFonts w:cs="Calibri"/>
                <w:color w:val="000000"/>
              </w:rPr>
              <w:t>WrOF</w:t>
            </w:r>
            <w:proofErr w:type="spellEnd"/>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proofErr w:type="spellStart"/>
            <w:r w:rsidRPr="008F4AAF">
              <w:rPr>
                <w:rFonts w:ascii="Calibri" w:hAnsi="Calibri" w:cs="Calibri"/>
                <w:color w:val="000000"/>
              </w:rPr>
              <w:t>MIiR</w:t>
            </w:r>
            <w:proofErr w:type="spellEnd"/>
            <w:r w:rsidRPr="008F4AAF">
              <w:rPr>
                <w:rFonts w:ascii="Calibri" w:hAnsi="Calibri" w:cs="Calibri"/>
                <w:color w:val="000000"/>
              </w:rPr>
              <w:t xml:space="preserv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i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182231" w:rsidRPr="008F4AAF" w:rsidTr="007B7525">
        <w:trPr>
          <w:trHeight w:val="110"/>
        </w:trPr>
        <w:tc>
          <w:tcPr>
            <w:tcW w:w="2093" w:type="dxa"/>
          </w:tcPr>
          <w:p w:rsidR="00182231" w:rsidRPr="008F4AAF" w:rsidRDefault="00182231" w:rsidP="0048041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POIiŚ</w:t>
            </w:r>
            <w:proofErr w:type="spellEnd"/>
          </w:p>
        </w:tc>
        <w:tc>
          <w:tcPr>
            <w:tcW w:w="7796" w:type="dxa"/>
          </w:tcPr>
          <w:p w:rsidR="00182231" w:rsidRPr="008F4AAF" w:rsidRDefault="0018223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Program Operacyjny Infrastruktura i Środowisko</w:t>
            </w:r>
            <w:r w:rsidR="00532F07">
              <w:rPr>
                <w:rFonts w:ascii="Calibri" w:hAnsi="Calibri" w:cs="Calibri"/>
                <w:color w:val="000000"/>
              </w:rPr>
              <w:t xml:space="preserve"> 2014-2020</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proofErr w:type="spellStart"/>
            <w:r w:rsidRPr="00530F60">
              <w:rPr>
                <w:rFonts w:ascii="Calibri" w:hAnsi="Calibri" w:cs="Calibri"/>
                <w:color w:val="000000"/>
              </w:rPr>
              <w:t>Uooś</w:t>
            </w:r>
            <w:proofErr w:type="spellEnd"/>
            <w:r w:rsidRPr="008F4AAF">
              <w:rPr>
                <w:rFonts w:ascii="Calibri" w:hAnsi="Calibri" w:cs="Calibri"/>
                <w:color w:val="000000"/>
              </w:rPr>
              <w:t xml:space="preserv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037778" w:rsidRPr="00DB69D3" w:rsidRDefault="00037778" w:rsidP="00037778">
            <w:pPr>
              <w:pStyle w:val="Nagwek"/>
              <w:spacing w:before="120" w:after="120"/>
              <w:jc w:val="both"/>
              <w:rPr>
                <w:rFonts w:cs="Arial"/>
              </w:rPr>
            </w:pPr>
            <w:r w:rsidRPr="00DB69D3">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 Działania 4.3 Dziedzictwo kulturowe - Poddziałanie 4.3.2 Dziedzictwo kulturowe - </w:t>
            </w:r>
            <w:r w:rsidR="00F94286">
              <w:rPr>
                <w:rFonts w:cs="Arial"/>
              </w:rPr>
              <w:t xml:space="preserve">ZIT </w:t>
            </w:r>
            <w:proofErr w:type="spellStart"/>
            <w:r w:rsidR="00F94286">
              <w:rPr>
                <w:rFonts w:cs="Arial"/>
              </w:rPr>
              <w:t>WrOF</w:t>
            </w:r>
            <w:proofErr w:type="spellEnd"/>
            <w:r w:rsidRPr="00DB69D3">
              <w:rPr>
                <w:rFonts w:cs="Arial"/>
              </w:rPr>
              <w:t>.</w:t>
            </w:r>
          </w:p>
          <w:p w:rsidR="00037778" w:rsidRPr="00DB69D3" w:rsidRDefault="00037778" w:rsidP="00037778">
            <w:pPr>
              <w:pStyle w:val="Nagwek"/>
              <w:spacing w:before="120" w:after="120"/>
              <w:jc w:val="both"/>
              <w:rPr>
                <w:rFonts w:cs="Calibri"/>
                <w:color w:val="000000"/>
              </w:rPr>
            </w:pPr>
            <w:r w:rsidRPr="00DB69D3">
              <w:rPr>
                <w:rFonts w:cs="Calibri"/>
                <w:b/>
                <w:color w:val="000000"/>
                <w:u w:val="single"/>
              </w:rPr>
              <w:t xml:space="preserve">Nabór w trybie konkursowym – dla beneficjentów z obszaru </w:t>
            </w:r>
            <w:r w:rsidR="00F94286">
              <w:rPr>
                <w:rFonts w:cs="Calibri"/>
                <w:b/>
                <w:color w:val="000000"/>
                <w:u w:val="single"/>
              </w:rPr>
              <w:t xml:space="preserve">ZIT </w:t>
            </w:r>
            <w:proofErr w:type="spellStart"/>
            <w:r w:rsidR="00F94286">
              <w:rPr>
                <w:rFonts w:cs="Calibri"/>
                <w:b/>
                <w:color w:val="000000"/>
                <w:u w:val="single"/>
              </w:rPr>
              <w:t>WrOF</w:t>
            </w:r>
            <w:proofErr w:type="spellEnd"/>
            <w:r w:rsidRPr="00DB69D3">
              <w:rPr>
                <w:rFonts w:cs="Calibri"/>
                <w:b/>
                <w:color w:val="000000"/>
                <w:u w:val="single"/>
              </w:rPr>
              <w:t>.</w:t>
            </w:r>
          </w:p>
          <w:p w:rsidR="00037778" w:rsidRDefault="00037778" w:rsidP="00037778">
            <w:pPr>
              <w:autoSpaceDE w:val="0"/>
              <w:autoSpaceDN w:val="0"/>
              <w:adjustRightInd w:val="0"/>
              <w:spacing w:before="120" w:after="120" w:line="240" w:lineRule="auto"/>
              <w:jc w:val="both"/>
            </w:pPr>
            <w:r w:rsidRPr="00DB69D3">
              <w:rPr>
                <w:rFonts w:cs="Arial"/>
              </w:rPr>
              <w:t xml:space="preserve">Regulamin oraz wszystkie niezbędne do złożenia na konkurs dokumenty są dostępne na stronie internetowej RPO WD 2014-2020: </w:t>
            </w:r>
            <w:hyperlink r:id="rId10" w:history="1">
              <w:r w:rsidRPr="00DB69D3">
                <w:rPr>
                  <w:rStyle w:val="Hipercze"/>
                  <w:rFonts w:cs="Arial"/>
                </w:rPr>
                <w:t>www.rpo.dolnyslask.pl</w:t>
              </w:r>
            </w:hyperlink>
            <w:r>
              <w:t>,</w:t>
            </w:r>
            <w:r w:rsidRPr="00DB69D3">
              <w:t xml:space="preserve">  </w:t>
            </w:r>
            <w:r>
              <w:t xml:space="preserve">oraz </w:t>
            </w:r>
            <w:hyperlink r:id="rId11" w:history="1">
              <w:r w:rsidRPr="00E00FE1">
                <w:rPr>
                  <w:rStyle w:val="Hipercze"/>
                </w:rPr>
                <w:t>www.bip.um.wroc.pl/zit</w:t>
              </w:r>
            </w:hyperlink>
            <w:r w:rsidRPr="00037778">
              <w:t>,</w:t>
            </w:r>
            <w:r w:rsidR="00FB780A">
              <w:t xml:space="preserve"> </w:t>
            </w:r>
            <w:hyperlink r:id="rId12" w:history="1">
              <w:r w:rsidRPr="00E00FE1">
                <w:rPr>
                  <w:rStyle w:val="Hipercze"/>
                </w:rPr>
                <w:t>www.wroclaw.pl/zit-</w:t>
              </w:r>
              <w:r w:rsidR="00F94286">
                <w:rPr>
                  <w:rStyle w:val="Hipercze"/>
                </w:rPr>
                <w:t>WrOF</w:t>
              </w:r>
            </w:hyperlink>
            <w:r>
              <w:t>,</w:t>
            </w:r>
          </w:p>
          <w:p w:rsidR="00037778" w:rsidRPr="00DB69D3" w:rsidRDefault="00B80DA2" w:rsidP="00037778">
            <w:pPr>
              <w:autoSpaceDE w:val="0"/>
              <w:autoSpaceDN w:val="0"/>
              <w:adjustRightInd w:val="0"/>
              <w:spacing w:before="120" w:after="120" w:line="240" w:lineRule="auto"/>
              <w:jc w:val="both"/>
            </w:pPr>
            <w:hyperlink r:id="rId13" w:history="1">
              <w:r w:rsidR="00037778" w:rsidRPr="00E00FE1">
                <w:rPr>
                  <w:rStyle w:val="Hipercze"/>
                  <w:rFonts w:cs="Calibri"/>
                </w:rPr>
                <w:t>www.funduszeeuropejskie.gov.pl</w:t>
              </w:r>
            </w:hyperlink>
            <w:r w:rsidR="00037778" w:rsidRPr="00DB69D3">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037778" w:rsidRPr="00DB69D3" w:rsidRDefault="00037778" w:rsidP="00037778">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037778" w:rsidRPr="00DB69D3" w:rsidRDefault="00037778" w:rsidP="00037778">
            <w:pPr>
              <w:pStyle w:val="Akapitzlist"/>
              <w:spacing w:before="120" w:after="120" w:line="240" w:lineRule="auto"/>
              <w:ind w:left="0"/>
              <w:jc w:val="both"/>
              <w:rPr>
                <w:rFonts w:ascii="Calibri" w:hAnsi="Calibri"/>
                <w:szCs w:val="22"/>
              </w:rPr>
            </w:pPr>
            <w:r w:rsidRPr="00DB69D3">
              <w:rPr>
                <w:rFonts w:ascii="Calibri" w:hAnsi="Calibri"/>
                <w:b/>
                <w:szCs w:val="22"/>
              </w:rPr>
              <w:t>oraz</w:t>
            </w:r>
            <w:r w:rsidRPr="00DB69D3">
              <w:rPr>
                <w:rFonts w:ascii="Calibri" w:hAnsi="Calibri"/>
                <w:b/>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sidR="00F94286">
              <w:rPr>
                <w:rFonts w:ascii="Calibri" w:hAnsi="Calibri"/>
              </w:rPr>
              <w:t xml:space="preserve"> </w:t>
            </w:r>
            <w:r w:rsidRPr="00DB69D3">
              <w:rPr>
                <w:rFonts w:ascii="Calibri" w:hAnsi="Calibri"/>
              </w:rPr>
              <w:t>50-141 Wrocław.</w:t>
            </w:r>
          </w:p>
          <w:p w:rsidR="00424DF6" w:rsidRPr="00151119" w:rsidRDefault="00037778" w:rsidP="00037778">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sidR="00F94286">
              <w:rPr>
                <w:rFonts w:ascii="Calibri" w:hAnsi="Calibri"/>
              </w:rPr>
              <w:t xml:space="preserve">ZIT </w:t>
            </w:r>
            <w:proofErr w:type="spellStart"/>
            <w:r w:rsidR="00F94286">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Regionalnego i przepisów szczególnych dotyczących celu „Inwestycje na rzecz wzrostu i zatrudnienia” oraz w sprawie uchylenia rozporządzenia </w:t>
            </w:r>
            <w:r w:rsidRPr="004F4D56">
              <w:rPr>
                <w:rFonts w:asciiTheme="minorHAnsi" w:eastAsiaTheme="minorHAnsi" w:hAnsiTheme="minorHAnsi" w:cs="EUAlbertina"/>
                <w:bCs/>
                <w:color w:val="000000"/>
                <w:szCs w:val="22"/>
                <w:lang w:eastAsia="en-US"/>
              </w:rPr>
              <w:lastRenderedPageBreak/>
              <w:t>(WE)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FD6EC7" w:rsidRP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00DF0941" w:rsidRPr="00DF0941">
              <w:rPr>
                <w:rFonts w:asciiTheme="minorHAnsi" w:hAnsiTheme="minorHAnsi"/>
                <w:bCs/>
                <w:szCs w:val="22"/>
              </w:rPr>
              <w:t xml:space="preserve"> </w:t>
            </w:r>
            <w:r w:rsidR="00DF0941">
              <w:rPr>
                <w:rFonts w:asciiTheme="minorHAnsi" w:hAnsiTheme="minorHAnsi"/>
                <w:bCs/>
                <w:szCs w:val="22"/>
              </w:rPr>
              <w:t>(</w:t>
            </w:r>
            <w:r w:rsidR="00DF0941" w:rsidRPr="00DF0941">
              <w:rPr>
                <w:rFonts w:asciiTheme="minorHAnsi" w:hAnsiTheme="minorHAnsi"/>
                <w:bCs/>
                <w:szCs w:val="22"/>
              </w:rPr>
              <w:t xml:space="preserve">Dz.U. 2003 Nr 162 poz. 1568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141276" w:rsidRPr="00141276"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 xml:space="preserve">o organizowaniu i prowadzeniu </w:t>
            </w:r>
            <w:r w:rsidRPr="004F4D56">
              <w:rPr>
                <w:rFonts w:asciiTheme="minorHAnsi" w:eastAsiaTheme="minorHAnsi" w:hAnsiTheme="minorHAnsi"/>
                <w:bCs/>
                <w:color w:val="000000"/>
                <w:szCs w:val="22"/>
                <w:lang w:eastAsia="en-US"/>
              </w:rPr>
              <w:lastRenderedPageBreak/>
              <w:t>działalności kulturalnej</w:t>
            </w:r>
            <w:r w:rsidR="00DF0941">
              <w:rPr>
                <w:rFonts w:asciiTheme="minorHAnsi" w:eastAsiaTheme="minorHAnsi" w:hAnsiTheme="minorHAnsi"/>
                <w:bCs/>
                <w:color w:val="000000"/>
                <w:szCs w:val="22"/>
                <w:lang w:eastAsia="en-US"/>
              </w:rPr>
              <w:t xml:space="preserve"> </w:t>
            </w:r>
            <w:r w:rsidR="00DF0941">
              <w:rPr>
                <w:rFonts w:asciiTheme="minorHAnsi" w:hAnsiTheme="minorHAnsi"/>
                <w:bCs/>
                <w:szCs w:val="22"/>
              </w:rPr>
              <w:t>(</w:t>
            </w:r>
            <w:r w:rsidR="00DF0941" w:rsidRPr="00DF0941">
              <w:rPr>
                <w:rFonts w:asciiTheme="minorHAnsi" w:hAnsiTheme="minorHAnsi"/>
                <w:bCs/>
                <w:szCs w:val="22"/>
              </w:rPr>
              <w:t xml:space="preserve">Dz.U. </w:t>
            </w:r>
            <w:r w:rsidR="00DF0941">
              <w:rPr>
                <w:rFonts w:asciiTheme="minorHAnsi" w:hAnsiTheme="minorHAnsi"/>
                <w:bCs/>
                <w:szCs w:val="22"/>
              </w:rPr>
              <w:t>1991</w:t>
            </w:r>
            <w:r w:rsidR="00DF0941" w:rsidRPr="00DF0941">
              <w:rPr>
                <w:rFonts w:asciiTheme="minorHAnsi" w:hAnsiTheme="minorHAnsi"/>
                <w:bCs/>
                <w:szCs w:val="22"/>
              </w:rPr>
              <w:t xml:space="preserve"> Nr 1</w:t>
            </w:r>
            <w:r w:rsidR="00DF0941">
              <w:rPr>
                <w:rFonts w:asciiTheme="minorHAnsi" w:hAnsiTheme="minorHAnsi"/>
                <w:bCs/>
                <w:szCs w:val="22"/>
              </w:rPr>
              <w:t>14</w:t>
            </w:r>
            <w:r w:rsidR="00DF0941" w:rsidRPr="00DF0941">
              <w:rPr>
                <w:rFonts w:asciiTheme="minorHAnsi" w:hAnsiTheme="minorHAnsi"/>
                <w:bCs/>
                <w:szCs w:val="22"/>
              </w:rPr>
              <w:t xml:space="preserve"> poz. </w:t>
            </w:r>
            <w:r w:rsidR="00DF0941">
              <w:rPr>
                <w:rFonts w:asciiTheme="minorHAnsi" w:hAnsiTheme="minorHAnsi"/>
                <w:bCs/>
                <w:szCs w:val="22"/>
              </w:rPr>
              <w:t>493</w:t>
            </w:r>
            <w:r w:rsidR="00DF0941" w:rsidRPr="00DF0941">
              <w:rPr>
                <w:rFonts w:asciiTheme="minorHAnsi" w:hAnsiTheme="minorHAnsi"/>
                <w:bCs/>
                <w:szCs w:val="22"/>
              </w:rPr>
              <w:t xml:space="preserve">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FD6EC7" w:rsidRPr="00AD6E10"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szCs w:val="22"/>
                <w:lang w:eastAsia="en-US"/>
              </w:rPr>
            </w:pPr>
            <w:r w:rsidRPr="00AD6E10">
              <w:rPr>
                <w:rFonts w:asciiTheme="minorHAnsi" w:hAnsiTheme="minorHAnsi"/>
                <w:szCs w:val="22"/>
              </w:rPr>
              <w:t>U</w:t>
            </w:r>
            <w:r w:rsidRPr="00AD6E10">
              <w:rPr>
                <w:rFonts w:asciiTheme="minorHAnsi" w:hAnsiTheme="minorHAnsi"/>
                <w:bCs/>
                <w:szCs w:val="22"/>
              </w:rPr>
              <w:t>stawa z dnia 16 kwietnia 2004 r. o ochronie przyrody</w:t>
            </w:r>
            <w:r w:rsidR="00141276" w:rsidRPr="00AD6E10">
              <w:rPr>
                <w:rFonts w:asciiTheme="minorHAnsi" w:hAnsiTheme="minorHAnsi" w:cs="MS Sans Serif"/>
                <w:szCs w:val="22"/>
              </w:rPr>
              <w:t xml:space="preserve"> (Dz.U. z 2004 nr 92 poz. 880 z </w:t>
            </w:r>
            <w:proofErr w:type="spellStart"/>
            <w:r w:rsidR="00141276" w:rsidRPr="00AD6E10">
              <w:rPr>
                <w:rFonts w:asciiTheme="minorHAnsi" w:hAnsiTheme="minorHAnsi" w:cs="MS Sans Serif"/>
                <w:szCs w:val="22"/>
              </w:rPr>
              <w:t>p</w:t>
            </w:r>
            <w:r w:rsidR="00141276" w:rsidRPr="00AD6E10">
              <w:rPr>
                <w:rFonts w:asciiTheme="minorHAnsi" w:hAnsiTheme="minorHAnsi" w:cs="Tahoma"/>
                <w:szCs w:val="22"/>
              </w:rPr>
              <w:t>óźn</w:t>
            </w:r>
            <w:proofErr w:type="spellEnd"/>
            <w:r w:rsidR="00141276" w:rsidRPr="00AD6E10">
              <w:rPr>
                <w:rFonts w:asciiTheme="minorHAnsi" w:hAnsiTheme="minorHAnsi" w:cs="Tahoma"/>
                <w:szCs w:val="22"/>
              </w:rPr>
              <w:t>. zm.)</w:t>
            </w:r>
            <w:r w:rsidR="00AD6E10">
              <w:rPr>
                <w:rFonts w:asciiTheme="minorHAnsi" w:hAnsiTheme="minorHAnsi" w:cs="Tahoma"/>
                <w:szCs w:val="22"/>
              </w:rPr>
              <w:t>;</w:t>
            </w:r>
          </w:p>
          <w:p w:rsidR="004905C3" w:rsidRPr="00AD6E10" w:rsidRDefault="004D07A7" w:rsidP="00480411">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DD13E8" w:rsidRPr="00916F84" w:rsidRDefault="00DD13E8"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916F84" w:rsidRDefault="00A60962"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916F84">
              <w:rPr>
                <w:rFonts w:asciiTheme="minorHAnsi" w:hAnsiTheme="minorHAnsi"/>
                <w:szCs w:val="22"/>
              </w:rPr>
              <w:t xml:space="preserve">Rozporządzenie Ministra Infrastruktury i Rozwoju </w:t>
            </w:r>
            <w:r w:rsidRPr="00916F84">
              <w:rPr>
                <w:rFonts w:asciiTheme="minorHAnsi" w:eastAsia="TimesNewRoman" w:hAnsiTheme="minorHAnsi" w:cs="TimesNewRoman"/>
                <w:szCs w:val="22"/>
              </w:rPr>
              <w:t xml:space="preserve">z dnia 28 sierpnia 2015 r. </w:t>
            </w:r>
            <w:r w:rsidRPr="00916F84">
              <w:rPr>
                <w:rFonts w:asciiTheme="minorHAnsi" w:hAnsiTheme="minorHAnsi"/>
                <w:szCs w:val="22"/>
              </w:rPr>
              <w:t>w sprawie udzielania pomocy inwestycyjnej na kulturę i zachowanie dziedzictwa kulturowego w ramach regionalnych programów operacyjnych na lata 2014-2020;</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61F6F">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 xml:space="preserve"> </w:t>
            </w:r>
            <w:r w:rsidR="00DD13E8" w:rsidRPr="00B61F6F">
              <w:rPr>
                <w:rFonts w:asciiTheme="minorHAnsi" w:eastAsiaTheme="minorHAnsi" w:hAnsiTheme="minorHAnsi" w:cs="Calibri"/>
                <w:color w:val="000000"/>
                <w:szCs w:val="22"/>
                <w:lang w:eastAsia="en-US"/>
              </w:rPr>
              <w:t>listopada</w:t>
            </w:r>
            <w:r w:rsidRPr="00B61F6F">
              <w:rPr>
                <w:rFonts w:asciiTheme="minorHAnsi" w:eastAsiaTheme="minorHAnsi" w:hAnsiTheme="minorHAnsi" w:cs="Calibri"/>
                <w:color w:val="000000"/>
                <w:szCs w:val="22"/>
                <w:lang w:eastAsia="en-US"/>
              </w:rPr>
              <w:t xml:space="preserve"> 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Pr="00F05333"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lastRenderedPageBreak/>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F0941" w:rsidRDefault="00DF0941"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151119">
              <w:rPr>
                <w:rFonts w:asciiTheme="minorHAnsi" w:hAnsiTheme="minorHAnsi"/>
                <w:szCs w:val="22"/>
              </w:rPr>
              <w:t xml:space="preserve">Wytyczne </w:t>
            </w:r>
            <w:r w:rsidRPr="00151119">
              <w:rPr>
                <w:rFonts w:asciiTheme="minorHAnsi" w:eastAsiaTheme="minorHAnsi" w:hAnsiTheme="minorHAnsi" w:cs="Calibri"/>
                <w:color w:val="000000"/>
                <w:szCs w:val="22"/>
                <w:lang w:eastAsia="en-US"/>
              </w:rPr>
              <w:t xml:space="preserve">Ministra Infrastruktury i Rozwoju </w:t>
            </w:r>
            <w:r w:rsidRPr="00151119">
              <w:rPr>
                <w:rFonts w:asciiTheme="minorHAnsi" w:hAnsiTheme="minorHAnsi"/>
                <w:szCs w:val="22"/>
              </w:rPr>
              <w:t>w zakresie</w:t>
            </w:r>
            <w:r>
              <w:rPr>
                <w:rFonts w:asciiTheme="minorHAnsi" w:hAnsiTheme="minorHAnsi"/>
                <w:szCs w:val="22"/>
              </w:rPr>
              <w:t xml:space="preserve"> rewitalizacji </w:t>
            </w:r>
            <w:r w:rsidR="002F2511">
              <w:rPr>
                <w:rFonts w:asciiTheme="minorHAnsi" w:hAnsiTheme="minorHAnsi"/>
                <w:szCs w:val="22"/>
              </w:rPr>
              <w:br/>
            </w:r>
            <w:r>
              <w:rPr>
                <w:rFonts w:asciiTheme="minorHAnsi" w:hAnsiTheme="minorHAnsi"/>
                <w:szCs w:val="22"/>
              </w:rPr>
              <w:t>w programach operacyjnych na lata 2014-2020;</w:t>
            </w:r>
          </w:p>
          <w:p w:rsidR="00037778" w:rsidRPr="00DB69D3" w:rsidRDefault="00037778" w:rsidP="00037778">
            <w:pPr>
              <w:pStyle w:val="Akapitzlist"/>
              <w:numPr>
                <w:ilvl w:val="0"/>
                <w:numId w:val="12"/>
              </w:numPr>
              <w:autoSpaceDE w:val="0"/>
              <w:autoSpaceDN w:val="0"/>
              <w:adjustRightInd w:val="0"/>
              <w:spacing w:line="240" w:lineRule="auto"/>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w:t>
            </w:r>
            <w:r w:rsidRPr="00DB69D3">
              <w:rPr>
                <w:rFonts w:ascii="Calibri" w:hAnsi="Calibri"/>
                <w:szCs w:val="22"/>
              </w:rPr>
              <w:t xml:space="preserve">jako liderem </w:t>
            </w:r>
            <w:r w:rsidR="00F94286">
              <w:rPr>
                <w:rFonts w:ascii="Calibri" w:hAnsi="Calibri"/>
                <w:szCs w:val="22"/>
              </w:rPr>
              <w:t xml:space="preserve">ZIT </w:t>
            </w:r>
            <w:proofErr w:type="spellStart"/>
            <w:r w:rsidR="00F94286">
              <w:rPr>
                <w:rFonts w:ascii="Calibri" w:hAnsi="Calibri"/>
                <w:szCs w:val="22"/>
              </w:rPr>
              <w:t>WrOF</w:t>
            </w:r>
            <w:proofErr w:type="spellEnd"/>
            <w:r w:rsidRPr="00DB69D3">
              <w:rPr>
                <w:rFonts w:ascii="Calibri" w:hAnsi="Calibri"/>
                <w:szCs w:val="22"/>
              </w:rPr>
              <w:t>;</w:t>
            </w:r>
          </w:p>
          <w:p w:rsidR="00037778" w:rsidRPr="00037778" w:rsidRDefault="00037778" w:rsidP="00037778">
            <w:pPr>
              <w:pStyle w:val="Akapitzlist"/>
              <w:numPr>
                <w:ilvl w:val="0"/>
                <w:numId w:val="12"/>
              </w:numPr>
              <w:autoSpaceDE w:val="0"/>
              <w:autoSpaceDN w:val="0"/>
              <w:adjustRightInd w:val="0"/>
              <w:spacing w:line="240" w:lineRule="auto"/>
              <w:jc w:val="both"/>
              <w:rPr>
                <w:rFonts w:ascii="Calibri" w:hAnsi="Calibri"/>
                <w:szCs w:val="22"/>
              </w:rPr>
            </w:pPr>
            <w:r w:rsidRPr="00DB69D3">
              <w:rPr>
                <w:rFonts w:ascii="Calibri" w:hAnsi="Calibri"/>
              </w:rPr>
              <w:t xml:space="preserve">Strategia </w:t>
            </w:r>
            <w:r w:rsidR="00F94286">
              <w:rPr>
                <w:rFonts w:ascii="Calibri" w:hAnsi="Calibri"/>
              </w:rPr>
              <w:t xml:space="preserve">ZIT </w:t>
            </w:r>
            <w:proofErr w:type="spellStart"/>
            <w:r w:rsidR="00F94286">
              <w:rPr>
                <w:rFonts w:ascii="Calibri" w:hAnsi="Calibri"/>
              </w:rPr>
              <w:t>WrOF</w:t>
            </w:r>
            <w:proofErr w:type="spellEnd"/>
            <w:r w:rsidRPr="00DB69D3">
              <w:rPr>
                <w:rFonts w:ascii="Calibri" w:hAnsi="Calibri"/>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tj.:</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numPr>
                <w:ilvl w:val="0"/>
                <w:numId w:val="1"/>
              </w:numPr>
              <w:spacing w:after="0" w:line="240" w:lineRule="auto"/>
              <w:jc w:val="both"/>
              <w:rPr>
                <w:rFonts w:cs="Arial"/>
              </w:rPr>
            </w:pPr>
            <w:r w:rsidRPr="00151119">
              <w:rPr>
                <w:rFonts w:cs="Arial"/>
              </w:rPr>
              <w:t>Zabytki nieruchome, wpisane do rejestru prowadzonego przez Wojewódzkiego Konserwatora Zabytków we Wrocławiu wraz z ich otoczeniem, w tym:</w:t>
            </w:r>
          </w:p>
          <w:p w:rsidR="00984533" w:rsidRPr="00151119" w:rsidRDefault="00984533" w:rsidP="00480411">
            <w:pPr>
              <w:numPr>
                <w:ilvl w:val="0"/>
                <w:numId w:val="3"/>
              </w:numPr>
              <w:spacing w:after="0" w:line="240" w:lineRule="auto"/>
              <w:jc w:val="both"/>
              <w:rPr>
                <w:rFonts w:cs="Arial"/>
              </w:rPr>
            </w:pPr>
            <w:r w:rsidRPr="00151119">
              <w:rPr>
                <w:rFonts w:cs="Arial"/>
              </w:rPr>
              <w:t xml:space="preserve">rewitalizacja, rewaloryzacja, konserwacja, renowacja, restauracja, zachowanie i adaptacja oraz roboty budowlane obiektów zabytkowych oraz obszarów zabytkowych; </w:t>
            </w:r>
          </w:p>
          <w:p w:rsidR="00984533" w:rsidRPr="00151119" w:rsidRDefault="00984533" w:rsidP="00480411">
            <w:pPr>
              <w:pStyle w:val="Akapitzlist"/>
              <w:numPr>
                <w:ilvl w:val="0"/>
                <w:numId w:val="3"/>
              </w:numPr>
              <w:spacing w:before="0" w:line="240" w:lineRule="auto"/>
              <w:contextualSpacing/>
              <w:jc w:val="both"/>
              <w:rPr>
                <w:rFonts w:asciiTheme="minorHAnsi" w:hAnsiTheme="minorHAnsi" w:cs="Arial"/>
                <w:szCs w:val="22"/>
              </w:rPr>
            </w:pPr>
            <w:r w:rsidRPr="00151119">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84533" w:rsidRDefault="00984533" w:rsidP="00480411">
            <w:pPr>
              <w:spacing w:line="240" w:lineRule="auto"/>
              <w:jc w:val="both"/>
              <w:rPr>
                <w:rFonts w:cs="Arial"/>
              </w:rPr>
            </w:pPr>
          </w:p>
          <w:p w:rsidR="00984533" w:rsidRPr="00151119" w:rsidRDefault="00984533" w:rsidP="00480411">
            <w:pPr>
              <w:spacing w:line="240" w:lineRule="auto"/>
              <w:jc w:val="both"/>
              <w:rPr>
                <w:rFonts w:cs="Arial"/>
              </w:rPr>
            </w:pPr>
            <w:r w:rsidRPr="00151119">
              <w:rPr>
                <w:rFonts w:cs="Arial"/>
              </w:rPr>
              <w:t>Jako uzupełniający element wyżej wymienionych projektów będą mogły być realizowane:</w:t>
            </w:r>
          </w:p>
          <w:p w:rsidR="00984533" w:rsidRPr="00151119" w:rsidRDefault="00984533" w:rsidP="00480411">
            <w:pPr>
              <w:pStyle w:val="Akapitzlist"/>
              <w:numPr>
                <w:ilvl w:val="0"/>
                <w:numId w:val="2"/>
              </w:numPr>
              <w:tabs>
                <w:tab w:val="left" w:pos="317"/>
                <w:tab w:val="left" w:pos="1405"/>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dostosowanie infrastruktury do potrzeb osób niepełnosprawnych;</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adaptacja i zastosowanie środków ochrony (np. przeciwwłamaniowej i przeciwpożarowej); </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eastAsia="TTE1ABE920t00" w:hAnsiTheme="minorHAnsi" w:cs="Arial"/>
                <w:szCs w:val="22"/>
              </w:rPr>
              <w:t>przedsięwzięcia dotyczące infrastruktury towarzyszącej (np. parkingi, chodniki, drogi) – do 15% wartości projektu;</w:t>
            </w:r>
          </w:p>
          <w:p w:rsidR="00984533"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konserwacja, restauracja zabytków ruchomych znajdujących się w ww. zabytkach nieruchomych objętych wsparciem). </w:t>
            </w:r>
          </w:p>
          <w:p w:rsidR="00C918E6" w:rsidRPr="00151119" w:rsidRDefault="00C918E6" w:rsidP="00480411">
            <w:pPr>
              <w:autoSpaceDE w:val="0"/>
              <w:autoSpaceDN w:val="0"/>
              <w:adjustRightInd w:val="0"/>
              <w:spacing w:after="0" w:line="240" w:lineRule="auto"/>
              <w:jc w:val="both"/>
              <w:rPr>
                <w:rFonts w:cs="Calibri"/>
                <w:color w:val="000000"/>
              </w:rPr>
            </w:pPr>
          </w:p>
          <w:p w:rsidR="00C918E6" w:rsidRPr="00151119" w:rsidRDefault="00C918E6" w:rsidP="00480411">
            <w:pPr>
              <w:pStyle w:val="Poprawka"/>
              <w:numPr>
                <w:ilvl w:val="0"/>
                <w:numId w:val="24"/>
              </w:numPr>
              <w:ind w:hanging="687"/>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C918E6" w:rsidRPr="00151119" w:rsidRDefault="00C918E6" w:rsidP="00480411">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C918E6" w:rsidRPr="00151119" w:rsidRDefault="00C918E6" w:rsidP="00480411">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C918E6" w:rsidRPr="00151119" w:rsidRDefault="00C918E6" w:rsidP="00480411">
            <w:pPr>
              <w:numPr>
                <w:ilvl w:val="0"/>
                <w:numId w:val="4"/>
              </w:numPr>
              <w:spacing w:after="0" w:line="240" w:lineRule="auto"/>
              <w:jc w:val="both"/>
              <w:rPr>
                <w:rFonts w:cs="Arial"/>
              </w:rPr>
            </w:pPr>
            <w:r w:rsidRPr="00151119">
              <w:rPr>
                <w:rFonts w:cs="Arial"/>
              </w:rPr>
              <w:t>oprogramowania komputerowe ułatwiające wewnętrzne zarządzanie w instytucji.</w:t>
            </w:r>
          </w:p>
          <w:p w:rsidR="000552B0" w:rsidRPr="00151119" w:rsidRDefault="000552B0" w:rsidP="00480411">
            <w:pPr>
              <w:spacing w:after="0" w:line="240" w:lineRule="auto"/>
              <w:jc w:val="both"/>
              <w:rPr>
                <w:rFonts w:cs="Calibri"/>
                <w:color w:val="000000"/>
              </w:rPr>
            </w:pPr>
          </w:p>
          <w:p w:rsidR="00984533" w:rsidRPr="00151119" w:rsidRDefault="00984533" w:rsidP="00480411">
            <w:pPr>
              <w:spacing w:after="0" w:line="240" w:lineRule="auto"/>
              <w:jc w:val="both"/>
              <w:rPr>
                <w:rFonts w:cs="Arial"/>
              </w:rPr>
            </w:pPr>
            <w:r w:rsidRPr="00151119">
              <w:rPr>
                <w:rFonts w:cs="Arial"/>
              </w:rPr>
              <w:t xml:space="preserve">W odniesieniu do projektów szkół i uczelni artystycznych możliwe będzie wsparcie w zakresie związanym z prowadzoną działalnością kulturalną </w:t>
            </w:r>
            <w:r w:rsidRPr="00151119">
              <w:rPr>
                <w:rFonts w:cs="Arial"/>
              </w:rPr>
              <w:br/>
            </w:r>
            <w:r w:rsidRPr="00151119">
              <w:rPr>
                <w:rFonts w:cs="Arial"/>
              </w:rPr>
              <w:lastRenderedPageBreak/>
              <w:t>i artystyczną, przy czym wsparcie to nie obejmuje działalności stricte dydaktycznej.</w:t>
            </w:r>
          </w:p>
          <w:p w:rsidR="00984533" w:rsidRDefault="00984533" w:rsidP="00480411">
            <w:pPr>
              <w:spacing w:after="0" w:line="240" w:lineRule="auto"/>
              <w:jc w:val="both"/>
              <w:rPr>
                <w:rFonts w:cs="Arial"/>
              </w:rPr>
            </w:pPr>
          </w:p>
          <w:p w:rsidR="00D9279E" w:rsidRDefault="00D9279E" w:rsidP="00D9279E">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984533" w:rsidRDefault="00984533" w:rsidP="00480411">
            <w:pPr>
              <w:autoSpaceDE w:val="0"/>
              <w:autoSpaceDN w:val="0"/>
              <w:adjustRightInd w:val="0"/>
              <w:spacing w:line="240" w:lineRule="auto"/>
              <w:rPr>
                <w:rFonts w:cs="Arial"/>
                <w:b/>
              </w:rPr>
            </w:pPr>
          </w:p>
          <w:p w:rsidR="000552B0" w:rsidRPr="00151119" w:rsidRDefault="000552B0" w:rsidP="00480411">
            <w:pPr>
              <w:autoSpaceDE w:val="0"/>
              <w:autoSpaceDN w:val="0"/>
              <w:adjustRightInd w:val="0"/>
              <w:spacing w:line="240" w:lineRule="auto"/>
              <w:rPr>
                <w:rFonts w:cs="Arial"/>
                <w:b/>
              </w:rPr>
            </w:pPr>
            <w:r w:rsidRPr="00151119">
              <w:rPr>
                <w:rFonts w:cs="Arial"/>
                <w:b/>
              </w:rPr>
              <w:t>Nie będą finansowane: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387FDF" w:rsidRDefault="00387FDF" w:rsidP="00480411">
            <w:pPr>
              <w:pStyle w:val="Default"/>
              <w:jc w:val="both"/>
              <w:rPr>
                <w:rFonts w:asciiTheme="minorHAnsi" w:hAnsiTheme="minorHAnsi"/>
                <w:sz w:val="22"/>
                <w:szCs w:val="22"/>
              </w:rPr>
            </w:pPr>
          </w:p>
          <w:p w:rsidR="00387FDF" w:rsidRPr="00151119" w:rsidRDefault="00387FDF" w:rsidP="00480411">
            <w:pPr>
              <w:autoSpaceDE w:val="0"/>
              <w:autoSpaceDN w:val="0"/>
              <w:adjustRightInd w:val="0"/>
              <w:spacing w:after="0" w:line="240" w:lineRule="auto"/>
              <w:jc w:val="both"/>
              <w:rPr>
                <w:rFonts w:cs="Arial"/>
                <w:b/>
              </w:rPr>
            </w:pP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t>Podział interwencji pomiędzy RPO WD a PO </w:t>
            </w:r>
            <w:proofErr w:type="spellStart"/>
            <w:r w:rsidRPr="00151119">
              <w:rPr>
                <w:rFonts w:cs="Arial"/>
                <w:b/>
              </w:rPr>
              <w:t>IiŚ</w:t>
            </w:r>
            <w:proofErr w:type="spellEnd"/>
            <w:r w:rsidRPr="00151119">
              <w:rPr>
                <w:rFonts w:cs="Arial"/>
                <w:b/>
              </w:rPr>
              <w:t>:</w:t>
            </w:r>
          </w:p>
          <w:p w:rsidR="00474A39" w:rsidRDefault="00474A39" w:rsidP="00480411">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00532F07" w:rsidRPr="00540EE1">
              <w:rPr>
                <w:rFonts w:cs="Arial"/>
                <w:b/>
                <w:u w:val="single"/>
              </w:rPr>
              <w:t>nie</w:t>
            </w:r>
            <w:r w:rsidR="00532F07" w:rsidRPr="00540EE1">
              <w:rPr>
                <w:rFonts w:cs="Arial"/>
                <w:u w:val="single"/>
              </w:rPr>
              <w:t xml:space="preserve"> </w:t>
            </w:r>
            <w:r w:rsidRPr="00540EE1">
              <w:rPr>
                <w:rFonts w:cs="Arial"/>
                <w:b/>
                <w:u w:val="single"/>
              </w:rPr>
              <w:t xml:space="preserve">mogą ubiegać się o dofinansowanie w ramach </w:t>
            </w:r>
            <w:r w:rsidR="00532F07" w:rsidRPr="00540EE1">
              <w:rPr>
                <w:rFonts w:cs="Arial"/>
                <w:b/>
                <w:u w:val="single"/>
              </w:rPr>
              <w:t>RPO WD.</w:t>
            </w:r>
            <w:r w:rsidRPr="00151119">
              <w:rPr>
                <w:rFonts w:cs="Arial"/>
              </w:rPr>
              <w:t xml:space="preserve"> </w:t>
            </w:r>
          </w:p>
          <w:p w:rsidR="00540EE1" w:rsidRPr="00151119" w:rsidRDefault="00540EE1" w:rsidP="00480411">
            <w:pPr>
              <w:autoSpaceDE w:val="0"/>
              <w:autoSpaceDN w:val="0"/>
              <w:adjustRightInd w:val="0"/>
              <w:spacing w:after="0" w:line="240" w:lineRule="auto"/>
              <w:jc w:val="both"/>
              <w:rPr>
                <w:rFonts w:cs="Arial"/>
              </w:rPr>
            </w:pPr>
          </w:p>
          <w:p w:rsidR="00532F07" w:rsidRDefault="00532F07" w:rsidP="00480411">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540EE1" w:rsidRDefault="00540EE1"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474A39" w:rsidRPr="00151119" w:rsidRDefault="00474A39" w:rsidP="00480411">
            <w:pPr>
              <w:spacing w:after="0" w:line="240" w:lineRule="auto"/>
              <w:jc w:val="both"/>
              <w:rPr>
                <w:rFonts w:cs="Arial"/>
              </w:rPr>
            </w:pPr>
            <w:r w:rsidRPr="00151119">
              <w:rPr>
                <w:rFonts w:cs="Arial"/>
              </w:rPr>
              <w:t>2) projekty mieszczące się w zakresie obszarów tematycznych: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zabytków drewnianych (zarówno nieruchomych, jak i ruchomych);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czytelnictwa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sztuki współczesnej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474A39" w:rsidRPr="00151119" w:rsidRDefault="00474A39" w:rsidP="00480411">
            <w:pPr>
              <w:spacing w:after="0" w:line="240" w:lineRule="auto"/>
              <w:jc w:val="both"/>
              <w:rPr>
                <w:rFonts w:cs="Arial"/>
              </w:rPr>
            </w:pPr>
            <w:r w:rsidRPr="00151119">
              <w:rPr>
                <w:rFonts w:cs="Arial"/>
              </w:rPr>
              <w:t>3) projekty wynikające z Kontraktów Terytorialnych.</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 xml:space="preserve">Zasady podziału interwencji pomiędzy poziom krajowy i regionalny w sektorze kultury przebiegają w oparciu o kwotę 2 mln euro kosztów całkowitych projektu. </w:t>
            </w:r>
            <w:r w:rsidRPr="00151119">
              <w:rPr>
                <w:rFonts w:cs="Arial"/>
              </w:rPr>
              <w:lastRenderedPageBreak/>
              <w:t>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474A39" w:rsidRPr="00151119" w:rsidRDefault="00474A39" w:rsidP="00480411">
            <w:pPr>
              <w:autoSpaceDE w:val="0"/>
              <w:autoSpaceDN w:val="0"/>
              <w:adjustRightInd w:val="0"/>
              <w:spacing w:after="0" w:line="240" w:lineRule="auto"/>
              <w:jc w:val="both"/>
              <w:rPr>
                <w:rFonts w:cs="Arial"/>
                <w:b/>
              </w:rPr>
            </w:pPr>
          </w:p>
          <w:p w:rsidR="00474A39" w:rsidRPr="00151119" w:rsidRDefault="00474A39" w:rsidP="00480411">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474A39" w:rsidRPr="00151119" w:rsidRDefault="00474A39" w:rsidP="00480411">
            <w:pPr>
              <w:spacing w:after="0" w:line="240" w:lineRule="auto"/>
              <w:jc w:val="both"/>
              <w:rPr>
                <w:rFonts w:cs="Arial"/>
              </w:rPr>
            </w:pPr>
            <w:r w:rsidRPr="00151119">
              <w:rPr>
                <w:rFonts w:cs="Arial"/>
              </w:rPr>
              <w:t>- projekty beneficjentów wskazanych w pkt II, ale o innym zakresie niż stanowi pkt II,</w:t>
            </w:r>
          </w:p>
          <w:p w:rsidR="00424DF6" w:rsidRDefault="00474A39" w:rsidP="00480411">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beneficjentów (niewymienionych w pkt I </w:t>
            </w:r>
            <w:proofErr w:type="spellStart"/>
            <w:r w:rsidRPr="00151119">
              <w:rPr>
                <w:rFonts w:cs="Arial"/>
              </w:rPr>
              <w:t>i</w:t>
            </w:r>
            <w:proofErr w:type="spellEnd"/>
            <w:r w:rsidRPr="00151119">
              <w:rPr>
                <w:rFonts w:cs="Arial"/>
              </w:rPr>
              <w:t xml:space="preserve"> II).</w:t>
            </w:r>
          </w:p>
          <w:p w:rsidR="002368A3" w:rsidRDefault="002368A3" w:rsidP="00480411">
            <w:pPr>
              <w:autoSpaceDE w:val="0"/>
              <w:autoSpaceDN w:val="0"/>
              <w:adjustRightInd w:val="0"/>
              <w:spacing w:after="0" w:line="240" w:lineRule="auto"/>
              <w:jc w:val="both"/>
              <w:rPr>
                <w:rFonts w:cs="Arial"/>
              </w:rPr>
            </w:pP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037778" w:rsidRDefault="00037778" w:rsidP="00480411">
            <w:pPr>
              <w:autoSpaceDE w:val="0"/>
              <w:autoSpaceDN w:val="0"/>
              <w:adjustRightInd w:val="0"/>
              <w:spacing w:after="0" w:line="240" w:lineRule="auto"/>
              <w:jc w:val="both"/>
            </w:pPr>
            <w:r w:rsidRPr="00DB69D3">
              <w:t xml:space="preserve">Wsparcie udzielane będzie beneficjentom realizującym przedsięwzięcia na terenie Wrocławskiego Obszaru Funkcjonalnego określonego w Strategii </w:t>
            </w:r>
            <w:r w:rsidR="00F94286">
              <w:t xml:space="preserve">ZIT </w:t>
            </w:r>
            <w:proofErr w:type="spellStart"/>
            <w:r w:rsidR="00F94286">
              <w:t>WrOF</w:t>
            </w:r>
            <w:proofErr w:type="spellEnd"/>
            <w:r>
              <w:t>.</w:t>
            </w:r>
          </w:p>
          <w:p w:rsidR="00037778" w:rsidRDefault="00037778" w:rsidP="00480411">
            <w:pPr>
              <w:autoSpaceDE w:val="0"/>
              <w:autoSpaceDN w:val="0"/>
              <w:adjustRightInd w:val="0"/>
              <w:spacing w:after="0" w:line="240" w:lineRule="auto"/>
              <w:jc w:val="both"/>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jednostki samorządu terytorialnego, ich związki i stowarzyszenia;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 xml:space="preserve">jednostki organizacyjne </w:t>
            </w:r>
            <w:proofErr w:type="spellStart"/>
            <w:r w:rsidRPr="00151119">
              <w:rPr>
                <w:rFonts w:asciiTheme="minorHAnsi" w:eastAsia="TTE1ABE920t00" w:hAnsiTheme="minorHAnsi" w:cs="Arial"/>
                <w:szCs w:val="22"/>
              </w:rPr>
              <w:t>jst</w:t>
            </w:r>
            <w:proofErr w:type="spellEnd"/>
            <w:r w:rsidRPr="00151119">
              <w:rPr>
                <w:rFonts w:asciiTheme="minorHAnsi" w:eastAsia="TTE1ABE920t00" w:hAnsiTheme="minorHAnsi" w:cs="Arial"/>
                <w:szCs w:val="22"/>
              </w:rPr>
              <w:t>;</w:t>
            </w:r>
          </w:p>
          <w:p w:rsidR="00984533" w:rsidRPr="00151119" w:rsidRDefault="00984533" w:rsidP="00480411">
            <w:pPr>
              <w:pStyle w:val="Akapitzlist"/>
              <w:numPr>
                <w:ilvl w:val="0"/>
                <w:numId w:val="6"/>
              </w:numPr>
              <w:spacing w:before="0" w:line="240" w:lineRule="auto"/>
              <w:contextualSpacing/>
              <w:jc w:val="both"/>
              <w:rPr>
                <w:rFonts w:asciiTheme="minorHAnsi" w:hAnsiTheme="minorHAnsi" w:cs="Arial"/>
                <w:szCs w:val="22"/>
              </w:rPr>
            </w:pPr>
            <w:r w:rsidRPr="00151119">
              <w:rPr>
                <w:rFonts w:asciiTheme="minorHAnsi" w:eastAsia="TTE1ABE920t00" w:hAnsiTheme="minorHAnsi" w:cs="Arial"/>
                <w:szCs w:val="22"/>
              </w:rPr>
              <w:t>administracja rządowa;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kościoły i związki wyznaniowe oraz osoby prawne kościołów i związków wyznaniowych;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organizacje pozarządowe;</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LGD;</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szCs w:val="22"/>
              </w:rPr>
              <w:t>spółki prawa handlowego, w </w:t>
            </w:r>
            <w:r w:rsidRPr="00151119">
              <w:rPr>
                <w:rFonts w:asciiTheme="minorHAnsi" w:hAnsiTheme="minorHAnsi"/>
                <w:szCs w:val="22"/>
              </w:rPr>
              <w:t>których udział większościowy – ponad 50% akcji, udziałów itp. – posiadają jednostki sektora finansów publicznych;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samorządowe instytucje kultury;</w:t>
            </w:r>
          </w:p>
          <w:p w:rsidR="00984533" w:rsidRPr="004640F4"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 xml:space="preserve">szkoły i uczelnie artystyczne – inne niż prowadzone i nadzorowane przez </w:t>
            </w:r>
            <w:proofErr w:type="spellStart"/>
            <w:r w:rsidRPr="00151119">
              <w:rPr>
                <w:rFonts w:asciiTheme="minorHAnsi" w:hAnsiTheme="minorHAnsi" w:cs="Arial"/>
                <w:szCs w:val="22"/>
              </w:rPr>
              <w:t>MKiDN</w:t>
            </w:r>
            <w:proofErr w:type="spellEnd"/>
            <w:r w:rsidRPr="00151119">
              <w:rPr>
                <w:rFonts w:asciiTheme="minorHAnsi" w:hAnsiTheme="minorHAnsi" w:cs="Arial"/>
                <w:szCs w:val="22"/>
              </w:rPr>
              <w:t>.</w:t>
            </w:r>
          </w:p>
          <w:p w:rsidR="00984533" w:rsidRPr="00151119" w:rsidRDefault="00984533" w:rsidP="00480411">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037778" w:rsidRPr="00DB69D3" w:rsidRDefault="00037778" w:rsidP="00037778">
            <w:pPr>
              <w:autoSpaceDE w:val="0"/>
              <w:autoSpaceDN w:val="0"/>
              <w:adjustRightInd w:val="0"/>
              <w:spacing w:after="0" w:line="240" w:lineRule="auto"/>
              <w:jc w:val="both"/>
              <w:rPr>
                <w:rFonts w:cs="Calibri"/>
                <w:color w:val="000000"/>
              </w:rPr>
            </w:pPr>
            <w:r w:rsidRPr="00DB69D3">
              <w:rPr>
                <w:rFonts w:cs="Calibri"/>
                <w:color w:val="000000"/>
              </w:rPr>
              <w:t xml:space="preserve">Alokacja w ramach konkursu </w:t>
            </w:r>
            <w:r w:rsidRPr="00DB69D3">
              <w:rPr>
                <w:color w:val="000000"/>
              </w:rPr>
              <w:t>wynosi</w:t>
            </w:r>
            <w:r w:rsidRPr="00DB69D3">
              <w:rPr>
                <w:rFonts w:cs="Calibri"/>
                <w:color w:val="000000"/>
              </w:rPr>
              <w:t xml:space="preserve">- </w:t>
            </w:r>
            <w:r w:rsidRPr="00DB69D3">
              <w:rPr>
                <w:rFonts w:cs="Calibri"/>
                <w:b/>
                <w:color w:val="000000"/>
              </w:rPr>
              <w:t>4 230 000 Euro, tj. 18 061 677,00 PLN</w:t>
            </w:r>
            <w:r w:rsidRPr="00DB69D3">
              <w:rPr>
                <w:rFonts w:cs="Calibri"/>
                <w:color w:val="000000"/>
              </w:rPr>
              <w:t>.</w:t>
            </w:r>
          </w:p>
          <w:p w:rsidR="00984533" w:rsidRDefault="00984533" w:rsidP="00480411">
            <w:pPr>
              <w:autoSpaceDE w:val="0"/>
              <w:autoSpaceDN w:val="0"/>
              <w:adjustRightInd w:val="0"/>
              <w:spacing w:after="0" w:line="240" w:lineRule="auto"/>
              <w:jc w:val="both"/>
              <w:rPr>
                <w:rFonts w:cs="MS Sans Serif"/>
              </w:rPr>
            </w:pPr>
            <w:r w:rsidRPr="00CB0572">
              <w:rPr>
                <w:rFonts w:cs="MS Sans Serif"/>
              </w:rPr>
              <w:t>Alokacja przeliczona po kursie Europejskiego Banku Centralnego (EBC) obowiązującym w listopadzie</w:t>
            </w:r>
            <w:r>
              <w:rPr>
                <w:rFonts w:cs="MS Sans Serif"/>
              </w:rPr>
              <w:t xml:space="preserve"> 2015 r.</w:t>
            </w:r>
            <w:r w:rsidRPr="00CB0572">
              <w:rPr>
                <w:rFonts w:cs="MS Sans Serif"/>
              </w:rPr>
              <w:t xml:space="preserve">,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wyboru projektów przez Zarząd Województwa Dolnośląskiego.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Minimalna wartość projektu:</w:t>
            </w:r>
          </w:p>
        </w:tc>
        <w:tc>
          <w:tcPr>
            <w:tcW w:w="7494" w:type="dxa"/>
          </w:tcPr>
          <w:p w:rsidR="00984533" w:rsidRPr="00AB5956" w:rsidRDefault="00984533" w:rsidP="00480411">
            <w:pPr>
              <w:spacing w:before="120" w:after="120" w:line="240" w:lineRule="auto"/>
              <w:jc w:val="both"/>
              <w:rPr>
                <w:rFonts w:cs="Arial"/>
              </w:rPr>
            </w:pPr>
            <w:r w:rsidRPr="00BE5EED">
              <w:rPr>
                <w:bCs/>
              </w:rPr>
              <w:t>Minimalna wartość projektu to</w:t>
            </w:r>
            <w:r>
              <w:rPr>
                <w:b/>
                <w:bCs/>
              </w:rPr>
              <w:t xml:space="preserve"> </w:t>
            </w:r>
            <w:r>
              <w:rPr>
                <w:rFonts w:cs="Arial"/>
              </w:rPr>
              <w:t>100 tys. PLN</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Default="00984533" w:rsidP="00480411">
            <w:pPr>
              <w:spacing w:before="120" w:after="120" w:line="240" w:lineRule="auto"/>
              <w:jc w:val="both"/>
              <w:rPr>
                <w:rFonts w:cs="Arial"/>
              </w:rPr>
            </w:pPr>
            <w:r w:rsidRPr="00BE5EED">
              <w:rPr>
                <w:bCs/>
              </w:rPr>
              <w:t xml:space="preserve">Maksymalna wartość projektu to </w:t>
            </w:r>
            <w:r w:rsidRPr="00CB0572">
              <w:rPr>
                <w:rFonts w:cs="Arial"/>
              </w:rPr>
              <w:t>21 349 500,00</w:t>
            </w:r>
            <w:r>
              <w:rPr>
                <w:rFonts w:cs="Arial"/>
              </w:rPr>
              <w:t xml:space="preserve"> PLN</w:t>
            </w:r>
            <w:r w:rsidRPr="00CB0572">
              <w:rPr>
                <w:rFonts w:cs="Arial"/>
              </w:rPr>
              <w:t xml:space="preserve"> tj.</w:t>
            </w:r>
            <w:r>
              <w:rPr>
                <w:rFonts w:cs="Arial"/>
              </w:rPr>
              <w:t xml:space="preserve"> nie więcej niż 5 mln Euro.</w:t>
            </w:r>
          </w:p>
          <w:p w:rsidR="00984533" w:rsidRDefault="00984533" w:rsidP="00480411">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984533" w:rsidRDefault="00984533" w:rsidP="00480411">
            <w:pPr>
              <w:autoSpaceDE w:val="0"/>
              <w:autoSpaceDN w:val="0"/>
              <w:adjustRightInd w:val="0"/>
              <w:spacing w:after="0" w:line="240" w:lineRule="auto"/>
              <w:jc w:val="both"/>
              <w:rPr>
                <w:rFonts w:cs="Arial"/>
              </w:rPr>
            </w:pPr>
          </w:p>
          <w:p w:rsidR="00984533" w:rsidRPr="00F66A4E" w:rsidRDefault="00984533" w:rsidP="00480411">
            <w:pPr>
              <w:autoSpaceDE w:val="0"/>
              <w:autoSpaceDN w:val="0"/>
              <w:adjustRightInd w:val="0"/>
              <w:spacing w:after="0" w:line="240" w:lineRule="auto"/>
              <w:jc w:val="both"/>
              <w:rPr>
                <w:rFonts w:cs="MS Sans Serif"/>
              </w:rPr>
            </w:pPr>
            <w:r>
              <w:rPr>
                <w:rFonts w:cs="Arial"/>
              </w:rPr>
              <w:t xml:space="preserve">Do przeliczenia kwot z pkt. 4 z Euro na PLN stosuje się kurs </w:t>
            </w:r>
            <w:r w:rsidRPr="00CB0572">
              <w:rPr>
                <w:rFonts w:cs="MS Sans Serif"/>
              </w:rPr>
              <w:t xml:space="preserve">Europejskiego Banku Centralnego (EBC) obowiązujący w listopadzie, tj.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Pr="00AB5956" w:rsidRDefault="00984533" w:rsidP="00480411">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AD417D" w:rsidRDefault="00984533" w:rsidP="00480411">
            <w:pPr>
              <w:pStyle w:val="Default"/>
              <w:rPr>
                <w:rFonts w:asciiTheme="minorHAnsi" w:hAnsiTheme="minorHAnsi"/>
                <w:sz w:val="22"/>
                <w:szCs w:val="22"/>
              </w:rPr>
            </w:pPr>
            <w:r w:rsidRPr="00AD417D">
              <w:rPr>
                <w:rFonts w:asciiTheme="minorHAnsi" w:hAnsiTheme="minorHAnsi"/>
                <w:b/>
                <w:bCs/>
                <w:sz w:val="22"/>
                <w:szCs w:val="22"/>
              </w:rPr>
              <w:t xml:space="preserve">Pomoc publiczna </w:t>
            </w:r>
            <w:r>
              <w:rPr>
                <w:rFonts w:asciiTheme="minorHAnsi" w:hAnsiTheme="minorHAnsi"/>
                <w:b/>
                <w:bCs/>
                <w:sz w:val="22"/>
                <w:szCs w:val="22"/>
              </w:rPr>
              <w:br/>
            </w:r>
            <w:r w:rsidRPr="00AD417D">
              <w:rPr>
                <w:rFonts w:asciiTheme="minorHAnsi" w:hAnsiTheme="minorHAnsi"/>
                <w:b/>
                <w:bCs/>
                <w:sz w:val="22"/>
                <w:szCs w:val="22"/>
              </w:rPr>
              <w:t xml:space="preserve">i pomoc de </w:t>
            </w:r>
            <w:proofErr w:type="spellStart"/>
            <w:r w:rsidRPr="00AD417D">
              <w:rPr>
                <w:rFonts w:asciiTheme="minorHAnsi" w:hAnsiTheme="minorHAnsi"/>
                <w:b/>
                <w:bCs/>
                <w:sz w:val="22"/>
                <w:szCs w:val="22"/>
              </w:rPr>
              <w:t>minimis</w:t>
            </w:r>
            <w:proofErr w:type="spellEnd"/>
            <w:r w:rsidRPr="00AD417D">
              <w:rPr>
                <w:rFonts w:asciiTheme="minorHAnsi" w:hAnsiTheme="minorHAnsi"/>
                <w:b/>
                <w:bCs/>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984533" w:rsidRDefault="00984533" w:rsidP="0048041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984533" w:rsidRPr="00600EB8" w:rsidRDefault="00984533" w:rsidP="0048041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984533" w:rsidRDefault="00984533" w:rsidP="0048041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984533" w:rsidRPr="00600EB8" w:rsidRDefault="00984533" w:rsidP="00480411">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lastRenderedPageBreak/>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984533" w:rsidP="00480411">
            <w:pPr>
              <w:autoSpaceDE w:val="0"/>
              <w:autoSpaceDN w:val="0"/>
              <w:adjustRightInd w:val="0"/>
              <w:spacing w:after="0" w:line="240" w:lineRule="auto"/>
              <w:rPr>
                <w:rFonts w:cs="Calibri"/>
                <w:color w:val="000000"/>
              </w:rPr>
            </w:pPr>
            <w:r w:rsidRPr="00151119">
              <w:t>Luka finansowa w projektach nieobjętych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741B3" w:rsidRDefault="00984533" w:rsidP="00480411">
            <w:pPr>
              <w:pStyle w:val="Default"/>
              <w:jc w:val="both"/>
              <w:rPr>
                <w:sz w:val="22"/>
                <w:szCs w:val="22"/>
              </w:rPr>
            </w:pPr>
            <w:r>
              <w:rPr>
                <w:sz w:val="22"/>
                <w:szCs w:val="22"/>
              </w:rPr>
              <w:t>P</w:t>
            </w:r>
            <w:r w:rsidRPr="001741B3">
              <w:rPr>
                <w:sz w:val="22"/>
                <w:szCs w:val="22"/>
              </w:rPr>
              <w:t xml:space="preserve">oziom dofinansowania UE na poziomie projektu wynosi: </w:t>
            </w:r>
          </w:p>
          <w:p w:rsidR="00984533" w:rsidRDefault="00984533" w:rsidP="00480411">
            <w:pPr>
              <w:pStyle w:val="Default"/>
              <w:numPr>
                <w:ilvl w:val="0"/>
                <w:numId w:val="20"/>
              </w:numPr>
              <w:jc w:val="both"/>
              <w:rPr>
                <w:sz w:val="22"/>
                <w:szCs w:val="22"/>
              </w:rPr>
            </w:pPr>
            <w:r>
              <w:rPr>
                <w:sz w:val="22"/>
                <w:szCs w:val="22"/>
              </w:rPr>
              <w:t>W</w:t>
            </w:r>
            <w:r w:rsidRPr="001741B3">
              <w:rPr>
                <w:sz w:val="22"/>
                <w:szCs w:val="22"/>
              </w:rPr>
              <w:t xml:space="preserve"> przypadku projektów nieobjętych pomocą publiczną – 85% kosztów kwalifikowalnych; </w:t>
            </w:r>
          </w:p>
          <w:p w:rsidR="00984533" w:rsidRPr="001741B3" w:rsidRDefault="00984533" w:rsidP="00480411">
            <w:pPr>
              <w:pStyle w:val="Default"/>
              <w:rPr>
                <w:sz w:val="22"/>
                <w:szCs w:val="22"/>
              </w:rPr>
            </w:pPr>
          </w:p>
          <w:p w:rsidR="00984533" w:rsidRDefault="00984533" w:rsidP="00480411">
            <w:pPr>
              <w:pStyle w:val="Default"/>
              <w:numPr>
                <w:ilvl w:val="0"/>
                <w:numId w:val="20"/>
              </w:numPr>
              <w:jc w:val="both"/>
              <w:rPr>
                <w:sz w:val="22"/>
                <w:szCs w:val="22"/>
              </w:rPr>
            </w:pPr>
            <w:r w:rsidRPr="00DE51F0">
              <w:rPr>
                <w:sz w:val="22"/>
                <w:szCs w:val="22"/>
              </w:rPr>
              <w:t xml:space="preserve">W przypadku projektu objętego pomocą publiczną w rozumieniu Rozporządzenia Ministra Infrastruktury i Rozwoju </w:t>
            </w:r>
            <w:r w:rsidRPr="00DE51F0">
              <w:rPr>
                <w:rFonts w:eastAsia="TimesNewRoman" w:cs="TimesNewRoman"/>
                <w:sz w:val="22"/>
                <w:szCs w:val="22"/>
              </w:rPr>
              <w:t xml:space="preserve">z dnia 28 sierpnia 2015 r. </w:t>
            </w:r>
            <w:r w:rsidRPr="00DE51F0">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19"/>
              </w:numPr>
              <w:ind w:hanging="403"/>
              <w:jc w:val="both"/>
              <w:rPr>
                <w:sz w:val="22"/>
                <w:szCs w:val="22"/>
              </w:rPr>
            </w:pPr>
            <w:r w:rsidRPr="00DE51F0">
              <w:rPr>
                <w:sz w:val="22"/>
                <w:szCs w:val="22"/>
              </w:rPr>
              <w:t xml:space="preserve">nieprzekraczającą 1 mln </w:t>
            </w:r>
            <w:r w:rsidRPr="002E5B1F">
              <w:rPr>
                <w:sz w:val="22"/>
                <w:szCs w:val="22"/>
              </w:rPr>
              <w:t xml:space="preserve">EUR </w:t>
            </w:r>
            <w:r>
              <w:rPr>
                <w:sz w:val="22"/>
                <w:szCs w:val="22"/>
              </w:rPr>
              <w:t xml:space="preserve">(kwoty pomocy) </w:t>
            </w:r>
            <w:r w:rsidRPr="002E5B1F">
              <w:rPr>
                <w:sz w:val="22"/>
                <w:szCs w:val="22"/>
              </w:rPr>
              <w:t>- 80 % kosztów kwalifikowalnych</w:t>
            </w:r>
            <w:r>
              <w:rPr>
                <w:sz w:val="22"/>
                <w:szCs w:val="22"/>
              </w:rPr>
              <w:t>;</w:t>
            </w:r>
          </w:p>
          <w:p w:rsidR="00984533" w:rsidRDefault="00984533" w:rsidP="00480411">
            <w:pPr>
              <w:pStyle w:val="Default"/>
              <w:ind w:left="720"/>
              <w:jc w:val="both"/>
              <w:rPr>
                <w:sz w:val="22"/>
                <w:szCs w:val="22"/>
              </w:rPr>
            </w:pPr>
          </w:p>
          <w:p w:rsidR="00984533" w:rsidRPr="006B0BAB" w:rsidRDefault="00984533" w:rsidP="00480411">
            <w:pPr>
              <w:pStyle w:val="Default"/>
              <w:numPr>
                <w:ilvl w:val="0"/>
                <w:numId w:val="19"/>
              </w:numPr>
              <w:ind w:left="317" w:firstLine="0"/>
              <w:jc w:val="both"/>
              <w:rPr>
                <w:sz w:val="22"/>
                <w:szCs w:val="22"/>
              </w:rPr>
            </w:pPr>
            <w:r>
              <w:rPr>
                <w:sz w:val="22"/>
                <w:szCs w:val="22"/>
              </w:rPr>
              <w:t>d</w:t>
            </w:r>
            <w:r w:rsidRPr="006B0BAB">
              <w:rPr>
                <w:sz w:val="22"/>
                <w:szCs w:val="22"/>
              </w:rPr>
              <w:t xml:space="preserve">la pozostałych projektów kwota pomocy nie przekracza różnicy między kosztami kwalifikowalnymi a zyskiem operacyjnym z inwestycji. Zysk operacyjny odlicza się od kosztów kwalifikowalnych </w:t>
            </w:r>
            <w:r w:rsidRPr="006B0BAB">
              <w:rPr>
                <w:i/>
                <w:iCs/>
                <w:sz w:val="22"/>
                <w:szCs w:val="22"/>
              </w:rPr>
              <w:t xml:space="preserve">ex </w:t>
            </w:r>
            <w:proofErr w:type="spellStart"/>
            <w:r w:rsidRPr="006B0BAB">
              <w:rPr>
                <w:i/>
                <w:iCs/>
                <w:sz w:val="22"/>
                <w:szCs w:val="22"/>
              </w:rPr>
              <w:t>ante</w:t>
            </w:r>
            <w:proofErr w:type="spellEnd"/>
            <w:r w:rsidRPr="006B0BAB">
              <w:rPr>
                <w:sz w:val="22"/>
                <w:szCs w:val="22"/>
              </w:rPr>
              <w:t>, na podstawie rozsądnych prognoz, albo przy użyciu mechanizmu wycofania. Operator infrastruktury ma prawo zatrzymać rozsądny zysk przez odnośny okres.</w:t>
            </w:r>
          </w:p>
          <w:p w:rsidR="00984533" w:rsidRPr="003F1BA7" w:rsidRDefault="00984533" w:rsidP="00480411">
            <w:pPr>
              <w:pStyle w:val="Default"/>
              <w:jc w:val="both"/>
              <w:rPr>
                <w:sz w:val="22"/>
                <w:szCs w:val="22"/>
              </w:rPr>
            </w:pPr>
          </w:p>
          <w:p w:rsidR="00984533" w:rsidRPr="00565A63" w:rsidRDefault="00984533" w:rsidP="00480411">
            <w:pPr>
              <w:pStyle w:val="Default"/>
              <w:numPr>
                <w:ilvl w:val="0"/>
                <w:numId w:val="20"/>
              </w:numPr>
              <w:jc w:val="both"/>
              <w:rPr>
                <w:rFonts w:cs="Arial"/>
                <w:sz w:val="22"/>
                <w:szCs w:val="22"/>
              </w:rPr>
            </w:pPr>
            <w:r w:rsidRPr="00565A63">
              <w:rPr>
                <w:sz w:val="22"/>
                <w:szCs w:val="22"/>
              </w:rPr>
              <w:t xml:space="preserve">W przypadku projektu objętego pomocą de </w:t>
            </w:r>
            <w:proofErr w:type="spellStart"/>
            <w:r w:rsidRPr="00565A63">
              <w:rPr>
                <w:sz w:val="22"/>
                <w:szCs w:val="22"/>
              </w:rPr>
              <w:t>minimis</w:t>
            </w:r>
            <w:proofErr w:type="spellEnd"/>
            <w:r w:rsidRPr="00565A63">
              <w:rPr>
                <w:sz w:val="22"/>
                <w:szCs w:val="22"/>
              </w:rPr>
              <w:t xml:space="preserve"> - 80 % kosztów kwalifikowalnych.</w:t>
            </w: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5" w:history="1">
              <w:r w:rsidRPr="00207E38">
                <w:rPr>
                  <w:rStyle w:val="Hipercze"/>
                </w:rPr>
                <w:t>www.funduszeeuropejskie.gov.pl</w:t>
              </w:r>
            </w:hyperlink>
            <w:r>
              <w:t xml:space="preserve">. </w:t>
            </w:r>
          </w:p>
          <w:p w:rsidR="00E92452" w:rsidRPr="00AB5956" w:rsidRDefault="00E92452" w:rsidP="00480411">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sz w:val="22"/>
                <w:szCs w:val="22"/>
              </w:rPr>
            </w:pPr>
            <w:r>
              <w:rPr>
                <w:sz w:val="22"/>
                <w:szCs w:val="22"/>
              </w:rPr>
              <w:t xml:space="preserve">Minimalny wkład własny beneficjenta na poziomie projektu wynosi: </w:t>
            </w:r>
          </w:p>
          <w:p w:rsidR="00984533" w:rsidRDefault="00984533" w:rsidP="00480411">
            <w:pPr>
              <w:pStyle w:val="Default"/>
              <w:numPr>
                <w:ilvl w:val="0"/>
                <w:numId w:val="21"/>
              </w:numPr>
              <w:jc w:val="both"/>
              <w:rPr>
                <w:sz w:val="22"/>
                <w:szCs w:val="22"/>
              </w:rPr>
            </w:pPr>
            <w:r>
              <w:rPr>
                <w:sz w:val="22"/>
                <w:szCs w:val="22"/>
              </w:rPr>
              <w:t xml:space="preserve">W przypadku projektów nieobjętych pomocą publiczną – 15%; </w:t>
            </w:r>
          </w:p>
          <w:p w:rsidR="00984533" w:rsidRDefault="00984533" w:rsidP="00480411">
            <w:pPr>
              <w:pStyle w:val="Default"/>
              <w:ind w:left="720"/>
              <w:jc w:val="both"/>
              <w:rPr>
                <w:sz w:val="22"/>
                <w:szCs w:val="22"/>
              </w:rPr>
            </w:pPr>
          </w:p>
          <w:p w:rsidR="00984533" w:rsidRDefault="00984533" w:rsidP="00480411">
            <w:pPr>
              <w:pStyle w:val="Default"/>
              <w:numPr>
                <w:ilvl w:val="0"/>
                <w:numId w:val="21"/>
              </w:numPr>
              <w:jc w:val="both"/>
              <w:rPr>
                <w:sz w:val="22"/>
                <w:szCs w:val="22"/>
              </w:rPr>
            </w:pPr>
            <w:r>
              <w:rPr>
                <w:sz w:val="22"/>
                <w:szCs w:val="22"/>
              </w:rPr>
              <w:t>W</w:t>
            </w:r>
            <w:r w:rsidRPr="002B7A29">
              <w:rPr>
                <w:sz w:val="22"/>
                <w:szCs w:val="22"/>
              </w:rPr>
              <w:t xml:space="preserve"> przypadku projektu objętego pomocą publiczną w rozumieniu Rozporządzenia Ministra Infrastruktury i Rozwoju </w:t>
            </w:r>
            <w:r w:rsidRPr="002B7A29">
              <w:rPr>
                <w:rFonts w:eastAsia="TimesNewRoman" w:cs="TimesNewRoman"/>
                <w:sz w:val="22"/>
                <w:szCs w:val="22"/>
              </w:rPr>
              <w:t xml:space="preserve">z dnia 28 sierpnia 2015 r. </w:t>
            </w:r>
            <w:r w:rsidRPr="002B7A29">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22"/>
              </w:numPr>
              <w:ind w:left="459" w:firstLine="0"/>
              <w:jc w:val="both"/>
              <w:rPr>
                <w:sz w:val="22"/>
                <w:szCs w:val="22"/>
              </w:rPr>
            </w:pPr>
            <w:r w:rsidRPr="002B7A29">
              <w:rPr>
                <w:sz w:val="22"/>
                <w:szCs w:val="22"/>
              </w:rPr>
              <w:t>nieprzekraczającą 1 mln EUR</w:t>
            </w:r>
            <w:r>
              <w:rPr>
                <w:sz w:val="22"/>
                <w:szCs w:val="22"/>
              </w:rPr>
              <w:t xml:space="preserve"> (kwoty pomocy) – 20% kosztów kwalifikowalnych;</w:t>
            </w:r>
          </w:p>
          <w:p w:rsidR="00984533" w:rsidRDefault="00984533" w:rsidP="00480411">
            <w:pPr>
              <w:pStyle w:val="Default"/>
              <w:ind w:left="459"/>
              <w:jc w:val="both"/>
              <w:rPr>
                <w:sz w:val="22"/>
                <w:szCs w:val="22"/>
              </w:rPr>
            </w:pPr>
          </w:p>
          <w:p w:rsidR="00984533" w:rsidRPr="002B7A29" w:rsidRDefault="00984533" w:rsidP="00480411">
            <w:pPr>
              <w:pStyle w:val="Default"/>
              <w:numPr>
                <w:ilvl w:val="0"/>
                <w:numId w:val="22"/>
              </w:numPr>
              <w:ind w:left="459" w:firstLine="0"/>
              <w:jc w:val="both"/>
              <w:rPr>
                <w:sz w:val="22"/>
                <w:szCs w:val="22"/>
              </w:rPr>
            </w:pPr>
            <w:r w:rsidRPr="002B7A29">
              <w:rPr>
                <w:sz w:val="22"/>
                <w:szCs w:val="22"/>
              </w:rPr>
              <w:t>dla pozostałych projektów</w:t>
            </w:r>
            <w:r>
              <w:rPr>
                <w:sz w:val="22"/>
                <w:szCs w:val="22"/>
              </w:rPr>
              <w:t xml:space="preserve"> – w zależności od wyliczeń przeprowadzonych zgodnie z pkt 2 b) z pkt 12 niniejszego regulaminu</w:t>
            </w:r>
            <w:r w:rsidRPr="002B7A29">
              <w:rPr>
                <w:sz w:val="22"/>
                <w:szCs w:val="22"/>
              </w:rPr>
              <w:t>.</w:t>
            </w:r>
          </w:p>
          <w:p w:rsidR="00984533" w:rsidRPr="002B7A29" w:rsidRDefault="00984533" w:rsidP="00480411">
            <w:pPr>
              <w:pStyle w:val="Akapitzlist"/>
              <w:numPr>
                <w:ilvl w:val="0"/>
                <w:numId w:val="21"/>
              </w:numPr>
              <w:autoSpaceDE w:val="0"/>
              <w:autoSpaceDN w:val="0"/>
              <w:adjustRightInd w:val="0"/>
              <w:spacing w:line="240" w:lineRule="auto"/>
              <w:jc w:val="both"/>
              <w:rPr>
                <w:rFonts w:asciiTheme="minorHAnsi" w:hAnsiTheme="minorHAnsi" w:cs="Calibri"/>
                <w:color w:val="000000"/>
              </w:rPr>
            </w:pPr>
            <w:r w:rsidRPr="002B7A29">
              <w:rPr>
                <w:rFonts w:asciiTheme="minorHAnsi" w:hAnsiTheme="minorHAnsi"/>
              </w:rPr>
              <w:lastRenderedPageBreak/>
              <w:t xml:space="preserve">W przypadku projektu objętego pomocą de </w:t>
            </w:r>
            <w:proofErr w:type="spellStart"/>
            <w:r w:rsidRPr="002B7A29">
              <w:rPr>
                <w:rFonts w:asciiTheme="minorHAnsi" w:hAnsiTheme="minorHAnsi"/>
              </w:rPr>
              <w:t>minimis</w:t>
            </w:r>
            <w:proofErr w:type="spellEnd"/>
            <w:r w:rsidRPr="002B7A29">
              <w:rPr>
                <w:rFonts w:asciiTheme="minorHAnsi" w:hAnsiTheme="minorHAnsi"/>
              </w:rPr>
              <w:t xml:space="preserve"> - 20 % kosztów kwalifikowalnych.</w:t>
            </w:r>
          </w:p>
          <w:p w:rsidR="00984533" w:rsidRDefault="00984533" w:rsidP="00480411">
            <w:pPr>
              <w:autoSpaceDE w:val="0"/>
              <w:autoSpaceDN w:val="0"/>
              <w:adjustRightInd w:val="0"/>
              <w:spacing w:line="240" w:lineRule="auto"/>
              <w:jc w:val="both"/>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6" w:history="1">
              <w:r w:rsidRPr="00207E38">
                <w:rPr>
                  <w:rStyle w:val="Hipercze"/>
                </w:rPr>
                <w:t>www.funduszeeuropejskie.gov.pl</w:t>
              </w:r>
            </w:hyperlink>
            <w: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Forma konkursu</w:t>
            </w:r>
            <w:r>
              <w:rPr>
                <w:rFonts w:asciiTheme="minorHAnsi" w:hAnsiTheme="minorHAnsi"/>
                <w:b/>
                <w:bCs/>
                <w:sz w:val="22"/>
                <w:szCs w:val="22"/>
              </w:rPr>
              <w:t xml:space="preserve"> (informacja na jakie etapy został podzielony konkurs)</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237C0" w:rsidRPr="0056015A" w:rsidRDefault="004237C0" w:rsidP="004237C0">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4237C0" w:rsidRDefault="004237C0" w:rsidP="004237C0">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4237C0" w:rsidRPr="00116391" w:rsidRDefault="004237C0" w:rsidP="004237C0">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4237C0" w:rsidRPr="00053525" w:rsidRDefault="004237C0" w:rsidP="004237C0">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4237C0" w:rsidRPr="00053525" w:rsidRDefault="004237C0" w:rsidP="004237C0">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4237C0" w:rsidRPr="00053525" w:rsidRDefault="004237C0" w:rsidP="004237C0">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4237C0" w:rsidRPr="00053525" w:rsidRDefault="004237C0" w:rsidP="004237C0">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 xml:space="preserve">w rozumieniu rozdziału 15 ustawy </w:t>
            </w:r>
            <w:r w:rsidRPr="00053525">
              <w:rPr>
                <w:rFonts w:ascii="Calibri" w:hAnsi="Calibri" w:cs="Calibri"/>
                <w:color w:val="000000"/>
              </w:rPr>
              <w:t xml:space="preserve">– trwa ona 7 dni od dnia zakończenia naboru); </w:t>
            </w:r>
          </w:p>
          <w:p w:rsidR="00FB780A" w:rsidRPr="00670089" w:rsidRDefault="00670089" w:rsidP="00FB780A">
            <w:pPr>
              <w:pStyle w:val="Akapitzlist"/>
              <w:numPr>
                <w:ilvl w:val="0"/>
                <w:numId w:val="28"/>
              </w:numPr>
              <w:autoSpaceDE w:val="0"/>
              <w:autoSpaceDN w:val="0"/>
              <w:adjustRightInd w:val="0"/>
              <w:spacing w:after="120" w:line="240" w:lineRule="auto"/>
              <w:jc w:val="both"/>
              <w:rPr>
                <w:rFonts w:ascii="Calibri" w:hAnsi="Calibri" w:cs="Calibri"/>
                <w:color w:val="000000"/>
                <w:szCs w:val="22"/>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oceny</w:t>
            </w:r>
            <w:r w:rsidR="00FB780A" w:rsidRPr="00670089">
              <w:rPr>
                <w:rFonts w:ascii="Calibri" w:hAnsi="Calibri" w:cs="Calibri"/>
                <w:color w:val="000000"/>
                <w:szCs w:val="22"/>
              </w:rPr>
              <w:t xml:space="preserve"> - </w:t>
            </w:r>
            <w:r w:rsidR="00FB780A" w:rsidRPr="00670089">
              <w:rPr>
                <w:rFonts w:asciiTheme="minorHAnsi" w:hAnsiTheme="minorHAnsi"/>
                <w:lang w:eastAsia="ar-SA"/>
              </w:rPr>
              <w:t xml:space="preserve">Ocena spełnienia przez projekt kryteriów dotyczących jego zgodności ze Strategią </w:t>
            </w:r>
            <w:r w:rsidR="00F94286" w:rsidRPr="00670089">
              <w:rPr>
                <w:rFonts w:asciiTheme="minorHAnsi" w:hAnsiTheme="minorHAnsi"/>
                <w:lang w:eastAsia="ar-SA"/>
              </w:rPr>
              <w:t xml:space="preserve">ZIT </w:t>
            </w:r>
            <w:proofErr w:type="spellStart"/>
            <w:r w:rsidR="00F94286" w:rsidRPr="00670089">
              <w:rPr>
                <w:rFonts w:asciiTheme="minorHAnsi" w:hAnsiTheme="minorHAnsi"/>
                <w:lang w:eastAsia="ar-SA"/>
              </w:rPr>
              <w:t>WrOF</w:t>
            </w:r>
            <w:proofErr w:type="spellEnd"/>
            <w:r w:rsidR="00FB780A" w:rsidRPr="00670089">
              <w:rPr>
                <w:rFonts w:asciiTheme="minorHAnsi" w:hAnsiTheme="minorHAnsi"/>
                <w:lang w:eastAsia="ar-SA"/>
              </w:rPr>
              <w:t xml:space="preserve"> (</w:t>
            </w:r>
            <w:r w:rsidR="00FB780A" w:rsidRPr="00670089">
              <w:rPr>
                <w:rFonts w:asciiTheme="minorHAnsi" w:hAnsiTheme="minorHAnsi"/>
              </w:rPr>
              <w:t xml:space="preserve">Ocenę projektu pod kątem zgodności ze Strategią </w:t>
            </w:r>
            <w:r w:rsidR="00F94286" w:rsidRPr="00670089">
              <w:rPr>
                <w:rFonts w:asciiTheme="minorHAnsi" w:hAnsiTheme="minorHAnsi"/>
              </w:rPr>
              <w:t xml:space="preserve">ZIT </w:t>
            </w:r>
            <w:proofErr w:type="spellStart"/>
            <w:r w:rsidR="00F94286" w:rsidRPr="00670089">
              <w:rPr>
                <w:rFonts w:asciiTheme="minorHAnsi" w:hAnsiTheme="minorHAnsi"/>
              </w:rPr>
              <w:t>WrOF</w:t>
            </w:r>
            <w:proofErr w:type="spellEnd"/>
            <w:r w:rsidR="00FB780A" w:rsidRPr="00670089">
              <w:rPr>
                <w:rFonts w:asciiTheme="minorHAnsi" w:hAnsiTheme="minorHAnsi"/>
              </w:rPr>
              <w:t xml:space="preserve"> przeprowadzają eksperci zewnętrzni, o których mowa w art. 49 ustawy wdrożeniowej, a także pracownicy Gminy Wrocław realizujący zadania Instytucji Pośredniczącej) </w:t>
            </w:r>
            <w:r w:rsidR="00FB780A" w:rsidRPr="00670089">
              <w:rPr>
                <w:rFonts w:asciiTheme="minorHAnsi" w:hAnsiTheme="minorHAnsi"/>
                <w:lang w:eastAsia="ar-SA"/>
              </w:rPr>
              <w:t xml:space="preserve">- </w:t>
            </w:r>
            <w:r w:rsidR="00FB780A" w:rsidRPr="00670089">
              <w:rPr>
                <w:rFonts w:asciiTheme="minorHAnsi" w:hAnsiTheme="minorHAnsi"/>
                <w:iCs/>
              </w:rPr>
              <w:t>do 20</w:t>
            </w:r>
            <w:r w:rsidR="00FB780A" w:rsidRPr="00670089">
              <w:rPr>
                <w:rFonts w:asciiTheme="minorHAnsi" w:hAnsiTheme="minorHAnsi"/>
              </w:rPr>
              <w:t xml:space="preserve"> dni </w:t>
            </w:r>
            <w:r w:rsidR="00FB780A" w:rsidRPr="00670089">
              <w:rPr>
                <w:rFonts w:asciiTheme="minorHAnsi" w:hAnsiTheme="minorHAnsi"/>
                <w:iCs/>
              </w:rPr>
              <w:t xml:space="preserve"> od dnia zakończenia weryfikacji technicznej tj. przekazania wniosków do oceny zgodności ze Strategią ZIT;</w:t>
            </w:r>
          </w:p>
          <w:p w:rsidR="00670089" w:rsidRDefault="00670089" w:rsidP="00670089">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670089" w:rsidRDefault="00670089" w:rsidP="00670089">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 etap oceny formalnej (ocena kryteriów formalnych kluczowych ogólnych i specyficznych – jeśli dotyczą naboru) – do 10 dni;</w:t>
            </w:r>
          </w:p>
          <w:p w:rsidR="00670089" w:rsidRPr="00A97034" w:rsidRDefault="00670089" w:rsidP="00670089">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II etap oceny formalnej (ocena kryteriów formalnych uzupełniających ogólnych i specyficznych – jeśli dotyczą naboru) - do 10 dni;</w:t>
            </w:r>
          </w:p>
          <w:p w:rsidR="00670089" w:rsidRPr="00A97034" w:rsidRDefault="00670089" w:rsidP="00670089">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 </w:t>
            </w:r>
          </w:p>
          <w:p w:rsidR="00670089" w:rsidRDefault="00670089" w:rsidP="00670089">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w:t>
            </w:r>
            <w:r w:rsidRPr="00DE41FD">
              <w:rPr>
                <w:rFonts w:ascii="Calibri" w:hAnsi="Calibri" w:cs="Calibri"/>
                <w:color w:val="000000"/>
              </w:rPr>
              <w:lastRenderedPageBreak/>
              <w:t xml:space="preserve">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„Dziedzictwo kulturowe”</w:t>
            </w:r>
            <w:r w:rsidRPr="00DE41FD">
              <w:rPr>
                <w:rFonts w:ascii="Calibri" w:hAnsi="Calibri" w:cs="Calibri"/>
                <w:color w:val="000000"/>
              </w:rPr>
              <w:t xml:space="preserve"> do 40 dni od momentu zakończenia oceny formalnej; </w:t>
            </w:r>
          </w:p>
          <w:p w:rsidR="00670089" w:rsidRPr="00670089" w:rsidRDefault="00670089" w:rsidP="00670089">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7"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8"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hyperlink r:id="rId19" w:history="1">
              <w:r w:rsidRPr="002B1A75">
                <w:rPr>
                  <w:rStyle w:val="Hipercze"/>
                  <w:rFonts w:asciiTheme="minorHAnsi" w:hAnsiTheme="minorHAnsi"/>
                  <w:szCs w:val="22"/>
                </w:rPr>
                <w:t>www.bip.um.wroc.pl/zit</w:t>
              </w:r>
            </w:hyperlink>
            <w:r>
              <w:rPr>
                <w:rFonts w:asciiTheme="minorHAnsi" w:hAnsiTheme="minorHAnsi"/>
                <w:szCs w:val="22"/>
              </w:rPr>
              <w:t>,</w:t>
            </w:r>
            <w:r w:rsidRPr="00670089">
              <w:rPr>
                <w:rFonts w:asciiTheme="minorHAnsi" w:hAnsiTheme="minorHAnsi"/>
                <w:szCs w:val="22"/>
              </w:rPr>
              <w:t xml:space="preserve"> </w:t>
            </w:r>
            <w:hyperlink r:id="rId20" w:history="1">
              <w:r w:rsidRPr="002B1A75">
                <w:rPr>
                  <w:rStyle w:val="Hipercze"/>
                  <w:rFonts w:asciiTheme="minorHAnsi" w:hAnsiTheme="minorHAnsi"/>
                  <w:szCs w:val="22"/>
                </w:rPr>
                <w:t>www.wroclaw.pl/zit-wrof</w:t>
              </w:r>
            </w:hyperlink>
            <w:r>
              <w:rPr>
                <w:rFonts w:asciiTheme="minorHAnsi" w:hAnsiTheme="minorHAnsi"/>
                <w:szCs w:val="22"/>
              </w:rPr>
              <w:t xml:space="preserve"> </w:t>
            </w:r>
            <w:r w:rsidRPr="00670089">
              <w:rPr>
                <w:rFonts w:asciiTheme="minorHAnsi" w:hAnsiTheme="minorHAnsi"/>
                <w:szCs w:val="22"/>
              </w:rPr>
              <w:t xml:space="preserve">. </w:t>
            </w:r>
            <w:r>
              <w:rPr>
                <w:rFonts w:asciiTheme="minorHAnsi" w:hAnsiTheme="minorHAnsi"/>
                <w:szCs w:val="22"/>
              </w:rPr>
              <w:t xml:space="preserve"> </w:t>
            </w:r>
          </w:p>
          <w:p w:rsidR="00480411" w:rsidRPr="00670089" w:rsidRDefault="00670089" w:rsidP="00670089">
            <w:pPr>
              <w:tabs>
                <w:tab w:val="left" w:pos="1309"/>
              </w:tabs>
              <w:autoSpaceDE w:val="0"/>
              <w:autoSpaceDN w:val="0"/>
              <w:adjustRightInd w:val="0"/>
              <w:spacing w:after="120" w:line="240" w:lineRule="auto"/>
              <w:jc w:val="both"/>
              <w:rPr>
                <w:rFonts w:ascii="Calibri" w:hAnsi="Calibri" w:cs="Calibri"/>
                <w:color w:val="000000"/>
              </w:rPr>
            </w:pPr>
            <w:r w:rsidRPr="00670089">
              <w:t xml:space="preserve">Dodatkowo Gmina Wrocław pełniąca rolę Instytucji Pośredniczącej informuje wnioskodawców, których projekty zostały wybrane do dofinansowania o źródle finansowania ze środków ZIT </w:t>
            </w:r>
            <w:proofErr w:type="spellStart"/>
            <w:r w:rsidRPr="00670089">
              <w:t>WrOF</w:t>
            </w:r>
            <w:proofErr w:type="spellEnd"/>
            <w:r w:rsidRPr="00670089">
              <w:t xml:space="preserve"> w ramach RPO WD 2014 -2020</w:t>
            </w:r>
            <w:r w:rsidR="006F0B05">
              <w:t>.</w:t>
            </w:r>
            <w:r w:rsidRPr="00670089">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21"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7 stycznia 2016 r. do </w:t>
            </w:r>
            <w:r w:rsidR="00E92452">
              <w:rPr>
                <w:b/>
                <w:u w:val="single"/>
              </w:rPr>
              <w:t xml:space="preserve">godz. 15.00 </w:t>
            </w:r>
            <w:r>
              <w:rPr>
                <w:b/>
                <w:u w:val="single"/>
              </w:rPr>
              <w:t>dnia 5</w:t>
            </w:r>
            <w:r w:rsidRPr="00141FBD">
              <w:rPr>
                <w:b/>
                <w:u w:val="single"/>
              </w:rPr>
              <w:t xml:space="preserve"> </w:t>
            </w:r>
            <w:r>
              <w:rPr>
                <w:b/>
                <w:u w:val="single"/>
              </w:rPr>
              <w:t>lutego</w:t>
            </w:r>
            <w:r w:rsidRPr="00141FBD">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lastRenderedPageBreak/>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 xml:space="preserve">na każdym etapie </w:t>
            </w:r>
            <w:r>
              <w:rPr>
                <w:rFonts w:cs="Times New Roman"/>
                <w:color w:val="000000"/>
              </w:rPr>
              <w:lastRenderedPageBreak/>
              <w:t>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B42EB9"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do niniejszego Regulamin</w:t>
            </w:r>
            <w:r w:rsidR="00FB780A">
              <w:t>u i jest zamieszczony na stronach</w:t>
            </w:r>
            <w:r w:rsidRPr="00151119">
              <w:t xml:space="preserve"> </w:t>
            </w:r>
            <w:hyperlink r:id="rId22" w:history="1">
              <w:r w:rsidRPr="00151119">
                <w:rPr>
                  <w:rStyle w:val="Hipercze"/>
                </w:rPr>
                <w:t>www.rpo.dolnyslask.pl</w:t>
              </w:r>
            </w:hyperlink>
            <w:r w:rsidR="00FB780A">
              <w:rPr>
                <w:rStyle w:val="Hipercze"/>
              </w:rPr>
              <w:t xml:space="preserve">, </w:t>
            </w:r>
            <w:hyperlink r:id="rId23" w:history="1">
              <w:r w:rsidR="00FB780A" w:rsidRPr="00E00FE1">
                <w:rPr>
                  <w:rStyle w:val="Hipercze"/>
                  <w:rFonts w:cs="Times New Roman"/>
                </w:rPr>
                <w:t>www.bip.um.wroc.pl/zit</w:t>
              </w:r>
            </w:hyperlink>
            <w:r w:rsidR="00FB780A">
              <w:rPr>
                <w:rFonts w:cs="Times New Roman"/>
              </w:rPr>
              <w:t xml:space="preserve">, </w:t>
            </w:r>
            <w:r w:rsidR="00FB780A" w:rsidRPr="00545BB9">
              <w:rPr>
                <w:rFonts w:cs="Times New Roman"/>
              </w:rPr>
              <w:t xml:space="preserve"> </w:t>
            </w:r>
            <w:hyperlink r:id="rId24" w:history="1">
              <w:r w:rsidR="00FB780A" w:rsidRPr="00E00FE1">
                <w:rPr>
                  <w:rStyle w:val="Hipercze"/>
                  <w:rFonts w:cs="Times New Roman"/>
                </w:rPr>
                <w:t>www.wroclaw.pl/zit-</w:t>
              </w:r>
              <w:r w:rsidR="00F94286">
                <w:rPr>
                  <w:rStyle w:val="Hipercze"/>
                  <w:rFonts w:cs="Times New Roman"/>
                </w:rPr>
                <w:t>WrOF</w:t>
              </w:r>
            </w:hyperlink>
            <w:r>
              <w:rPr>
                <w:rFonts w:cs="Arial"/>
                <w:color w:val="000000"/>
              </w:rPr>
              <w:t>.</w:t>
            </w:r>
            <w:r w:rsidRPr="00B42EB9">
              <w:rPr>
                <w:rFonts w:cs="Arial"/>
                <w:color w:val="000000"/>
              </w:rPr>
              <w:t xml:space="preserve"> </w:t>
            </w:r>
          </w:p>
          <w:p w:rsidR="004E59CD" w:rsidRPr="0040059D" w:rsidRDefault="004E59CD" w:rsidP="004E59CD">
            <w:pPr>
              <w:autoSpaceDE w:val="0"/>
              <w:autoSpaceDN w:val="0"/>
              <w:adjustRightInd w:val="0"/>
              <w:spacing w:after="0" w:line="240" w:lineRule="auto"/>
              <w:jc w:val="both"/>
              <w:rPr>
                <w:rFonts w:cs="MS Sans Serif"/>
              </w:rPr>
            </w:pPr>
            <w:r w:rsidRPr="0040059D">
              <w:rPr>
                <w:rFonts w:cs="MS Sans Serif"/>
              </w:rPr>
              <w:t>Na powyż</w:t>
            </w:r>
            <w:r>
              <w:rPr>
                <w:rFonts w:cs="MS Sans Serif"/>
              </w:rPr>
              <w:t>szych stronach</w:t>
            </w:r>
            <w:r w:rsidRPr="0040059D">
              <w:rPr>
                <w:rFonts w:cs="MS Sans Serif"/>
              </w:rPr>
              <w:t xml:space="preserv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w:t>
            </w:r>
            <w:r w:rsidRPr="00FB780A">
              <w:rPr>
                <w:rFonts w:asciiTheme="minorHAnsi" w:hAnsiTheme="minorHAnsi"/>
                <w:sz w:val="22"/>
                <w:szCs w:val="22"/>
              </w:rPr>
              <w:t>do niniejszego Regulami</w:t>
            </w:r>
            <w:r w:rsidR="00FB780A" w:rsidRPr="00FB780A">
              <w:rPr>
                <w:rFonts w:asciiTheme="minorHAnsi" w:hAnsiTheme="minorHAnsi"/>
                <w:sz w:val="22"/>
                <w:szCs w:val="22"/>
              </w:rPr>
              <w:t>nu i jest zamieszczony na stronach</w:t>
            </w:r>
            <w:r w:rsidRPr="00FB780A">
              <w:rPr>
                <w:rFonts w:asciiTheme="minorHAnsi" w:hAnsiTheme="minorHAnsi"/>
                <w:sz w:val="22"/>
                <w:szCs w:val="22"/>
              </w:rPr>
              <w:t xml:space="preserve"> </w:t>
            </w:r>
            <w:hyperlink r:id="rId25" w:history="1">
              <w:r w:rsidRPr="00FB780A">
                <w:rPr>
                  <w:rStyle w:val="Hipercze"/>
                  <w:rFonts w:asciiTheme="minorHAnsi" w:hAnsiTheme="minorHAnsi"/>
                  <w:sz w:val="22"/>
                  <w:szCs w:val="22"/>
                </w:rPr>
                <w:t>www.rpo.dolnyslask.pl</w:t>
              </w:r>
            </w:hyperlink>
            <w:r w:rsidR="00FB780A" w:rsidRPr="00FB780A">
              <w:rPr>
                <w:rStyle w:val="Hipercze"/>
                <w:rFonts w:asciiTheme="minorHAnsi" w:hAnsiTheme="minorHAnsi"/>
                <w:sz w:val="22"/>
                <w:szCs w:val="22"/>
              </w:rPr>
              <w:t xml:space="preserve">, </w:t>
            </w:r>
            <w:hyperlink r:id="rId26" w:history="1">
              <w:r w:rsidR="00FB780A" w:rsidRPr="00FB780A">
                <w:rPr>
                  <w:rStyle w:val="Hipercze"/>
                  <w:rFonts w:cs="Times New Roman"/>
                  <w:sz w:val="22"/>
                  <w:szCs w:val="22"/>
                </w:rPr>
                <w:t>www.bip.um.wroc.pl/zit</w:t>
              </w:r>
            </w:hyperlink>
            <w:r w:rsidR="00FB780A" w:rsidRPr="00FB780A">
              <w:rPr>
                <w:rFonts w:cs="Times New Roman"/>
                <w:sz w:val="22"/>
                <w:szCs w:val="22"/>
              </w:rPr>
              <w:t xml:space="preserve">,  </w:t>
            </w:r>
            <w:hyperlink r:id="rId27" w:history="1">
              <w:r w:rsidR="00FB780A" w:rsidRPr="00FB780A">
                <w:rPr>
                  <w:rStyle w:val="Hipercze"/>
                  <w:rFonts w:cs="Times New Roman"/>
                  <w:sz w:val="22"/>
                  <w:szCs w:val="22"/>
                </w:rPr>
                <w:t>www.wroclaw.pl/zit-</w:t>
              </w:r>
              <w:r w:rsidR="00F94286">
                <w:rPr>
                  <w:rStyle w:val="Hipercze"/>
                  <w:rFonts w:cs="Times New Roman"/>
                  <w:sz w:val="22"/>
                  <w:szCs w:val="22"/>
                </w:rPr>
                <w:t>WrOF</w:t>
              </w:r>
            </w:hyperlink>
            <w:r w:rsidR="00FB780A" w:rsidRPr="00FB780A">
              <w:rPr>
                <w:rFonts w:cs="Arial"/>
                <w:sz w:val="22"/>
                <w:szCs w:val="22"/>
              </w:rPr>
              <w:t>.</w:t>
            </w:r>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Pr="007A06B8"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uchwałą nr 17/15 z dnia 6 </w:t>
            </w:r>
            <w:r>
              <w:rPr>
                <w:iCs/>
                <w:sz w:val="22"/>
                <w:szCs w:val="22"/>
              </w:rPr>
              <w:t>listopada</w:t>
            </w:r>
            <w:r w:rsidRPr="000D366A">
              <w:rPr>
                <w:iCs/>
                <w:sz w:val="22"/>
                <w:szCs w:val="22"/>
              </w:rPr>
              <w:t xml:space="preserve"> przez Komitet Monitorujący Regionalnego Programu Operacyjnego Województwa Dolnośląskiego </w:t>
            </w:r>
            <w:r w:rsidRPr="000D366A">
              <w:rPr>
                <w:rFonts w:asciiTheme="minorHAnsi" w:hAnsiTheme="minorHAnsi"/>
                <w:sz w:val="22"/>
                <w:szCs w:val="22"/>
              </w:rPr>
              <w:t xml:space="preserve"> są zamieszczone na stronie </w:t>
            </w:r>
            <w:hyperlink r:id="rId28"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t>
            </w:r>
            <w:r w:rsidRPr="00C24163">
              <w:lastRenderedPageBreak/>
              <w:t>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9"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 xml:space="preserve">Wnioskodawca jest zobowiązany do wyboru i określenia wartości docelowej we wniosku o dofinansowanie adekwatnych wskaźników produktu/rezultatu. </w:t>
            </w:r>
            <w:r w:rsidRPr="004E59CD">
              <w:rPr>
                <w:sz w:val="22"/>
                <w:szCs w:val="22"/>
              </w:rPr>
              <w:t xml:space="preserve">Zestawienie wskaźników stanowi załącznik nr 4 </w:t>
            </w:r>
            <w:r w:rsidRPr="004E59CD">
              <w:rPr>
                <w:iCs/>
                <w:sz w:val="22"/>
                <w:szCs w:val="22"/>
              </w:rPr>
              <w:t>Lista wskaźników na poziomie projektu dla poddziałania 4.3.</w:t>
            </w:r>
            <w:r w:rsidR="004E59CD" w:rsidRPr="004E59CD">
              <w:rPr>
                <w:iCs/>
                <w:sz w:val="22"/>
                <w:szCs w:val="22"/>
              </w:rPr>
              <w:t>2</w:t>
            </w:r>
            <w:r w:rsidRPr="004E59CD">
              <w:rPr>
                <w:iCs/>
                <w:sz w:val="22"/>
                <w:szCs w:val="22"/>
              </w:rPr>
              <w:t xml:space="preserve"> Dziedzictwo kulturowe RPO WD 2014-2020 </w:t>
            </w:r>
            <w:r w:rsidRPr="004E59CD">
              <w:rPr>
                <w:sz w:val="22"/>
                <w:szCs w:val="22"/>
              </w:rPr>
              <w:t>do niniejszego Regulaminu</w:t>
            </w:r>
            <w:r w:rsidRPr="004E59CD">
              <w:rPr>
                <w:iCs/>
                <w:sz w:val="22"/>
                <w:szCs w:val="22"/>
              </w:rPr>
              <w:t>.</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Natomiast w przypadku oceny zgodności projektu ze Strategią ZIT, IP RPO WD</w:t>
            </w:r>
            <w:r>
              <w:rPr>
                <w:rFonts w:ascii="Calibri" w:hAnsi="Calibri"/>
                <w:szCs w:val="22"/>
              </w:rPr>
              <w:t xml:space="preserve"> </w:t>
            </w:r>
            <w:r w:rsidRPr="00DB69D3">
              <w:rPr>
                <w:rFonts w:ascii="Calibri" w:hAnsi="Calibri"/>
                <w:szCs w:val="22"/>
              </w:rPr>
              <w:t>po zakończeniu tego etapu oceny informuje każdego z Wnioskodawców o wynikach ww. oceny.</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informacji w tym zakresie, ma możliwość wniesienia protestu bezpośrednio do IZ RPO WD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 xml:space="preserve">Termin na wniesienie przez Wnioskodawcę protestu (o którym mowa w art. 54 </w:t>
            </w:r>
            <w:r w:rsidRPr="00DB69D3">
              <w:rPr>
                <w:rFonts w:ascii="Calibri" w:hAnsi="Calibri"/>
                <w:szCs w:val="22"/>
              </w:rPr>
              <w:lastRenderedPageBreak/>
              <w:t>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BD5AC3" w:rsidRPr="00DB69D3" w:rsidRDefault="00BD5AC3" w:rsidP="00BD5AC3">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Protest jest wnoszony przez Wnioskodawcę w formie pisemnej, bezpośrednio do IZ RPO WD, a w przypadku etapu oceny badania wpływu projektu na Strategię ZIT do IZ RPO WD za pośrednictwem IP RPO WD. 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BD5AC3" w:rsidRPr="00DB69D3" w:rsidRDefault="00BD5AC3" w:rsidP="00BD5AC3">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BD5AC3" w:rsidRPr="00DB69D3" w:rsidRDefault="00BD5AC3" w:rsidP="00BD5AC3">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D5AC3" w:rsidRPr="00F64D5C" w:rsidRDefault="00BD5AC3" w:rsidP="00BD5AC3">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BD5AC3" w:rsidRPr="00F64D5C" w:rsidRDefault="00BD5AC3" w:rsidP="00BD5AC3">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 albo</w:t>
            </w:r>
          </w:p>
          <w:p w:rsidR="00BD5AC3" w:rsidRPr="00F64D5C" w:rsidRDefault="00BD5AC3" w:rsidP="00BD5AC3">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p>
          <w:p w:rsidR="00BD5AC3" w:rsidRPr="00F64D5C" w:rsidRDefault="00BD5AC3" w:rsidP="00BD5AC3">
            <w:pPr>
              <w:pStyle w:val="wypunktowanie2"/>
              <w:tabs>
                <w:tab w:val="clear" w:pos="720"/>
              </w:tabs>
              <w:spacing w:line="240" w:lineRule="auto"/>
              <w:ind w:left="426" w:firstLine="0"/>
              <w:rPr>
                <w:rFonts w:ascii="Calibri" w:hAnsi="Calibri" w:cs="Arial"/>
                <w:sz w:val="22"/>
                <w:szCs w:val="22"/>
              </w:rPr>
            </w:pPr>
          </w:p>
          <w:p w:rsidR="00BD5AC3" w:rsidRPr="00F64D5C" w:rsidRDefault="00BD5AC3" w:rsidP="00BD5AC3">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lastRenderedPageBreak/>
              <w:t>W przypadku uwzględnienia protestu IZ RPO WD:</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BD5AC3" w:rsidRPr="00DB69D3" w:rsidRDefault="00BD5AC3" w:rsidP="00BD5AC3">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BD5AC3" w:rsidRPr="00DB69D3" w:rsidRDefault="00BD5AC3" w:rsidP="00BD5AC3">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BD5AC3" w:rsidRPr="00DB69D3" w:rsidRDefault="00BD5AC3" w:rsidP="00BD5AC3">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BD5AC3" w:rsidRPr="00DB69D3" w:rsidRDefault="00BD5AC3" w:rsidP="00BD5AC3">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BD5AC3" w:rsidRPr="00DB69D3" w:rsidRDefault="00BD5AC3" w:rsidP="00BD5AC3">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lastRenderedPageBreak/>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BD5AC3" w:rsidRPr="00DB69D3" w:rsidRDefault="00BD5AC3" w:rsidP="00BD5AC3">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BD5AC3" w:rsidRPr="00DB69D3" w:rsidRDefault="00BD5AC3" w:rsidP="00BD5AC3">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BD5AC3" w:rsidRPr="00DB69D3" w:rsidRDefault="00BD5AC3" w:rsidP="00BD5AC3">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BD5AC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00BD5AC3" w:rsidRPr="00BD5AC3">
              <w:rPr>
                <w:sz w:val="22"/>
                <w:szCs w:val="22"/>
              </w:rPr>
              <w:t>ocena zgodności ze Strategią ZIT,</w:t>
            </w:r>
            <w:r w:rsidR="00BD5AC3" w:rsidRPr="00BD5AC3">
              <w:rPr>
                <w:rFonts w:asciiTheme="minorHAnsi" w:hAnsiTheme="minorHAnsi"/>
                <w:sz w:val="22"/>
                <w:szCs w:val="22"/>
              </w:rPr>
              <w:t xml:space="preserve"> </w:t>
            </w:r>
            <w:r w:rsidRPr="00BD5AC3">
              <w:rPr>
                <w:rFonts w:asciiTheme="minorHAnsi" w:hAnsiTheme="minorHAnsi"/>
                <w:sz w:val="22"/>
                <w:szCs w:val="22"/>
              </w:rPr>
              <w:t>ocena formalna oraz ocena merytoryczna) IZ RPO WD 2014-2020</w:t>
            </w:r>
            <w:r w:rsidR="00BD5AC3" w:rsidRPr="00BD5AC3">
              <w:rPr>
                <w:sz w:val="22"/>
                <w:szCs w:val="22"/>
              </w:rPr>
              <w:t>/ IP RPO WD 2014-2020</w:t>
            </w:r>
            <w:r w:rsidRPr="00BD5AC3">
              <w:rPr>
                <w:rFonts w:asciiTheme="minorHAnsi" w:hAnsiTheme="minorHAnsi"/>
                <w:sz w:val="22"/>
                <w:szCs w:val="22"/>
              </w:rPr>
              <w:t xml:space="preserve"> zamieszcza na swojej stronie list</w:t>
            </w:r>
            <w:r w:rsidR="00E92452" w:rsidRPr="00BD5AC3">
              <w:rPr>
                <w:rFonts w:asciiTheme="minorHAnsi" w:hAnsiTheme="minorHAnsi"/>
                <w:sz w:val="22"/>
                <w:szCs w:val="22"/>
              </w:rPr>
              <w:t>y</w:t>
            </w:r>
            <w:r w:rsidRPr="00BD5AC3">
              <w:rPr>
                <w:rFonts w:asciiTheme="minorHAnsi" w:hAnsiTheme="minorHAnsi"/>
                <w:sz w:val="22"/>
                <w:szCs w:val="22"/>
              </w:rPr>
              <w:t xml:space="preserve"> projektów zakwalifikowanych do kolejnego etapu lub list</w:t>
            </w:r>
            <w:r w:rsidR="00E92452" w:rsidRPr="00BD5AC3">
              <w:rPr>
                <w:rFonts w:asciiTheme="minorHAnsi" w:hAnsiTheme="minorHAnsi"/>
                <w:sz w:val="22"/>
                <w:szCs w:val="22"/>
              </w:rPr>
              <w:t>y</w:t>
            </w:r>
            <w:r w:rsidRPr="00BD5AC3">
              <w:rPr>
                <w:rFonts w:asciiTheme="minorHAnsi" w:hAnsiTheme="minorHAnsi"/>
                <w:sz w:val="22"/>
                <w:szCs w:val="22"/>
              </w:rPr>
              <w:t>, o któr</w:t>
            </w:r>
            <w:r w:rsidR="00E92452" w:rsidRPr="00BD5AC3">
              <w:rPr>
                <w:rFonts w:asciiTheme="minorHAnsi" w:hAnsiTheme="minorHAnsi"/>
                <w:sz w:val="22"/>
                <w:szCs w:val="22"/>
              </w:rPr>
              <w:t>ych</w:t>
            </w:r>
            <w:r w:rsidRPr="00BD5AC3">
              <w:rPr>
                <w:rFonts w:asciiTheme="minorHAnsi" w:hAnsiTheme="minorHAnsi"/>
                <w:sz w:val="22"/>
                <w:szCs w:val="22"/>
              </w:rPr>
              <w:t xml:space="preserve"> mowa w art. 44 ust. 4 ustawy. Ww. listy zawierają m.in. numer wniosku, tytuł projektu, nazwę wnioskodawcy, kwotę dofinansowania oraz wartość całkowitą projektu. </w:t>
            </w:r>
          </w:p>
          <w:p w:rsidR="00984533" w:rsidRDefault="00984533" w:rsidP="00480411">
            <w:pPr>
              <w:autoSpaceDE w:val="0"/>
              <w:autoSpaceDN w:val="0"/>
              <w:adjustRightInd w:val="0"/>
              <w:spacing w:after="0" w:line="240" w:lineRule="auto"/>
              <w:jc w:val="both"/>
            </w:pPr>
            <w:r w:rsidRPr="00BD5AC3">
              <w:t>Zgodnie z art. 46 ust. 4 ustawy wdrożeniowej po rozstrzygnięciu konkursu IZ RPO WD 2014-2020</w:t>
            </w:r>
            <w:r w:rsidR="00BD5AC3" w:rsidRPr="00BD5AC3">
              <w:t xml:space="preserve"> /IP RPO WD 2014-2020</w:t>
            </w:r>
            <w:r w:rsidRPr="00BD5AC3">
              <w:t xml:space="preserve"> zamieszcza na swojej stronie internetowej: </w:t>
            </w:r>
            <w:hyperlink r:id="rId30" w:history="1">
              <w:r w:rsidRPr="00BD5AC3">
                <w:rPr>
                  <w:rStyle w:val="Hipercze"/>
                </w:rPr>
                <w:t>www.rpo.dolnyslask.pl</w:t>
              </w:r>
            </w:hyperlink>
            <w:r w:rsidR="00BD5AC3">
              <w:rPr>
                <w:rStyle w:val="Hipercze"/>
              </w:rPr>
              <w:t>,</w:t>
            </w:r>
            <w:r w:rsidR="00BD5AC3">
              <w:t xml:space="preserve"> </w:t>
            </w:r>
            <w:hyperlink r:id="rId31" w:history="1">
              <w:r w:rsidR="00BD5AC3" w:rsidRPr="00E00FE1">
                <w:rPr>
                  <w:rStyle w:val="Hipercze"/>
                </w:rPr>
                <w:t>www.bip.um.wroc.pl/zit</w:t>
              </w:r>
            </w:hyperlink>
            <w:r w:rsidR="00BD5AC3">
              <w:t xml:space="preserve">, </w:t>
            </w:r>
            <w:r w:rsidR="00BD5AC3" w:rsidRPr="00BD5AC3">
              <w:t xml:space="preserve">  </w:t>
            </w:r>
            <w:hyperlink r:id="rId32" w:history="1">
              <w:r w:rsidR="00BD5AC3" w:rsidRPr="00E00FE1">
                <w:rPr>
                  <w:rStyle w:val="Hipercze"/>
                </w:rPr>
                <w:t>www.wroclaw.pl/zit-</w:t>
              </w:r>
              <w:r w:rsidR="00F94286">
                <w:rPr>
                  <w:rStyle w:val="Hipercze"/>
                </w:rPr>
                <w:t>WrOF</w:t>
              </w:r>
            </w:hyperlink>
            <w:r w:rsidR="00BD5AC3">
              <w:t xml:space="preserve"> </w:t>
            </w:r>
            <w:r w:rsidRPr="00BD5AC3">
              <w:t xml:space="preserve">oraz na portalu Funduszy Europejskich: </w:t>
            </w:r>
            <w:hyperlink r:id="rId33" w:history="1">
              <w:r w:rsidRPr="00BD5AC3">
                <w:rPr>
                  <w:rStyle w:val="Hipercze"/>
                </w:rPr>
                <w:t>www.funduszeeuropejskie.gov.pl</w:t>
              </w:r>
            </w:hyperlink>
            <w:r w:rsidRPr="00BD5AC3">
              <w:t xml:space="preserve">, listy projektów, które uzyskały wymaganą liczbę punktów, z wyróżnieniem projektów wybranych do dofinansowania jak również powiadamia pisemnie każdego wnioskodawcę o zakończeniu oceny jego projektu. </w:t>
            </w:r>
          </w:p>
          <w:p w:rsidR="00BD5AC3" w:rsidRDefault="00BD5AC3" w:rsidP="00480411">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rsidR="00F94286">
              <w:t xml:space="preserve">ZIT </w:t>
            </w:r>
            <w:proofErr w:type="spellStart"/>
            <w:r w:rsidR="00F94286">
              <w:t>WrOF</w:t>
            </w:r>
            <w:proofErr w:type="spellEnd"/>
            <w:r w:rsidRPr="00DB69D3">
              <w:t xml:space="preserve"> w ramach RPO WD 2014 -2020</w:t>
            </w:r>
            <w:r>
              <w:t>.</w:t>
            </w:r>
          </w:p>
          <w:p w:rsidR="00BD5AC3" w:rsidRPr="00BD5AC3" w:rsidRDefault="00BD5AC3" w:rsidP="00480411">
            <w:pPr>
              <w:autoSpaceDE w:val="0"/>
              <w:autoSpaceDN w:val="0"/>
              <w:adjustRightInd w:val="0"/>
              <w:spacing w:after="0" w:line="240" w:lineRule="auto"/>
              <w:jc w:val="both"/>
            </w:pPr>
          </w:p>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rsidR="00BD5AC3">
              <w:t xml:space="preserve"> </w:t>
            </w:r>
            <w:r w:rsidRPr="00151119">
              <w:rPr>
                <w:rFonts w:asciiTheme="minorHAnsi" w:hAnsiTheme="minorHAnsi"/>
                <w:sz w:val="22"/>
                <w:szCs w:val="22"/>
              </w:rPr>
              <w:t xml:space="preserve">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lastRenderedPageBreak/>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15088A" w:rsidRDefault="00984533"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984533" w:rsidRPr="0015088A" w:rsidRDefault="00B80DA2" w:rsidP="00480411">
            <w:pPr>
              <w:pStyle w:val="bodytext"/>
              <w:jc w:val="center"/>
              <w:rPr>
                <w:rFonts w:asciiTheme="minorHAnsi" w:hAnsiTheme="minorHAnsi"/>
                <w:b/>
                <w:sz w:val="22"/>
                <w:szCs w:val="22"/>
                <w:lang w:val="en-US"/>
              </w:rPr>
            </w:pPr>
            <w:hyperlink r:id="rId34" w:history="1">
              <w:r w:rsidR="00984533" w:rsidRPr="0015088A">
                <w:rPr>
                  <w:rStyle w:val="Hipercze"/>
                  <w:rFonts w:asciiTheme="minorHAnsi" w:hAnsiTheme="minorHAnsi"/>
                  <w:b/>
                  <w:sz w:val="22"/>
                  <w:szCs w:val="22"/>
                  <w:lang w:val="en-US"/>
                </w:rPr>
                <w:t>pife@dolnyslask.pl</w:t>
              </w:r>
            </w:hyperlink>
          </w:p>
          <w:p w:rsidR="00984533" w:rsidRPr="0015088A" w:rsidRDefault="00B80DA2" w:rsidP="00480411">
            <w:pPr>
              <w:spacing w:before="120" w:after="120" w:line="240" w:lineRule="auto"/>
              <w:jc w:val="center"/>
              <w:rPr>
                <w:lang w:val="en-US"/>
              </w:rPr>
            </w:pPr>
            <w:hyperlink r:id="rId35" w:history="1">
              <w:r w:rsidR="00984533" w:rsidRPr="0015088A">
                <w:rPr>
                  <w:rStyle w:val="Hipercze"/>
                  <w:lang w:val="en-US"/>
                </w:rPr>
                <w:t>pife.jeleniagora@dolnyslask.pl</w:t>
              </w:r>
            </w:hyperlink>
          </w:p>
          <w:p w:rsidR="00984533" w:rsidRPr="0015088A" w:rsidRDefault="00B80DA2" w:rsidP="00480411">
            <w:pPr>
              <w:spacing w:before="120" w:after="120" w:line="240" w:lineRule="auto"/>
              <w:jc w:val="center"/>
              <w:rPr>
                <w:lang w:val="en-US"/>
              </w:rPr>
            </w:pPr>
            <w:hyperlink r:id="rId36" w:history="1">
              <w:r w:rsidR="00984533" w:rsidRPr="0015088A">
                <w:rPr>
                  <w:rStyle w:val="Hipercze"/>
                  <w:lang w:val="en-US"/>
                </w:rPr>
                <w:t>pife.legnica@dolnyslask.pl</w:t>
              </w:r>
            </w:hyperlink>
          </w:p>
          <w:p w:rsidR="00984533" w:rsidRPr="00FB53DA" w:rsidRDefault="00B80DA2" w:rsidP="00480411">
            <w:pPr>
              <w:spacing w:before="120" w:after="120" w:line="240" w:lineRule="auto"/>
              <w:jc w:val="center"/>
            </w:pPr>
            <w:hyperlink r:id="rId37" w:history="1">
              <w:r w:rsidR="00984533" w:rsidRPr="00FB53DA">
                <w:rPr>
                  <w:rStyle w:val="Hipercze"/>
                </w:rPr>
                <w:t>pife.walbrzych@dolnyslask.pl</w:t>
              </w:r>
            </w:hyperlink>
          </w:p>
          <w:p w:rsidR="00F94286" w:rsidRPr="00DB69D3" w:rsidRDefault="00F94286" w:rsidP="00F94286">
            <w:pPr>
              <w:autoSpaceDE w:val="0"/>
              <w:autoSpaceDN w:val="0"/>
              <w:adjustRightInd w:val="0"/>
              <w:jc w:val="both"/>
            </w:pPr>
            <w:r w:rsidRPr="00DB69D3">
              <w:t xml:space="preserve">Zapytania do </w:t>
            </w:r>
            <w:r>
              <w:t xml:space="preserve">ZIT </w:t>
            </w:r>
            <w:proofErr w:type="spellStart"/>
            <w:r>
              <w:t>WrOF</w:t>
            </w:r>
            <w:proofErr w:type="spellEnd"/>
            <w:r w:rsidRPr="00DB69D3">
              <w:t xml:space="preserve"> (w zakresie Strategii </w:t>
            </w:r>
            <w:r>
              <w:t xml:space="preserve">ZIT </w:t>
            </w:r>
            <w:proofErr w:type="spellStart"/>
            <w:r>
              <w:t>WrOF</w:t>
            </w:r>
            <w:proofErr w:type="spellEnd"/>
            <w:r w:rsidRPr="00DB69D3">
              <w:t>) można składać za pomocą:</w:t>
            </w:r>
          </w:p>
          <w:p w:rsidR="00F94286" w:rsidRPr="00DB69D3" w:rsidRDefault="00F94286" w:rsidP="00F94286">
            <w:pPr>
              <w:numPr>
                <w:ilvl w:val="0"/>
                <w:numId w:val="29"/>
              </w:numPr>
              <w:tabs>
                <w:tab w:val="clear" w:pos="1440"/>
                <w:tab w:val="num" w:pos="249"/>
                <w:tab w:val="num" w:pos="360"/>
              </w:tabs>
              <w:autoSpaceDE w:val="0"/>
              <w:autoSpaceDN w:val="0"/>
              <w:adjustRightInd w:val="0"/>
              <w:spacing w:after="0" w:line="240" w:lineRule="auto"/>
              <w:ind w:left="249" w:hanging="249"/>
              <w:jc w:val="both"/>
              <w:rPr>
                <w:lang w:val="en-US"/>
              </w:rPr>
            </w:pPr>
            <w:r w:rsidRPr="00DB69D3">
              <w:rPr>
                <w:lang w:val="en-US"/>
              </w:rPr>
              <w:t xml:space="preserve">E – </w:t>
            </w:r>
            <w:proofErr w:type="spellStart"/>
            <w:r w:rsidRPr="00DB69D3">
              <w:rPr>
                <w:lang w:val="en-US"/>
              </w:rPr>
              <w:t>maila</w:t>
            </w:r>
            <w:proofErr w:type="spellEnd"/>
            <w:r w:rsidRPr="00DB69D3">
              <w:rPr>
                <w:lang w:val="en-US"/>
              </w:rPr>
              <w:t>: zit@um.wroc.pl</w:t>
            </w:r>
          </w:p>
          <w:p w:rsidR="00F94286" w:rsidRPr="00DB69D3" w:rsidRDefault="00F94286" w:rsidP="00F94286">
            <w:pPr>
              <w:numPr>
                <w:ilvl w:val="0"/>
                <w:numId w:val="29"/>
              </w:numPr>
              <w:tabs>
                <w:tab w:val="clear" w:pos="1440"/>
                <w:tab w:val="num" w:pos="249"/>
                <w:tab w:val="num" w:pos="360"/>
              </w:tabs>
              <w:autoSpaceDE w:val="0"/>
              <w:autoSpaceDN w:val="0"/>
              <w:adjustRightInd w:val="0"/>
              <w:spacing w:after="0" w:line="240" w:lineRule="auto"/>
              <w:ind w:left="249" w:hanging="249"/>
            </w:pPr>
            <w:r w:rsidRPr="00DB69D3">
              <w:t xml:space="preserve">Telefonu: 71 777 87 50 , 71 777 </w:t>
            </w:r>
            <w:r>
              <w:t>78 61</w:t>
            </w:r>
          </w:p>
          <w:p w:rsidR="00F94286" w:rsidRPr="00DB69D3" w:rsidRDefault="00F94286" w:rsidP="00F94286">
            <w:pPr>
              <w:numPr>
                <w:ilvl w:val="0"/>
                <w:numId w:val="29"/>
              </w:numPr>
              <w:tabs>
                <w:tab w:val="clear" w:pos="1440"/>
                <w:tab w:val="num" w:pos="249"/>
                <w:tab w:val="num" w:pos="360"/>
              </w:tabs>
              <w:autoSpaceDE w:val="0"/>
              <w:autoSpaceDN w:val="0"/>
              <w:adjustRightInd w:val="0"/>
              <w:spacing w:after="0" w:line="240" w:lineRule="auto"/>
              <w:ind w:left="249" w:hanging="249"/>
            </w:pPr>
            <w:r w:rsidRPr="00DB69D3">
              <w:t>Bezpośrednio w siedzibie:</w:t>
            </w:r>
          </w:p>
          <w:p w:rsidR="00F94286" w:rsidRPr="00DB69D3" w:rsidRDefault="00F94286" w:rsidP="00F94286">
            <w:pPr>
              <w:spacing w:after="0" w:line="240" w:lineRule="auto"/>
              <w:jc w:val="center"/>
            </w:pPr>
          </w:p>
          <w:p w:rsidR="00F94286" w:rsidRPr="00DB69D3" w:rsidRDefault="00F94286" w:rsidP="00F94286">
            <w:pPr>
              <w:spacing w:after="0" w:line="240" w:lineRule="auto"/>
              <w:jc w:val="center"/>
              <w:rPr>
                <w:b/>
                <w:bCs/>
              </w:rPr>
            </w:pPr>
            <w:r w:rsidRPr="00DB69D3">
              <w:rPr>
                <w:b/>
                <w:bCs/>
              </w:rPr>
              <w:lastRenderedPageBreak/>
              <w:t>Urząd Miejski Wrocławia</w:t>
            </w:r>
          </w:p>
          <w:p w:rsidR="00F94286" w:rsidRPr="00DB69D3" w:rsidRDefault="00F94286" w:rsidP="00F94286">
            <w:pPr>
              <w:spacing w:after="0" w:line="240" w:lineRule="auto"/>
              <w:jc w:val="center"/>
            </w:pPr>
            <w:r w:rsidRPr="00DB69D3">
              <w:t>Wydział Zarządzania Funduszami</w:t>
            </w:r>
          </w:p>
          <w:p w:rsidR="00F94286" w:rsidRPr="00DB69D3" w:rsidRDefault="00F94286" w:rsidP="00F94286">
            <w:pPr>
              <w:spacing w:after="0" w:line="240" w:lineRule="auto"/>
              <w:jc w:val="center"/>
            </w:pPr>
            <w:r w:rsidRPr="00DB69D3">
              <w:t>ul. Świdnicka 53</w:t>
            </w:r>
          </w:p>
          <w:p w:rsidR="00F94286" w:rsidRPr="00DB69D3" w:rsidRDefault="00F94286" w:rsidP="00F94286">
            <w:pPr>
              <w:spacing w:after="0" w:line="240" w:lineRule="auto"/>
              <w:jc w:val="center"/>
            </w:pPr>
            <w:r w:rsidRPr="00DB69D3">
              <w:t>53-030 Wrocław</w:t>
            </w:r>
          </w:p>
          <w:p w:rsidR="00F94286" w:rsidRPr="00DB69D3" w:rsidRDefault="00F94286" w:rsidP="00F94286">
            <w:pPr>
              <w:spacing w:after="0" w:line="240" w:lineRule="auto"/>
              <w:jc w:val="center"/>
            </w:pPr>
            <w:r w:rsidRPr="00DB69D3">
              <w:t>1 piętro, pok</w:t>
            </w:r>
            <w:r>
              <w:t>ój</w:t>
            </w:r>
            <w:r w:rsidRPr="00DB69D3">
              <w:t xml:space="preserve"> 104</w:t>
            </w: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8"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9"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480411">
            <w:pPr>
              <w:pStyle w:val="Default"/>
            </w:pPr>
            <w:r w:rsidRPr="00151119">
              <w:rPr>
                <w:rFonts w:asciiTheme="minorHAnsi" w:hAnsiTheme="minorHAnsi"/>
                <w:sz w:val="22"/>
                <w:szCs w:val="22"/>
              </w:rPr>
              <w:t xml:space="preserve">Orientacyjny termin rozstrzygnięcia konkursu to czerwiec 2016 r.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40"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w:t>
            </w:r>
            <w:r w:rsidRPr="00151119">
              <w:rPr>
                <w:rFonts w:asciiTheme="minorHAnsi" w:hAnsiTheme="minorHAnsi"/>
                <w:b/>
                <w:bCs/>
                <w:sz w:val="22"/>
                <w:szCs w:val="22"/>
              </w:rPr>
              <w:lastRenderedPageBreak/>
              <w:t xml:space="preserve">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84533" w:rsidP="00480411">
            <w:pPr>
              <w:autoSpaceDE w:val="0"/>
              <w:autoSpaceDN w:val="0"/>
              <w:adjustRightInd w:val="0"/>
              <w:spacing w:after="0" w:line="240" w:lineRule="auto"/>
              <w:jc w:val="both"/>
              <w:rPr>
                <w:color w:val="000000"/>
              </w:rPr>
            </w:pPr>
            <w:r>
              <w:rPr>
                <w:color w:val="000000"/>
              </w:rPr>
              <w:lastRenderedPageBreak/>
              <w:t xml:space="preserve">Jeśli w danym naborze wniesiono protesty i pozytywnie je rozpatrzono na poziomie IZ, to kwota wolnych środków w działaniu/poddziałaniu w pierwszej kolejności przeznaczona będzie na zabezpieczenie dla tych projektów. Procedura </w:t>
            </w:r>
            <w:r>
              <w:rPr>
                <w:color w:val="000000"/>
              </w:rPr>
              <w:lastRenderedPageBreak/>
              <w:t>wyboru projektów, które przeszły pozytywnie procedurę odwoławczą na poziomie IZ rozpoczyna się co do zasady po rozstrzygnięciu na poziomie IZ wszystkich środków odwoławczych (protestó</w:t>
            </w:r>
            <w:r w:rsidR="00E92452">
              <w:rPr>
                <w:color w:val="000000"/>
              </w:rPr>
              <w:t>w) wniesionych w danym naborze.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 Ministra Infrastruktury i Rozwoju </w:t>
            </w:r>
            <w:r w:rsidRPr="000F329D">
              <w:rPr>
                <w:rFonts w:asciiTheme="minorHAnsi" w:eastAsia="TimesNewRoman" w:hAnsiTheme="minorHAnsi" w:cs="TimesNewRoman"/>
                <w:sz w:val="22"/>
                <w:szCs w:val="22"/>
              </w:rPr>
              <w:t xml:space="preserve">z dnia 28 sierpnia 2015 r. </w:t>
            </w:r>
            <w:r w:rsidRPr="000F329D">
              <w:rPr>
                <w:rFonts w:asciiTheme="minorHAnsi" w:hAnsiTheme="minorHAnsi"/>
                <w:sz w:val="22"/>
                <w:szCs w:val="22"/>
              </w:rPr>
              <w:t>w sprawie udzielania pomocy inwestycyjnej na kulturę i zachowanie dziedzictwa kulturowego w ramach regionalnych programów operacyjnych na lata 2014-2020;</w:t>
            </w:r>
          </w:p>
          <w:p w:rsidR="00984533" w:rsidRPr="000F329D"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984533" w:rsidRDefault="00984533"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984533" w:rsidRPr="008E5657" w:rsidRDefault="00984533"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265301">
              <w:rPr>
                <w:rFonts w:cs="Arial"/>
                <w:color w:val="000000"/>
              </w:rPr>
              <w:t xml:space="preserve"> r.</w:t>
            </w:r>
            <w:r>
              <w:rPr>
                <w:rFonts w:cs="Arial"/>
                <w:color w:val="000000"/>
              </w:rPr>
              <w:t xml:space="preserve"> </w:t>
            </w:r>
            <w:r>
              <w:rPr>
                <w:rFonts w:cs="Arial"/>
                <w:color w:val="000000"/>
              </w:rPr>
              <w:br/>
            </w:r>
            <w:r>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FD6131" w:rsidRDefault="00984533" w:rsidP="00FD6131">
            <w:pPr>
              <w:spacing w:after="0" w:line="240" w:lineRule="auto"/>
              <w:jc w:val="both"/>
              <w:rPr>
                <w:color w:val="000000"/>
              </w:rPr>
            </w:pPr>
            <w:r w:rsidRPr="00DC123A">
              <w:rPr>
                <w:color w:val="000000"/>
              </w:rPr>
              <w:t>Najpóźniejszy termin złożenia ostatniego wniosku o płatność:</w:t>
            </w:r>
            <w:r w:rsidR="00FD6131" w:rsidRPr="00DC123A">
              <w:rPr>
                <w:color w:val="000000"/>
              </w:rPr>
              <w:t xml:space="preserve"> </w:t>
            </w:r>
          </w:p>
          <w:p w:rsidR="00FD6131" w:rsidRDefault="00FD6131" w:rsidP="00480411">
            <w:pPr>
              <w:spacing w:after="0" w:line="240" w:lineRule="auto"/>
              <w:jc w:val="both"/>
              <w:rPr>
                <w:color w:val="000000"/>
              </w:rPr>
            </w:pPr>
          </w:p>
          <w:p w:rsidR="00984533" w:rsidRPr="00DC123A" w:rsidRDefault="00FD6131" w:rsidP="00480411">
            <w:pPr>
              <w:spacing w:after="0" w:line="240" w:lineRule="auto"/>
              <w:jc w:val="both"/>
              <w:rPr>
                <w:color w:val="000000"/>
              </w:rPr>
            </w:pPr>
            <w:r w:rsidRPr="00DC123A">
              <w:rPr>
                <w:color w:val="000000"/>
              </w:rPr>
              <w:t>4.3 A : 09.2018 r.</w:t>
            </w:r>
          </w:p>
          <w:p w:rsidR="00984533" w:rsidRPr="00DC123A" w:rsidRDefault="00984533" w:rsidP="00480411">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B: 12.2017 r.</w:t>
            </w:r>
          </w:p>
          <w:p w:rsidR="00984533" w:rsidRPr="00DC123A" w:rsidRDefault="00984533" w:rsidP="00480411">
            <w:pPr>
              <w:pStyle w:val="Default"/>
              <w:jc w:val="both"/>
              <w:rPr>
                <w:rFonts w:asciiTheme="minorHAnsi" w:hAnsiTheme="minorHAnsi" w:cstheme="minorBidi"/>
                <w:sz w:val="22"/>
                <w:szCs w:val="22"/>
              </w:rPr>
            </w:pPr>
          </w:p>
          <w:p w:rsidR="00984533" w:rsidRPr="00DC123A"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984533" w:rsidRPr="00456C95" w:rsidRDefault="00984533" w:rsidP="00480411">
            <w:pPr>
              <w:spacing w:after="0" w:line="240" w:lineRule="auto"/>
              <w:jc w:val="both"/>
              <w:rPr>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w:t>
            </w:r>
            <w:r w:rsidRPr="005261AF">
              <w:rPr>
                <w:rFonts w:cs="Arial"/>
              </w:rPr>
              <w:lastRenderedPageBreak/>
              <w:t>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84533" w:rsidRPr="00850017"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984533" w:rsidRPr="00850017" w:rsidRDefault="00984533"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984533" w:rsidRPr="00850017" w:rsidRDefault="00984533"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41"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984533" w:rsidRPr="00850017" w:rsidRDefault="00984533"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w:t>
            </w:r>
            <w:r w:rsidRPr="00850017">
              <w:rPr>
                <w:rFonts w:asciiTheme="minorHAnsi" w:hAnsiTheme="minorHAnsi"/>
                <w:szCs w:val="22"/>
              </w:rPr>
              <w:lastRenderedPageBreak/>
              <w:t xml:space="preserve">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984533" w:rsidRPr="00850017" w:rsidRDefault="00984533" w:rsidP="00480411">
            <w:pPr>
              <w:pStyle w:val="Akapitzlist"/>
              <w:spacing w:before="100" w:after="100" w:line="240" w:lineRule="auto"/>
              <w:ind w:left="360"/>
              <w:jc w:val="both"/>
              <w:rPr>
                <w:rFonts w:asciiTheme="minorHAnsi" w:hAnsiTheme="minorHAnsi"/>
                <w:szCs w:val="22"/>
              </w:rPr>
            </w:pPr>
          </w:p>
          <w:p w:rsidR="00984533"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7F0FFE" w:rsidRPr="007F0FFE" w:rsidRDefault="007F0FFE" w:rsidP="007F0FFE">
            <w:pPr>
              <w:pStyle w:val="Akapitzlist"/>
              <w:rPr>
                <w:rFonts w:asciiTheme="minorHAnsi" w:hAnsiTheme="minorHAnsi"/>
                <w:szCs w:val="22"/>
              </w:rPr>
            </w:pPr>
          </w:p>
          <w:p w:rsidR="007F0FFE" w:rsidRPr="00956559" w:rsidRDefault="007F0FFE" w:rsidP="007F0FFE">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42" w:history="1">
              <w:r w:rsidRPr="002B1A75">
                <w:rPr>
                  <w:rStyle w:val="Hipercze"/>
                  <w:rFonts w:cs="Tahoma"/>
                </w:rPr>
                <w:t>www.rpo.dolnyslask.pl</w:t>
              </w:r>
            </w:hyperlink>
            <w:r w:rsidRPr="00956559">
              <w:rPr>
                <w:rFonts w:cs="Tahoma"/>
              </w:rPr>
              <w:t>.</w:t>
            </w:r>
            <w:r>
              <w:rPr>
                <w:rFonts w:cs="Tahoma"/>
              </w:rPr>
              <w:t xml:space="preserve"> </w:t>
            </w:r>
          </w:p>
          <w:p w:rsidR="007F0FFE" w:rsidRPr="00850017" w:rsidRDefault="007F0FFE" w:rsidP="007F0FFE">
            <w:pPr>
              <w:pStyle w:val="Akapitzlist"/>
              <w:suppressAutoHyphens/>
              <w:autoSpaceDN w:val="0"/>
              <w:spacing w:before="0" w:after="160" w:line="240" w:lineRule="auto"/>
              <w:ind w:left="360"/>
              <w:jc w:val="both"/>
              <w:textAlignment w:val="baseline"/>
              <w:rPr>
                <w:rFonts w:asciiTheme="minorHAnsi" w:hAnsiTheme="minorHAnsi"/>
                <w:szCs w:val="22"/>
              </w:rPr>
            </w:pPr>
          </w:p>
          <w:p w:rsidR="00984533" w:rsidRPr="009E1832" w:rsidRDefault="00984533"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 xml:space="preserve">Utworzenie lub zainicjowanie partnerstwa musi nastąpić przed złożeniem wniosku o dofinansowanie. Oznacza to, że partnerstwo musi zostać utworzone albo zainicjowane przed rozpoczęciem realizacji projektu. </w:t>
            </w:r>
          </w:p>
          <w:p w:rsidR="00984533" w:rsidRDefault="00984533" w:rsidP="00480411">
            <w:pPr>
              <w:spacing w:before="120" w:after="120" w:line="240" w:lineRule="auto"/>
              <w:jc w:val="both"/>
            </w:pPr>
            <w:r w:rsidRPr="009E1832">
              <w:t xml:space="preserve">Stroną porozumienia oraz umowy o partnerstwie nie może być podmiot </w:t>
            </w:r>
            <w:r w:rsidRPr="009E1832">
              <w:lastRenderedPageBreak/>
              <w:t>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 xml:space="preserve">Załączniki: </w:t>
      </w:r>
    </w:p>
    <w:p w:rsidR="00DA4A3C" w:rsidRPr="005261AF" w:rsidRDefault="00DA4A3C" w:rsidP="00480411">
      <w:pPr>
        <w:pStyle w:val="Default"/>
        <w:rPr>
          <w:sz w:val="22"/>
          <w:szCs w:val="22"/>
        </w:rPr>
      </w:pPr>
    </w:p>
    <w:p w:rsidR="00163C1F" w:rsidRPr="00540EE1" w:rsidRDefault="00163C1F" w:rsidP="00480411">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w dniu 6.11.2015 r. (Uchwała  nr 17/15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7F0FFE" w:rsidRDefault="00163C1F" w:rsidP="00480411">
      <w:pPr>
        <w:pStyle w:val="Akapitzlist"/>
        <w:numPr>
          <w:ilvl w:val="0"/>
          <w:numId w:val="13"/>
        </w:numPr>
        <w:autoSpaceDE w:val="0"/>
        <w:autoSpaceDN w:val="0"/>
        <w:adjustRightInd w:val="0"/>
        <w:spacing w:line="240" w:lineRule="auto"/>
        <w:jc w:val="both"/>
        <w:rPr>
          <w:rFonts w:asciiTheme="minorHAnsi" w:hAnsiTheme="minorHAnsi"/>
          <w:szCs w:val="22"/>
        </w:rPr>
      </w:pPr>
      <w:r w:rsidRPr="007F0FFE">
        <w:rPr>
          <w:rFonts w:asciiTheme="minorHAnsi" w:hAnsiTheme="minorHAnsi" w:cs="Calibri"/>
          <w:color w:val="000000"/>
          <w:szCs w:val="22"/>
        </w:rPr>
        <w:t xml:space="preserve">Lista wskaźników na poziomie projektu dla </w:t>
      </w:r>
      <w:r w:rsidR="00540EE1" w:rsidRPr="007F0FFE">
        <w:rPr>
          <w:rFonts w:asciiTheme="minorHAnsi" w:hAnsiTheme="minorHAnsi" w:cs="Calibri"/>
          <w:color w:val="000000"/>
          <w:szCs w:val="22"/>
        </w:rPr>
        <w:t>pod</w:t>
      </w:r>
      <w:r w:rsidRPr="007F0FFE">
        <w:rPr>
          <w:rFonts w:asciiTheme="minorHAnsi" w:hAnsiTheme="minorHAnsi" w:cs="Calibri"/>
          <w:color w:val="000000"/>
          <w:szCs w:val="22"/>
        </w:rPr>
        <w:t>działania 4.3</w:t>
      </w:r>
      <w:r w:rsidR="00540EE1" w:rsidRPr="007F0FFE">
        <w:rPr>
          <w:rFonts w:asciiTheme="minorHAnsi" w:hAnsiTheme="minorHAnsi" w:cs="Calibri"/>
          <w:color w:val="000000"/>
          <w:szCs w:val="22"/>
        </w:rPr>
        <w:t>.</w:t>
      </w:r>
      <w:r w:rsidR="00F94286" w:rsidRPr="007F0FFE">
        <w:rPr>
          <w:rFonts w:asciiTheme="minorHAnsi" w:hAnsiTheme="minorHAnsi" w:cs="Calibri"/>
          <w:color w:val="000000"/>
          <w:szCs w:val="22"/>
        </w:rPr>
        <w:t>2</w:t>
      </w:r>
      <w:r w:rsidRPr="007F0FFE">
        <w:rPr>
          <w:rFonts w:asciiTheme="minorHAnsi" w:hAnsiTheme="minorHAnsi" w:cs="Calibri"/>
          <w:color w:val="000000"/>
          <w:szCs w:val="22"/>
        </w:rPr>
        <w:t xml:space="preserve"> Dziedzictwo kulturowe RPO WD 2014-2020.</w:t>
      </w: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78" w:rsidRDefault="006C7478" w:rsidP="00E873C4">
      <w:pPr>
        <w:spacing w:after="0" w:line="240" w:lineRule="auto"/>
      </w:pPr>
      <w:r>
        <w:separator/>
      </w:r>
    </w:p>
  </w:endnote>
  <w:endnote w:type="continuationSeparator" w:id="0">
    <w:p w:rsidR="006C7478" w:rsidRDefault="006C7478"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78" w:rsidRDefault="006C7478" w:rsidP="00E873C4">
      <w:pPr>
        <w:spacing w:after="0" w:line="240" w:lineRule="auto"/>
      </w:pPr>
      <w:r>
        <w:separator/>
      </w:r>
    </w:p>
  </w:footnote>
  <w:footnote w:type="continuationSeparator" w:id="0">
    <w:p w:rsidR="006C7478" w:rsidRDefault="006C7478"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E05418"/>
    <w:multiLevelType w:val="hybridMultilevel"/>
    <w:tmpl w:val="E4FC1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3"/>
  </w:num>
  <w:num w:numId="4">
    <w:abstractNumId w:val="20"/>
  </w:num>
  <w:num w:numId="5">
    <w:abstractNumId w:val="2"/>
  </w:num>
  <w:num w:numId="6">
    <w:abstractNumId w:val="25"/>
  </w:num>
  <w:num w:numId="7">
    <w:abstractNumId w:val="5"/>
  </w:num>
  <w:num w:numId="8">
    <w:abstractNumId w:val="9"/>
  </w:num>
  <w:num w:numId="9">
    <w:abstractNumId w:val="22"/>
  </w:num>
  <w:num w:numId="10">
    <w:abstractNumId w:val="12"/>
  </w:num>
  <w:num w:numId="11">
    <w:abstractNumId w:val="1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0"/>
  </w:num>
  <w:num w:numId="17">
    <w:abstractNumId w:val="28"/>
  </w:num>
  <w:num w:numId="18">
    <w:abstractNumId w:val="15"/>
  </w:num>
  <w:num w:numId="19">
    <w:abstractNumId w:val="1"/>
  </w:num>
  <w:num w:numId="20">
    <w:abstractNumId w:val="13"/>
  </w:num>
  <w:num w:numId="21">
    <w:abstractNumId w:val="16"/>
  </w:num>
  <w:num w:numId="22">
    <w:abstractNumId w:val="26"/>
  </w:num>
  <w:num w:numId="23">
    <w:abstractNumId w:val="10"/>
  </w:num>
  <w:num w:numId="24">
    <w:abstractNumId w:val="21"/>
  </w:num>
  <w:num w:numId="25">
    <w:abstractNumId w:val="24"/>
  </w:num>
  <w:num w:numId="26">
    <w:abstractNumId w:val="11"/>
  </w:num>
  <w:num w:numId="27">
    <w:abstractNumId w:val="14"/>
  </w:num>
  <w:num w:numId="28">
    <w:abstractNumId w:val="3"/>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37778"/>
    <w:rsid w:val="0004133F"/>
    <w:rsid w:val="000552B0"/>
    <w:rsid w:val="00067A0F"/>
    <w:rsid w:val="000763EC"/>
    <w:rsid w:val="00077561"/>
    <w:rsid w:val="00083567"/>
    <w:rsid w:val="000A5A8B"/>
    <w:rsid w:val="000C10A2"/>
    <w:rsid w:val="000C47BE"/>
    <w:rsid w:val="000D366A"/>
    <w:rsid w:val="000E092B"/>
    <w:rsid w:val="000E2E3A"/>
    <w:rsid w:val="000E7206"/>
    <w:rsid w:val="000E776E"/>
    <w:rsid w:val="000F329D"/>
    <w:rsid w:val="00101E95"/>
    <w:rsid w:val="0010374F"/>
    <w:rsid w:val="00124CCA"/>
    <w:rsid w:val="00130AA7"/>
    <w:rsid w:val="00141276"/>
    <w:rsid w:val="00141FBD"/>
    <w:rsid w:val="0015088A"/>
    <w:rsid w:val="00151119"/>
    <w:rsid w:val="00163C1F"/>
    <w:rsid w:val="001741B3"/>
    <w:rsid w:val="00182231"/>
    <w:rsid w:val="001B7E02"/>
    <w:rsid w:val="00203AEB"/>
    <w:rsid w:val="002049F3"/>
    <w:rsid w:val="00216D57"/>
    <w:rsid w:val="002366CF"/>
    <w:rsid w:val="002368A3"/>
    <w:rsid w:val="002479B3"/>
    <w:rsid w:val="00263D0C"/>
    <w:rsid w:val="00265301"/>
    <w:rsid w:val="002771D8"/>
    <w:rsid w:val="002777A2"/>
    <w:rsid w:val="00284BCE"/>
    <w:rsid w:val="002872B3"/>
    <w:rsid w:val="002A02F4"/>
    <w:rsid w:val="002A772D"/>
    <w:rsid w:val="002B4B1B"/>
    <w:rsid w:val="002B5686"/>
    <w:rsid w:val="002B7A29"/>
    <w:rsid w:val="002D184C"/>
    <w:rsid w:val="002D6AE8"/>
    <w:rsid w:val="002E5B1F"/>
    <w:rsid w:val="002F2511"/>
    <w:rsid w:val="00300E2C"/>
    <w:rsid w:val="00320901"/>
    <w:rsid w:val="0032333D"/>
    <w:rsid w:val="00331C42"/>
    <w:rsid w:val="00331F5A"/>
    <w:rsid w:val="00344EF4"/>
    <w:rsid w:val="00364F8A"/>
    <w:rsid w:val="00372F5E"/>
    <w:rsid w:val="00386933"/>
    <w:rsid w:val="00387FDF"/>
    <w:rsid w:val="00390D9C"/>
    <w:rsid w:val="00393818"/>
    <w:rsid w:val="003A6136"/>
    <w:rsid w:val="003B6C9D"/>
    <w:rsid w:val="003D6EF8"/>
    <w:rsid w:val="003F1BA7"/>
    <w:rsid w:val="003F59D8"/>
    <w:rsid w:val="004237C0"/>
    <w:rsid w:val="00424DF6"/>
    <w:rsid w:val="00434B9B"/>
    <w:rsid w:val="00435B86"/>
    <w:rsid w:val="00456C95"/>
    <w:rsid w:val="00463960"/>
    <w:rsid w:val="004640F4"/>
    <w:rsid w:val="00474A39"/>
    <w:rsid w:val="00480411"/>
    <w:rsid w:val="004837A5"/>
    <w:rsid w:val="00485BAF"/>
    <w:rsid w:val="004905C3"/>
    <w:rsid w:val="0049227F"/>
    <w:rsid w:val="004A3789"/>
    <w:rsid w:val="004B45B7"/>
    <w:rsid w:val="004C4183"/>
    <w:rsid w:val="004D07A7"/>
    <w:rsid w:val="004D6188"/>
    <w:rsid w:val="004E1A59"/>
    <w:rsid w:val="004E2E01"/>
    <w:rsid w:val="004E59CD"/>
    <w:rsid w:val="004F4D56"/>
    <w:rsid w:val="004F7ABA"/>
    <w:rsid w:val="005261AF"/>
    <w:rsid w:val="00530F60"/>
    <w:rsid w:val="00532690"/>
    <w:rsid w:val="00532F07"/>
    <w:rsid w:val="0053485A"/>
    <w:rsid w:val="00540EE1"/>
    <w:rsid w:val="005415B5"/>
    <w:rsid w:val="0056015A"/>
    <w:rsid w:val="00565A63"/>
    <w:rsid w:val="00571FD0"/>
    <w:rsid w:val="00575541"/>
    <w:rsid w:val="005A05DE"/>
    <w:rsid w:val="005D1AEB"/>
    <w:rsid w:val="005D67D6"/>
    <w:rsid w:val="005E3357"/>
    <w:rsid w:val="00600EB8"/>
    <w:rsid w:val="00634D48"/>
    <w:rsid w:val="00670089"/>
    <w:rsid w:val="006762E1"/>
    <w:rsid w:val="00683BC9"/>
    <w:rsid w:val="006928EA"/>
    <w:rsid w:val="006A1BF0"/>
    <w:rsid w:val="006B0BAB"/>
    <w:rsid w:val="006B2FE8"/>
    <w:rsid w:val="006B5689"/>
    <w:rsid w:val="006B5A9F"/>
    <w:rsid w:val="006C03F2"/>
    <w:rsid w:val="006C7478"/>
    <w:rsid w:val="006D7C1A"/>
    <w:rsid w:val="006F0B05"/>
    <w:rsid w:val="006F69DA"/>
    <w:rsid w:val="00701A7D"/>
    <w:rsid w:val="0071078C"/>
    <w:rsid w:val="00715262"/>
    <w:rsid w:val="007556F0"/>
    <w:rsid w:val="007564BC"/>
    <w:rsid w:val="007625CF"/>
    <w:rsid w:val="00791DB1"/>
    <w:rsid w:val="007A06B8"/>
    <w:rsid w:val="007B042A"/>
    <w:rsid w:val="007B0A0A"/>
    <w:rsid w:val="007B7525"/>
    <w:rsid w:val="007D19B0"/>
    <w:rsid w:val="007D5FE3"/>
    <w:rsid w:val="007E0AA1"/>
    <w:rsid w:val="007E4E1C"/>
    <w:rsid w:val="007E7954"/>
    <w:rsid w:val="007F0FFE"/>
    <w:rsid w:val="007F2804"/>
    <w:rsid w:val="007F3D9A"/>
    <w:rsid w:val="007F45E9"/>
    <w:rsid w:val="007F7945"/>
    <w:rsid w:val="00805E31"/>
    <w:rsid w:val="0081019B"/>
    <w:rsid w:val="0083415B"/>
    <w:rsid w:val="008373EE"/>
    <w:rsid w:val="00850017"/>
    <w:rsid w:val="008600F3"/>
    <w:rsid w:val="00863524"/>
    <w:rsid w:val="00891A07"/>
    <w:rsid w:val="0089254A"/>
    <w:rsid w:val="008B205E"/>
    <w:rsid w:val="008E35D3"/>
    <w:rsid w:val="008E5657"/>
    <w:rsid w:val="008F4AAF"/>
    <w:rsid w:val="00916F84"/>
    <w:rsid w:val="00936001"/>
    <w:rsid w:val="00956C47"/>
    <w:rsid w:val="00961B8B"/>
    <w:rsid w:val="0096429D"/>
    <w:rsid w:val="00972D12"/>
    <w:rsid w:val="00984533"/>
    <w:rsid w:val="00991FEC"/>
    <w:rsid w:val="009C095F"/>
    <w:rsid w:val="009E1832"/>
    <w:rsid w:val="009E443F"/>
    <w:rsid w:val="009E5231"/>
    <w:rsid w:val="009F540F"/>
    <w:rsid w:val="00A01645"/>
    <w:rsid w:val="00A0659C"/>
    <w:rsid w:val="00A24988"/>
    <w:rsid w:val="00A52334"/>
    <w:rsid w:val="00A60962"/>
    <w:rsid w:val="00A675F0"/>
    <w:rsid w:val="00A75F59"/>
    <w:rsid w:val="00A87906"/>
    <w:rsid w:val="00AA0EC5"/>
    <w:rsid w:val="00AA421A"/>
    <w:rsid w:val="00AB4FBA"/>
    <w:rsid w:val="00AB5956"/>
    <w:rsid w:val="00AC43B1"/>
    <w:rsid w:val="00AD3892"/>
    <w:rsid w:val="00AD417D"/>
    <w:rsid w:val="00AD6E10"/>
    <w:rsid w:val="00AE05B6"/>
    <w:rsid w:val="00AF490F"/>
    <w:rsid w:val="00AF520B"/>
    <w:rsid w:val="00B41748"/>
    <w:rsid w:val="00B42EB9"/>
    <w:rsid w:val="00B474CB"/>
    <w:rsid w:val="00B5255D"/>
    <w:rsid w:val="00B61F6F"/>
    <w:rsid w:val="00B66089"/>
    <w:rsid w:val="00B66E42"/>
    <w:rsid w:val="00B67EF7"/>
    <w:rsid w:val="00B80DA2"/>
    <w:rsid w:val="00B92573"/>
    <w:rsid w:val="00B9341F"/>
    <w:rsid w:val="00BD5AC3"/>
    <w:rsid w:val="00BE5EED"/>
    <w:rsid w:val="00BE7BF6"/>
    <w:rsid w:val="00C04E00"/>
    <w:rsid w:val="00C16578"/>
    <w:rsid w:val="00C20A58"/>
    <w:rsid w:val="00C22B29"/>
    <w:rsid w:val="00C22C74"/>
    <w:rsid w:val="00C37569"/>
    <w:rsid w:val="00C47AD4"/>
    <w:rsid w:val="00C62904"/>
    <w:rsid w:val="00C77D65"/>
    <w:rsid w:val="00C918E6"/>
    <w:rsid w:val="00CA32FC"/>
    <w:rsid w:val="00CB0572"/>
    <w:rsid w:val="00CD1E7F"/>
    <w:rsid w:val="00CE00BD"/>
    <w:rsid w:val="00CE03F4"/>
    <w:rsid w:val="00D0002D"/>
    <w:rsid w:val="00D12C60"/>
    <w:rsid w:val="00D176C2"/>
    <w:rsid w:val="00D53086"/>
    <w:rsid w:val="00D560BA"/>
    <w:rsid w:val="00D647CC"/>
    <w:rsid w:val="00D77233"/>
    <w:rsid w:val="00D9279E"/>
    <w:rsid w:val="00DA4A3C"/>
    <w:rsid w:val="00DA7F5A"/>
    <w:rsid w:val="00DB2EA5"/>
    <w:rsid w:val="00DC123A"/>
    <w:rsid w:val="00DC34AB"/>
    <w:rsid w:val="00DD13E8"/>
    <w:rsid w:val="00DD1C76"/>
    <w:rsid w:val="00DD3029"/>
    <w:rsid w:val="00DE51F0"/>
    <w:rsid w:val="00DF0941"/>
    <w:rsid w:val="00DF5F45"/>
    <w:rsid w:val="00E2717D"/>
    <w:rsid w:val="00E5371F"/>
    <w:rsid w:val="00E630E4"/>
    <w:rsid w:val="00E766EE"/>
    <w:rsid w:val="00E820F5"/>
    <w:rsid w:val="00E873C4"/>
    <w:rsid w:val="00E92452"/>
    <w:rsid w:val="00ED56A0"/>
    <w:rsid w:val="00EF3E21"/>
    <w:rsid w:val="00EF749B"/>
    <w:rsid w:val="00F013EF"/>
    <w:rsid w:val="00F05333"/>
    <w:rsid w:val="00F259B1"/>
    <w:rsid w:val="00F653A6"/>
    <w:rsid w:val="00F66A4E"/>
    <w:rsid w:val="00F76B28"/>
    <w:rsid w:val="00F8458B"/>
    <w:rsid w:val="00F92F37"/>
    <w:rsid w:val="00F94286"/>
    <w:rsid w:val="00FA6B9F"/>
    <w:rsid w:val="00FA749C"/>
    <w:rsid w:val="00FB53DA"/>
    <w:rsid w:val="00FB780A"/>
    <w:rsid w:val="00FC700D"/>
    <w:rsid w:val="00FD6131"/>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BD5AC3"/>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BD5AC3"/>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bip.um.wroc.pl/zit"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gwnd.dolnyslask.pl/" TargetMode="External"/><Relationship Id="rId34" Type="http://schemas.openxmlformats.org/officeDocument/2006/relationships/hyperlink" Target="mailto:pife@dolnyslask.pl" TargetMode="External"/><Relationship Id="rId42"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http://www.wroclaw.pl/zit-wrof" TargetMode="External"/><Relationship Id="rId37" Type="http://schemas.openxmlformats.org/officeDocument/2006/relationships/hyperlink" Target="mailto:pife.walbrzych@dolnyslask.pl" TargetMode="External"/><Relationship Id="rId40"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bip.um.wroc.pl/zit" TargetMode="External"/><Relationship Id="rId28" Type="http://schemas.openxmlformats.org/officeDocument/2006/relationships/hyperlink" Target="http://www.rpo.dolnyslask.pl" TargetMode="External"/><Relationship Id="rId36" Type="http://schemas.openxmlformats.org/officeDocument/2006/relationships/hyperlink" Target="mailto:pife.legnica@dolnyslask.pl"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bip.um.wroc.pl/zi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wroclaw.pl/zit-wrof" TargetMode="External"/><Relationship Id="rId30" Type="http://schemas.openxmlformats.org/officeDocument/2006/relationships/hyperlink" Target="http://www.rpo.dolnyslask.pl" TargetMode="External"/><Relationship Id="rId35" Type="http://schemas.openxmlformats.org/officeDocument/2006/relationships/hyperlink" Target="mailto:pife.jeleniagor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4BC7-164E-40B0-8CF0-D44151BA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9139</Words>
  <Characters>54840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Gęsiak-Kaniuka</dc:creator>
  <cp:keywords/>
  <dc:description/>
  <cp:lastModifiedBy>Agata Gęsiak-Kaniuka</cp:lastModifiedBy>
  <cp:revision>6</cp:revision>
  <cp:lastPrinted>2015-11-19T14:51:00Z</cp:lastPrinted>
  <dcterms:created xsi:type="dcterms:W3CDTF">2015-11-16T21:34:00Z</dcterms:created>
  <dcterms:modified xsi:type="dcterms:W3CDTF">2015-11-19T14:56:00Z</dcterms:modified>
</cp:coreProperties>
</file>