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961B8B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0C11796E" wp14:editId="156C226B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E873C4" w:rsidRPr="008B703B" w:rsidRDefault="00E873C4" w:rsidP="00E873C4">
      <w:pPr>
        <w:pStyle w:val="Nagwek"/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703B">
        <w:rPr>
          <w:sz w:val="24"/>
          <w:szCs w:val="24"/>
        </w:rPr>
        <w:t xml:space="preserve"> </w:t>
      </w:r>
    </w:p>
    <w:p w:rsidR="00422B95" w:rsidRPr="00BB685A" w:rsidRDefault="00422B95" w:rsidP="009E7233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BB685A">
        <w:rPr>
          <w:rFonts w:ascii="Calibri" w:hAnsi="Calibri" w:cs="Calibri"/>
          <w:b/>
          <w:color w:val="000000"/>
          <w:sz w:val="24"/>
          <w:szCs w:val="24"/>
        </w:rPr>
        <w:t>pełniący rolę</w:t>
      </w:r>
    </w:p>
    <w:p w:rsidR="00BB685A" w:rsidRPr="00BB685A" w:rsidRDefault="00422B95" w:rsidP="00BB685A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color w:val="000000"/>
          <w:sz w:val="24"/>
          <w:szCs w:val="24"/>
        </w:rPr>
        <w:t>Instytucj</w:t>
      </w:r>
      <w:r w:rsidR="009E7233" w:rsidRPr="00BB685A">
        <w:rPr>
          <w:rFonts w:ascii="Calibri" w:hAnsi="Calibri" w:cs="Calibri"/>
          <w:b/>
          <w:color w:val="000000"/>
          <w:sz w:val="24"/>
          <w:szCs w:val="24"/>
        </w:rPr>
        <w:t>i</w:t>
      </w:r>
      <w:r w:rsidRPr="00BB685A">
        <w:rPr>
          <w:rFonts w:ascii="Calibri" w:hAnsi="Calibri" w:cs="Calibri"/>
          <w:b/>
          <w:color w:val="000000"/>
          <w:sz w:val="24"/>
          <w:szCs w:val="24"/>
        </w:rPr>
        <w:t xml:space="preserve"> Zarządzając</w:t>
      </w:r>
      <w:r w:rsidR="009E7233" w:rsidRPr="00BB685A">
        <w:rPr>
          <w:rFonts w:ascii="Calibri" w:hAnsi="Calibri" w:cs="Calibri"/>
          <w:b/>
          <w:color w:val="000000"/>
          <w:sz w:val="24"/>
          <w:szCs w:val="24"/>
        </w:rPr>
        <w:t>ej</w:t>
      </w:r>
      <w:r w:rsidRPr="00BB685A">
        <w:rPr>
          <w:rFonts w:ascii="Calibri" w:hAnsi="Calibri" w:cs="Calibri"/>
          <w:b/>
          <w:color w:val="000000"/>
          <w:sz w:val="24"/>
          <w:szCs w:val="24"/>
        </w:rPr>
        <w:t xml:space="preserve"> Regionalnym Programem Operacyjnym Województwa Dolnośląskiego 2014-2020</w:t>
      </w:r>
      <w:r w:rsidR="00BB685A" w:rsidRPr="00BB685A">
        <w:rPr>
          <w:rFonts w:ascii="Calibri" w:hAnsi="Calibri" w:cs="Calibri"/>
          <w:b/>
          <w:bCs/>
          <w:sz w:val="24"/>
          <w:szCs w:val="24"/>
        </w:rPr>
        <w:t xml:space="preserve"> oraz </w:t>
      </w:r>
    </w:p>
    <w:p w:rsidR="00BB685A" w:rsidRPr="00BB685A" w:rsidRDefault="00B05980" w:rsidP="00BB685A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945D5E">
        <w:rPr>
          <w:rFonts w:ascii="Calibri" w:hAnsi="Calibri" w:cs="Calibri"/>
          <w:b/>
          <w:bCs/>
          <w:sz w:val="28"/>
          <w:szCs w:val="28"/>
        </w:rPr>
        <w:t>Miasto Jelenia Góra</w:t>
      </w:r>
      <w:r w:rsidR="00BB685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B685A" w:rsidRPr="00BB685A">
        <w:rPr>
          <w:rFonts w:ascii="Calibri" w:hAnsi="Calibri" w:cs="Calibri"/>
          <w:b/>
          <w:bCs/>
          <w:sz w:val="24"/>
          <w:szCs w:val="24"/>
        </w:rPr>
        <w:t>pełniąc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="00BB685A" w:rsidRPr="00BB685A">
        <w:rPr>
          <w:rFonts w:ascii="Calibri" w:hAnsi="Calibri" w:cs="Calibri"/>
          <w:b/>
          <w:bCs/>
          <w:sz w:val="24"/>
          <w:szCs w:val="24"/>
        </w:rPr>
        <w:t xml:space="preserve"> funkcję Instytucji Pośredniczącej</w:t>
      </w:r>
    </w:p>
    <w:p w:rsidR="00DE2227" w:rsidRDefault="00BB685A" w:rsidP="00BB685A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 xml:space="preserve">w ramach instrumentu </w:t>
      </w:r>
    </w:p>
    <w:p w:rsidR="00DE2227" w:rsidRDefault="00BB685A" w:rsidP="00BB685A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>Zintegrowane Inwestycje</w:t>
      </w:r>
      <w:r w:rsidR="00DE222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B685A">
        <w:rPr>
          <w:rFonts w:ascii="Calibri" w:hAnsi="Calibri" w:cs="Calibri"/>
          <w:b/>
          <w:bCs/>
          <w:sz w:val="24"/>
          <w:szCs w:val="24"/>
        </w:rPr>
        <w:t xml:space="preserve">Terytorialne </w:t>
      </w:r>
    </w:p>
    <w:p w:rsidR="00BB685A" w:rsidRPr="00BB685A" w:rsidRDefault="00BB685A" w:rsidP="00BB685A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>Regionalnego Programu Operacyjnego Województwa Dolnośląskiego 2014–2020</w:t>
      </w:r>
    </w:p>
    <w:p w:rsidR="00E873C4" w:rsidRPr="00BB685A" w:rsidRDefault="00E873C4" w:rsidP="009E7233">
      <w:pPr>
        <w:jc w:val="center"/>
        <w:rPr>
          <w:b/>
          <w:sz w:val="24"/>
          <w:szCs w:val="24"/>
        </w:rPr>
      </w:pP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E7233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3C4" w:rsidRPr="00E873C4" w:rsidRDefault="00E873C4" w:rsidP="00E873C4"/>
    <w:p w:rsidR="00E873C4" w:rsidRPr="00DE2227" w:rsidRDefault="009E7233" w:rsidP="00DE2227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</w:t>
      </w:r>
      <w:r w:rsidR="00E873C4" w:rsidRPr="00E873C4">
        <w:rPr>
          <w:rFonts w:cs="Arial"/>
          <w:b/>
          <w:sz w:val="32"/>
          <w:szCs w:val="32"/>
        </w:rPr>
        <w:t xml:space="preserve"> priorytetow</w:t>
      </w:r>
      <w:r>
        <w:rPr>
          <w:rFonts w:cs="Arial"/>
          <w:b/>
          <w:sz w:val="32"/>
          <w:szCs w:val="32"/>
        </w:rPr>
        <w:t>a</w:t>
      </w:r>
      <w:r w:rsidR="00E873C4" w:rsidRPr="00E873C4">
        <w:rPr>
          <w:rFonts w:cs="Arial"/>
          <w:b/>
          <w:sz w:val="32"/>
          <w:szCs w:val="32"/>
        </w:rPr>
        <w:t xml:space="preserve"> 4</w:t>
      </w:r>
      <w:r w:rsidR="00DA4A3C">
        <w:rPr>
          <w:rFonts w:cs="Arial"/>
          <w:b/>
          <w:sz w:val="32"/>
          <w:szCs w:val="32"/>
        </w:rPr>
        <w:t xml:space="preserve"> </w:t>
      </w:r>
      <w:r w:rsidR="00E873C4" w:rsidRPr="00E873C4">
        <w:rPr>
          <w:rFonts w:cs="Arial"/>
          <w:b/>
          <w:sz w:val="32"/>
          <w:szCs w:val="32"/>
        </w:rPr>
        <w:t>Środowisko i zasoby</w:t>
      </w: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E873C4" w:rsidRDefault="00E873C4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>Działani</w:t>
      </w:r>
      <w:r w:rsidR="009E7233">
        <w:rPr>
          <w:rFonts w:cs="Arial"/>
          <w:b/>
          <w:sz w:val="32"/>
          <w:szCs w:val="32"/>
          <w:u w:val="single"/>
        </w:rPr>
        <w:t>e</w:t>
      </w:r>
      <w:r w:rsidRPr="00E873C4">
        <w:rPr>
          <w:rFonts w:cs="Arial"/>
          <w:b/>
          <w:sz w:val="32"/>
          <w:szCs w:val="32"/>
          <w:u w:val="single"/>
        </w:rPr>
        <w:t xml:space="preserve"> </w:t>
      </w:r>
      <w:bookmarkStart w:id="0" w:name="_Toc422949625"/>
      <w:bookmarkStart w:id="1" w:name="_Toc430826812"/>
      <w:r w:rsidRPr="00E873C4">
        <w:rPr>
          <w:rFonts w:cs="Arial"/>
          <w:b/>
          <w:sz w:val="32"/>
          <w:szCs w:val="32"/>
          <w:u w:val="single"/>
        </w:rPr>
        <w:t>4.3</w:t>
      </w:r>
      <w:r w:rsidR="00DA4A3C">
        <w:rPr>
          <w:rFonts w:cs="Arial"/>
          <w:b/>
          <w:sz w:val="32"/>
          <w:szCs w:val="32"/>
          <w:u w:val="single"/>
        </w:rPr>
        <w:t xml:space="preserve"> </w:t>
      </w:r>
      <w:r w:rsidRPr="00E873C4">
        <w:rPr>
          <w:rFonts w:cs="Arial"/>
          <w:b/>
          <w:sz w:val="32"/>
          <w:szCs w:val="32"/>
          <w:u w:val="single"/>
        </w:rPr>
        <w:t>Dziedzictwo kulturowe</w:t>
      </w:r>
    </w:p>
    <w:p w:rsidR="00DA62AB" w:rsidRPr="00E873C4" w:rsidRDefault="00DA62AB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E873C4" w:rsidRDefault="00805E31" w:rsidP="0006751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C47BE">
        <w:rPr>
          <w:rFonts w:cs="Arial"/>
          <w:b/>
          <w:sz w:val="32"/>
          <w:szCs w:val="32"/>
        </w:rPr>
        <w:t>Poddziałani</w:t>
      </w:r>
      <w:r w:rsidR="009E7233">
        <w:rPr>
          <w:rFonts w:cs="Arial"/>
          <w:b/>
          <w:sz w:val="32"/>
          <w:szCs w:val="32"/>
        </w:rPr>
        <w:t>e</w:t>
      </w:r>
      <w:r w:rsidRPr="000C47BE">
        <w:rPr>
          <w:rFonts w:cs="Arial"/>
          <w:b/>
          <w:sz w:val="32"/>
          <w:szCs w:val="32"/>
        </w:rPr>
        <w:t xml:space="preserve"> 4.3.</w:t>
      </w:r>
      <w:r w:rsidR="00B05980">
        <w:rPr>
          <w:rFonts w:cs="Arial"/>
          <w:b/>
          <w:sz w:val="32"/>
          <w:szCs w:val="32"/>
        </w:rPr>
        <w:t>3</w:t>
      </w:r>
      <w:r w:rsidRPr="000C47BE">
        <w:rPr>
          <w:rFonts w:cs="Arial"/>
          <w:b/>
          <w:sz w:val="32"/>
          <w:szCs w:val="32"/>
        </w:rPr>
        <w:t xml:space="preserve"> </w:t>
      </w:r>
      <w:r w:rsidR="00863524" w:rsidRPr="00863524">
        <w:rPr>
          <w:rFonts w:cs="Arial"/>
          <w:b/>
          <w:sz w:val="32"/>
          <w:szCs w:val="32"/>
        </w:rPr>
        <w:t xml:space="preserve">Dziedzictwo kulturowe – </w:t>
      </w:r>
      <w:r w:rsidR="00BB685A">
        <w:rPr>
          <w:rFonts w:cs="Arial"/>
          <w:b/>
          <w:sz w:val="32"/>
          <w:szCs w:val="32"/>
        </w:rPr>
        <w:t xml:space="preserve">ZIT </w:t>
      </w:r>
      <w:r w:rsidR="00B05980">
        <w:rPr>
          <w:rFonts w:cs="Arial"/>
          <w:b/>
          <w:sz w:val="32"/>
          <w:szCs w:val="32"/>
        </w:rPr>
        <w:t>AJ</w:t>
      </w:r>
      <w:r w:rsidR="00863524" w:rsidRPr="00863524">
        <w:rPr>
          <w:rFonts w:cs="Arial"/>
          <w:b/>
          <w:sz w:val="32"/>
          <w:szCs w:val="32"/>
        </w:rPr>
        <w:t xml:space="preserve"> </w:t>
      </w:r>
      <w:bookmarkEnd w:id="0"/>
      <w:bookmarkEnd w:id="1"/>
    </w:p>
    <w:p w:rsidR="0006751C" w:rsidRDefault="0006751C" w:rsidP="0006751C">
      <w:pPr>
        <w:pStyle w:val="Nagwek"/>
        <w:spacing w:before="120" w:after="120"/>
        <w:jc w:val="center"/>
      </w:pPr>
    </w:p>
    <w:p w:rsidR="00E873C4" w:rsidRDefault="00390D9C" w:rsidP="003227CB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3227CB" w:rsidRPr="003227CB">
        <w:rPr>
          <w:b/>
          <w:sz w:val="28"/>
          <w:szCs w:val="28"/>
        </w:rPr>
        <w:t>RPDS.04.03.03-IZ.00-02-034/15</w:t>
      </w:r>
    </w:p>
    <w:p w:rsidR="003227CB" w:rsidRDefault="003227CB" w:rsidP="003227CB">
      <w:pPr>
        <w:jc w:val="center"/>
      </w:pPr>
    </w:p>
    <w:p w:rsidR="00124CCA" w:rsidRDefault="00124CCA" w:rsidP="00E873C4"/>
    <w:p w:rsidR="00124CCA" w:rsidRDefault="00124CCA" w:rsidP="00E873C4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9E7233" w:rsidP="00805E3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FD6EC7" w:rsidRPr="007F7945" w:rsidRDefault="009E7233" w:rsidP="00FD6EC7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805E31" w:rsidRPr="009E7233">
              <w:rPr>
                <w:rFonts w:cs="Arial"/>
              </w:rPr>
              <w:t>w ramach Regionalnego Programu Operacyjnego Województwa Dolnośląskiego 2014</w:t>
            </w:r>
            <w:r w:rsidR="00805E31" w:rsidRPr="007F7945">
              <w:rPr>
                <w:rFonts w:cs="Arial"/>
              </w:rPr>
              <w:t xml:space="preserve">-2020 Osi Priorytetowej </w:t>
            </w:r>
            <w:r w:rsidR="00FD6EC7" w:rsidRPr="007F7945">
              <w:rPr>
                <w:rFonts w:cs="Arial"/>
              </w:rPr>
              <w:t xml:space="preserve">4 Środowisko </w:t>
            </w:r>
            <w:r>
              <w:rPr>
                <w:rFonts w:cs="Arial"/>
              </w:rPr>
              <w:br/>
            </w:r>
            <w:r w:rsidR="00FD6EC7" w:rsidRPr="007F7945">
              <w:rPr>
                <w:rFonts w:cs="Arial"/>
              </w:rPr>
              <w:t>i zasoby Działania 4.3 Dziedzictwo kulturowe - Poddziałanie 4.3.</w:t>
            </w:r>
            <w:r w:rsidR="00C52777">
              <w:rPr>
                <w:rFonts w:cs="Arial"/>
              </w:rPr>
              <w:t>3</w:t>
            </w:r>
            <w:r w:rsidR="00FD6EC7" w:rsidRPr="007F7945">
              <w:rPr>
                <w:rFonts w:cs="Arial"/>
              </w:rPr>
              <w:t xml:space="preserve"> </w:t>
            </w:r>
            <w:r w:rsidR="00A57BD5" w:rsidRPr="007F7945">
              <w:rPr>
                <w:rFonts w:cs="Arial"/>
              </w:rPr>
              <w:t xml:space="preserve">Dziedzictwo kulturowe </w:t>
            </w:r>
            <w:r w:rsidR="0006751C">
              <w:rPr>
                <w:rFonts w:cs="Arial"/>
              </w:rPr>
              <w:t xml:space="preserve">– </w:t>
            </w:r>
            <w:r w:rsidR="00BB685A">
              <w:rPr>
                <w:rFonts w:cs="Arial"/>
              </w:rPr>
              <w:t xml:space="preserve">ZIT </w:t>
            </w:r>
            <w:r w:rsidR="00B05980">
              <w:rPr>
                <w:rFonts w:cs="Arial"/>
              </w:rPr>
              <w:t>AJ</w:t>
            </w:r>
            <w:r w:rsidR="00FD6EC7" w:rsidRPr="007F7945">
              <w:rPr>
                <w:rFonts w:cs="Arial"/>
              </w:rPr>
              <w:t>.</w:t>
            </w:r>
          </w:p>
          <w:p w:rsidR="00FB53DA" w:rsidRPr="00BB685A" w:rsidRDefault="00BB685A" w:rsidP="0006751C">
            <w:pPr>
              <w:pStyle w:val="Nagwek"/>
              <w:spacing w:before="120" w:after="120"/>
              <w:jc w:val="both"/>
              <w:rPr>
                <w:rFonts w:cs="Calibri"/>
                <w:color w:val="000000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 xml:space="preserve">Nabór w trybie konkursowym </w:t>
            </w:r>
            <w:r>
              <w:rPr>
                <w:rFonts w:cs="Calibri"/>
                <w:b/>
                <w:color w:val="000000"/>
                <w:u w:val="single"/>
              </w:rPr>
              <w:t xml:space="preserve">– dla beneficjentów z obszaru ZIT </w:t>
            </w:r>
            <w:r w:rsidR="00B05980">
              <w:rPr>
                <w:rFonts w:cs="Calibri"/>
                <w:b/>
                <w:color w:val="000000"/>
                <w:u w:val="single"/>
              </w:rPr>
              <w:t>AJ</w:t>
            </w:r>
            <w:r>
              <w:rPr>
                <w:rFonts w:cs="Calibri"/>
                <w:b/>
                <w:color w:val="000000"/>
                <w:u w:val="single"/>
              </w:rPr>
              <w:t>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D5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BB685A" w:rsidRPr="00382440" w:rsidRDefault="00BB685A" w:rsidP="00BB68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82440">
              <w:rPr>
                <w:rFonts w:asciiTheme="minorHAnsi" w:hAnsiTheme="minorHAnsi" w:cs="Calibri"/>
              </w:rPr>
              <w:t>Instytucją Organizującą Konkurs (IOK) jest:</w:t>
            </w:r>
            <w:r w:rsidRPr="00382440">
              <w:rPr>
                <w:rFonts w:asciiTheme="minorHAnsi" w:hAnsiTheme="minorHAnsi"/>
                <w:szCs w:val="22"/>
              </w:rPr>
              <w:t xml:space="preserve"> </w:t>
            </w:r>
            <w:r w:rsidRPr="00382440">
              <w:rPr>
                <w:rFonts w:asciiTheme="minorHAnsi" w:hAnsiTheme="minorHAnsi"/>
                <w:b/>
                <w:szCs w:val="22"/>
              </w:rPr>
              <w:t>IZ RPO WD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382440">
              <w:rPr>
                <w:rFonts w:asciiTheme="minorHAnsi" w:hAnsiTheme="minorHAnsi"/>
                <w:szCs w:val="22"/>
              </w:rPr>
              <w:t xml:space="preserve">(funkcję Instytucji Zarządzającej pełni Zarząd Województwa Dolnośląskiego; Zadania związane </w:t>
            </w:r>
            <w:r>
              <w:rPr>
                <w:rFonts w:asciiTheme="minorHAnsi" w:hAnsiTheme="minorHAnsi"/>
                <w:szCs w:val="22"/>
              </w:rPr>
              <w:br/>
            </w:r>
            <w:r w:rsidRPr="00382440">
              <w:rPr>
                <w:rFonts w:asciiTheme="minorHAnsi" w:hAnsiTheme="minorHAnsi"/>
                <w:szCs w:val="22"/>
              </w:rPr>
              <w:t xml:space="preserve">z naborem realizuje Departament Funduszy Europejskich w Urzędzie Marszałkowskim Województwa Dolnośląskiego, </w:t>
            </w:r>
            <w:r w:rsidRPr="00382440">
              <w:rPr>
                <w:rFonts w:asciiTheme="minorHAnsi" w:hAnsiTheme="minorHAnsi"/>
                <w:bCs/>
              </w:rPr>
              <w:t>ul. Mazowiecka 17, 50-412 Wrocław</w:t>
            </w:r>
            <w:r>
              <w:rPr>
                <w:rFonts w:asciiTheme="minorHAnsi" w:hAnsiTheme="minorHAnsi"/>
                <w:szCs w:val="22"/>
              </w:rPr>
              <w:t>),</w:t>
            </w:r>
          </w:p>
          <w:p w:rsidR="00424DF6" w:rsidRPr="00BB685A" w:rsidRDefault="00C52777" w:rsidP="00B0598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BB685A" w:rsidRPr="00151119" w:rsidRDefault="00BB685A" w:rsidP="00BB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Przedmiotem konkursu są typy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określone dla działania 4.3 Dziedzictwo kulturowe w osi priorytetowej 4 Środowisko i zasoby, tj.:</w:t>
            </w:r>
          </w:p>
          <w:p w:rsidR="00BB685A" w:rsidRPr="00151119" w:rsidRDefault="00BB685A" w:rsidP="00BB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B685A" w:rsidRPr="00151119" w:rsidRDefault="00BB685A" w:rsidP="00213D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bookmarkStart w:id="2" w:name="_GoBack"/>
            <w:bookmarkEnd w:id="2"/>
            <w:r w:rsidRPr="00151119">
              <w:rPr>
                <w:rFonts w:cs="Arial"/>
              </w:rPr>
              <w:t>Zabytki nieruchome, wpisane do rejestru prowadzonego przez Wojewódzkiego Konserwatora Zabytków we Wrocławiu wraz z ich otoczeniem, w tym:</w:t>
            </w:r>
          </w:p>
          <w:p w:rsidR="00BB685A" w:rsidRPr="00151119" w:rsidRDefault="00BB685A" w:rsidP="00BB68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rewitalizacja, rewaloryzacja, konserwacja, renowacja, restauracja, zachowanie i adaptacja oraz roboty budowlane obiektów zabytkowych oraz obszarów zabytkowych; </w:t>
            </w:r>
          </w:p>
          <w:p w:rsidR="00BB685A" w:rsidRPr="00151119" w:rsidRDefault="00BB685A" w:rsidP="00BB685A">
            <w:pPr>
              <w:pStyle w:val="Akapitzlist"/>
              <w:numPr>
                <w:ilvl w:val="0"/>
                <w:numId w:val="3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przystosowanie obiektów do pełnienia przez nie nowych funkcji (w szczególności do prowadzenia działalności kulturalnej i turystycznej) wraz z zakupem niezbędnego sprzętu/wyposażenia;</w:t>
            </w:r>
          </w:p>
          <w:p w:rsidR="00BB685A" w:rsidRDefault="00BB685A" w:rsidP="00BB685A">
            <w:pPr>
              <w:spacing w:line="240" w:lineRule="auto"/>
              <w:jc w:val="both"/>
              <w:rPr>
                <w:rFonts w:cs="Arial"/>
              </w:rPr>
            </w:pPr>
          </w:p>
          <w:p w:rsidR="00BB685A" w:rsidRPr="00151119" w:rsidRDefault="00BB685A" w:rsidP="00BB685A">
            <w:pPr>
              <w:spacing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Jako uzupełniający element wyżej wymienionych projektów będą mogły być realizowane:</w:t>
            </w:r>
          </w:p>
          <w:p w:rsidR="00BB685A" w:rsidRPr="00151119" w:rsidRDefault="00BB685A" w:rsidP="00BB685A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1405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dostosowanie infrastruktury do potrzeb osób niepełnosprawnych;</w:t>
            </w:r>
          </w:p>
          <w:p w:rsidR="00BB685A" w:rsidRPr="00151119" w:rsidRDefault="00BB685A" w:rsidP="00BB685A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 xml:space="preserve">adaptacja i zastosowanie środków ochrony (np. przeciwwłamaniowej i przeciwpożarowej); </w:t>
            </w:r>
          </w:p>
          <w:p w:rsidR="00BB685A" w:rsidRPr="00151119" w:rsidRDefault="00BB685A" w:rsidP="00BB685A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przedsięwzięcia dotyczące infrastruktury towarzyszącej (np. parkingi, chodniki, drogi) – do 15% wartości projektu;</w:t>
            </w:r>
          </w:p>
          <w:p w:rsidR="00BB685A" w:rsidRDefault="00BB685A" w:rsidP="00BB685A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 xml:space="preserve">konserwacja, restauracja zabytków ruchomych znajdujących się w ww. zabytkach nieruchomych objętych wsparciem). </w:t>
            </w:r>
          </w:p>
          <w:p w:rsidR="00BB685A" w:rsidRPr="00151119" w:rsidRDefault="00BB685A" w:rsidP="00BB685A">
            <w:pPr>
              <w:pStyle w:val="Akapitzlist"/>
              <w:tabs>
                <w:tab w:val="left" w:pos="317"/>
              </w:tabs>
              <w:spacing w:before="0" w:line="240" w:lineRule="auto"/>
              <w:ind w:left="317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</w:p>
          <w:p w:rsidR="00BB685A" w:rsidRPr="00151119" w:rsidRDefault="00BB685A" w:rsidP="00BB685A">
            <w:pPr>
              <w:pStyle w:val="Poprawk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1119">
              <w:rPr>
                <w:rFonts w:asciiTheme="minorHAnsi" w:hAnsiTheme="minorHAnsi" w:cs="Arial"/>
                <w:sz w:val="22"/>
                <w:szCs w:val="22"/>
              </w:rPr>
              <w:t xml:space="preserve">Instytucje kultury, w tym: </w:t>
            </w:r>
          </w:p>
          <w:p w:rsidR="00BB685A" w:rsidRPr="00151119" w:rsidRDefault="00BB685A" w:rsidP="00BB685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przebudowa/rozbudowa obiektów zajmowanych przez te instytucje (wraz z zakupem niezbędnego sprzętu), w tym zastosowanie rozwiązań energooszczędnych zmniejszających ogólne koszty eksploatacji;</w:t>
            </w:r>
          </w:p>
          <w:p w:rsidR="00BB685A" w:rsidRPr="00151119" w:rsidRDefault="00BB685A" w:rsidP="00BB685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doposażenie w sprzęt (w tym informatyczny), niezbędny do rozwoju oferty odpowiadającej na nowe potrzeby w obszarze działalności kulturalnej wynikające z rozwoju technicznego oraz przemian społecznych we współczesnej gospodarce; </w:t>
            </w:r>
          </w:p>
          <w:p w:rsidR="00BB685A" w:rsidRPr="00151119" w:rsidRDefault="00BB685A" w:rsidP="00BB685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oprogramowania komputerowe ułatwiające wewnętrzne zarządzanie w instytucji.</w:t>
            </w:r>
          </w:p>
          <w:p w:rsidR="00BB685A" w:rsidRPr="00151119" w:rsidRDefault="00BB685A" w:rsidP="00BB685A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B685A" w:rsidRPr="00151119" w:rsidRDefault="00BB685A" w:rsidP="00BB685A">
            <w:p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lastRenderedPageBreak/>
              <w:t xml:space="preserve">W odniesieniu do projektów szkół i uczelni artystycznych możliwe będzie wsparcie w zakresie związanym z prowadzoną działalnością kulturalną </w:t>
            </w:r>
            <w:r w:rsidRPr="00151119">
              <w:rPr>
                <w:rFonts w:cs="Arial"/>
              </w:rPr>
              <w:br/>
              <w:t>i artystyczną, przy czym wsparcie to nie obejmuje działalności stricte dydaktycznej.</w:t>
            </w:r>
          </w:p>
          <w:p w:rsidR="00BB685A" w:rsidRDefault="00BB685A" w:rsidP="00BB685A">
            <w:pPr>
              <w:spacing w:after="0" w:line="240" w:lineRule="auto"/>
              <w:jc w:val="both"/>
              <w:rPr>
                <w:rFonts w:cs="Arial"/>
              </w:rPr>
            </w:pPr>
          </w:p>
          <w:p w:rsidR="00BB685A" w:rsidRDefault="00BB685A" w:rsidP="00BB685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Możliwe </w:t>
            </w:r>
            <w:r w:rsidR="00C52777">
              <w:rPr>
                <w:rFonts w:cs="Arial"/>
              </w:rPr>
              <w:t>jest</w:t>
            </w:r>
            <w:r>
              <w:rPr>
                <w:rFonts w:cs="Arial"/>
              </w:rPr>
              <w:t xml:space="preserve"> łączenie ww. typów projektów 4.3.A i 4.3.B – o wyborze typu decyduje struktura wydatków </w:t>
            </w:r>
            <w:r w:rsidR="00C52777">
              <w:rPr>
                <w:rFonts w:cs="Arial"/>
              </w:rPr>
              <w:t xml:space="preserve">kwalifikowalnych </w:t>
            </w:r>
            <w:r>
              <w:rPr>
                <w:rFonts w:cs="Arial"/>
              </w:rPr>
              <w:t xml:space="preserve">(ich większościowy udział). </w:t>
            </w:r>
          </w:p>
          <w:p w:rsidR="00BB685A" w:rsidRPr="00151119" w:rsidRDefault="00BB685A" w:rsidP="00BB685A">
            <w:pPr>
              <w:spacing w:after="0" w:line="240" w:lineRule="auto"/>
              <w:jc w:val="both"/>
              <w:rPr>
                <w:rFonts w:cs="Arial"/>
              </w:rPr>
            </w:pPr>
          </w:p>
          <w:p w:rsidR="00BB685A" w:rsidRPr="00151119" w:rsidRDefault="00BB685A" w:rsidP="00BB685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151119">
              <w:rPr>
                <w:rFonts w:cs="Arial"/>
                <w:b/>
              </w:rPr>
              <w:t>Nie będą finansowane:</w:t>
            </w:r>
          </w:p>
          <w:p w:rsidR="00BB685A" w:rsidRPr="00151119" w:rsidRDefault="00BB685A" w:rsidP="00BB68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projekty dotyczące organizacji imprez o charakterze kulturalnym, takich jak wystawy, festiwale;</w:t>
            </w:r>
          </w:p>
          <w:p w:rsidR="00BB685A" w:rsidRPr="00151119" w:rsidRDefault="00BB685A" w:rsidP="00BB68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budowa od podstaw nowej infrastruktury kulturalnej.</w:t>
            </w:r>
          </w:p>
          <w:p w:rsidR="00BB685A" w:rsidRDefault="00BB685A" w:rsidP="00BB685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2368A3" w:rsidRDefault="00BB685A" w:rsidP="00BB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Arial"/>
                <w:b/>
              </w:rPr>
              <w:t>Podział inter</w:t>
            </w:r>
            <w:r>
              <w:rPr>
                <w:rFonts w:cs="Arial"/>
                <w:b/>
              </w:rPr>
              <w:t>wencji pomiędzy RPO WD a PO </w:t>
            </w:r>
            <w:proofErr w:type="spellStart"/>
            <w:r>
              <w:rPr>
                <w:rFonts w:cs="Arial"/>
                <w:b/>
              </w:rPr>
              <w:t>IiŚ</w:t>
            </w:r>
            <w:proofErr w:type="spellEnd"/>
            <w:r>
              <w:rPr>
                <w:rFonts w:cs="Arial"/>
                <w:b/>
              </w:rPr>
              <w:t xml:space="preserve"> określony został w Regulaminie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19142D" w:rsidRPr="00151119" w:rsidRDefault="0019142D" w:rsidP="0019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jednostki samorządu terytorialnego, ich związki i stowarzyszenia;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151119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151119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administracja rządowa;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kościoły i związki wyznaniowe oraz osoby prawne kościołów i związków wyznaniowych;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organizacje pozarządowe;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LGD;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/>
                <w:szCs w:val="22"/>
              </w:rPr>
              <w:t>spółki prawa handlowego, w </w:t>
            </w:r>
            <w:r w:rsidRPr="00151119">
              <w:rPr>
                <w:rFonts w:asciiTheme="minorHAnsi" w:hAnsiTheme="minorHAnsi"/>
                <w:szCs w:val="22"/>
              </w:rPr>
              <w:t>których udział większościowy – ponad 50% akcji, udziałów itp. – posiadają jednostki sektora finansów publicznych;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samorządowe instytucje kultury;</w:t>
            </w:r>
          </w:p>
          <w:p w:rsidR="0019142D" w:rsidRPr="004640F4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 xml:space="preserve">szkoły i uczelnie artystyczne – inne niż prowadzone i nadzorowane przez </w:t>
            </w:r>
            <w:proofErr w:type="spellStart"/>
            <w:r w:rsidRPr="00151119">
              <w:rPr>
                <w:rFonts w:asciiTheme="minorHAnsi" w:hAnsiTheme="minorHAnsi" w:cs="Arial"/>
                <w:szCs w:val="22"/>
              </w:rPr>
              <w:t>MKiDN</w:t>
            </w:r>
            <w:proofErr w:type="spellEnd"/>
            <w:r w:rsidRPr="00151119">
              <w:rPr>
                <w:rFonts w:asciiTheme="minorHAnsi" w:hAnsiTheme="minorHAnsi" w:cs="Arial"/>
                <w:szCs w:val="22"/>
              </w:rPr>
              <w:t>.</w:t>
            </w:r>
          </w:p>
          <w:p w:rsidR="004640F4" w:rsidRPr="00151119" w:rsidRDefault="004640F4" w:rsidP="004640F4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="00C04E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05980" w:rsidRDefault="0006751C" w:rsidP="00B05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Alokacja w ramach konkursu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- </w:t>
            </w:r>
            <w:r w:rsidR="00B05980">
              <w:rPr>
                <w:rFonts w:cs="Calibri"/>
                <w:b/>
                <w:color w:val="000000"/>
              </w:rPr>
              <w:t>3</w:t>
            </w:r>
            <w:r w:rsidR="00B05980" w:rsidRPr="00F64D5C">
              <w:rPr>
                <w:rFonts w:cs="Calibri"/>
                <w:b/>
                <w:color w:val="000000"/>
              </w:rPr>
              <w:t xml:space="preserve"> </w:t>
            </w:r>
            <w:r w:rsidR="00B05980">
              <w:rPr>
                <w:rFonts w:cs="Calibri"/>
                <w:b/>
                <w:color w:val="000000"/>
              </w:rPr>
              <w:t>760 000</w:t>
            </w:r>
            <w:r w:rsidR="00B05980" w:rsidRPr="00151119">
              <w:rPr>
                <w:rFonts w:cs="Calibri"/>
                <w:b/>
                <w:color w:val="000000"/>
              </w:rPr>
              <w:t xml:space="preserve"> Euro</w:t>
            </w:r>
            <w:r w:rsidR="00B05980">
              <w:rPr>
                <w:rFonts w:cs="Calibri"/>
                <w:b/>
                <w:color w:val="000000"/>
              </w:rPr>
              <w:t>, tj. 16 054 824,00 PLN</w:t>
            </w:r>
            <w:r w:rsidR="00B05980" w:rsidRPr="00151119">
              <w:rPr>
                <w:rFonts w:cs="Calibri"/>
                <w:color w:val="000000"/>
              </w:rPr>
              <w:t>.</w:t>
            </w:r>
          </w:p>
          <w:p w:rsidR="00BE5EED" w:rsidRDefault="00BE5EED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E2227" w:rsidRDefault="00DE2227" w:rsidP="00D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B0572">
              <w:rPr>
                <w:rFonts w:cs="MS Sans Serif"/>
              </w:rPr>
              <w:t>Alokacja przeliczona po kursie Europejskiego Banku Centralnego (EBC) obowiązującym w listopadzie</w:t>
            </w:r>
            <w:r>
              <w:rPr>
                <w:rFonts w:cs="MS Sans Serif"/>
              </w:rPr>
              <w:t xml:space="preserve"> 2015 r.</w:t>
            </w:r>
            <w:r w:rsidRPr="00CB0572">
              <w:rPr>
                <w:rFonts w:cs="MS Sans Serif"/>
              </w:rPr>
              <w:t xml:space="preserve">, tj. </w:t>
            </w:r>
            <w:r>
              <w:rPr>
                <w:rFonts w:cs="MS Sans Serif"/>
              </w:rPr>
              <w:t xml:space="preserve">1 euro = </w:t>
            </w:r>
            <w:r w:rsidRPr="00CB0572">
              <w:rPr>
                <w:rFonts w:cs="MS Sans Serif"/>
              </w:rPr>
              <w:t>4,2699</w:t>
            </w:r>
            <w:r>
              <w:rPr>
                <w:rFonts w:cs="MS Sans Serif"/>
              </w:rPr>
              <w:t xml:space="preserve"> zł</w:t>
            </w:r>
            <w:r w:rsidRPr="00CB0572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DE2227" w:rsidRDefault="00DE2227" w:rsidP="00D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2872B3" w:rsidRPr="00151119" w:rsidRDefault="00DE2227" w:rsidP="00DE2227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wyboru projektów przez Zarząd Województwa Dolnośląskiego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E766EE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E766EE" w:rsidRPr="00AB5956" w:rsidRDefault="00BE5EED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E5EED">
              <w:rPr>
                <w:bCs/>
              </w:rPr>
              <w:t>Minimalna wartość projektu to</w:t>
            </w:r>
            <w:r>
              <w:rPr>
                <w:b/>
                <w:bCs/>
              </w:rPr>
              <w:t xml:space="preserve"> </w:t>
            </w:r>
            <w:r w:rsidR="00A60962">
              <w:rPr>
                <w:rFonts w:cs="Arial"/>
              </w:rPr>
              <w:t>100 tys. PLN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E766EE" w:rsidP="00E766E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E766EE" w:rsidRDefault="00BE5EED" w:rsidP="00DC123A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E5EED">
              <w:rPr>
                <w:bCs/>
              </w:rPr>
              <w:t xml:space="preserve">Maksymalna wartość projektu to </w:t>
            </w:r>
            <w:r w:rsidR="00CB0572" w:rsidRPr="00CB0572">
              <w:rPr>
                <w:rFonts w:cs="Arial"/>
              </w:rPr>
              <w:t>21 349 500,00</w:t>
            </w:r>
            <w:r w:rsidR="00683BC9">
              <w:rPr>
                <w:rFonts w:cs="Arial"/>
              </w:rPr>
              <w:t xml:space="preserve"> PLN</w:t>
            </w:r>
            <w:r w:rsidR="00CB0572" w:rsidRPr="00CB0572">
              <w:rPr>
                <w:rFonts w:cs="Arial"/>
              </w:rPr>
              <w:t xml:space="preserve"> </w:t>
            </w:r>
            <w:r w:rsidR="00A60962" w:rsidRPr="00CB0572">
              <w:rPr>
                <w:rFonts w:cs="Arial"/>
              </w:rPr>
              <w:t>tj.</w:t>
            </w:r>
            <w:r w:rsidR="00A60962">
              <w:rPr>
                <w:rFonts w:cs="Arial"/>
              </w:rPr>
              <w:t xml:space="preserve"> nie więcej niż 5 mln Euro.</w:t>
            </w:r>
          </w:p>
          <w:p w:rsidR="00DE51F0" w:rsidRDefault="00DE51F0" w:rsidP="00DC1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Maksymalną wartość </w:t>
            </w:r>
            <w:r w:rsidRPr="00DE51F0">
              <w:rPr>
                <w:rFonts w:cs="Arial"/>
              </w:rPr>
              <w:t>projektu określa także podział interwencji pomiędzy RPO WD a PO </w:t>
            </w:r>
            <w:proofErr w:type="spellStart"/>
            <w:r w:rsidRPr="00DE51F0">
              <w:rPr>
                <w:rFonts w:cs="Arial"/>
              </w:rPr>
              <w:t>IiŚ</w:t>
            </w:r>
            <w:proofErr w:type="spellEnd"/>
            <w:r w:rsidRPr="00DE51F0">
              <w:rPr>
                <w:rFonts w:cs="Arial"/>
              </w:rPr>
              <w:t xml:space="preserve"> – opisany w pkt 4 Regulaminu.</w:t>
            </w:r>
          </w:p>
          <w:p w:rsidR="007B0A0A" w:rsidRPr="00AB5956" w:rsidRDefault="007B0A0A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maksymalna dopuszczalna kwota do dofinansowania projektu: </w:t>
            </w:r>
          </w:p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2479B3" w:rsidRDefault="003227CB" w:rsidP="008101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  <w:r w:rsidR="002479B3" w:rsidRPr="001741B3">
              <w:rPr>
                <w:sz w:val="22"/>
                <w:szCs w:val="22"/>
              </w:rPr>
              <w:t xml:space="preserve">aksymalny poziom dofinansowania UE na poziomie projektu wynosi: </w:t>
            </w:r>
          </w:p>
          <w:p w:rsidR="003227CB" w:rsidRPr="001741B3" w:rsidRDefault="003227CB" w:rsidP="0081019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479B3" w:rsidRDefault="002B7A29" w:rsidP="00EF3E21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2479B3" w:rsidRPr="001741B3">
              <w:rPr>
                <w:sz w:val="22"/>
                <w:szCs w:val="22"/>
              </w:rPr>
              <w:t xml:space="preserve"> przypadku projektów nieobjętych pomocą publiczną – 85%</w:t>
            </w:r>
            <w:r w:rsidR="001741B3" w:rsidRPr="001741B3">
              <w:rPr>
                <w:sz w:val="22"/>
                <w:szCs w:val="22"/>
              </w:rPr>
              <w:t xml:space="preserve"> kosztów kwalifikowalnych</w:t>
            </w:r>
            <w:r w:rsidR="002479B3" w:rsidRPr="001741B3">
              <w:rPr>
                <w:sz w:val="22"/>
                <w:szCs w:val="22"/>
              </w:rPr>
              <w:t xml:space="preserve">; </w:t>
            </w:r>
          </w:p>
          <w:p w:rsidR="005D67D6" w:rsidRPr="001741B3" w:rsidRDefault="005D67D6" w:rsidP="002B7A29">
            <w:pPr>
              <w:pStyle w:val="Default"/>
              <w:rPr>
                <w:sz w:val="22"/>
                <w:szCs w:val="22"/>
              </w:rPr>
            </w:pPr>
          </w:p>
          <w:p w:rsidR="006B0BAB" w:rsidRDefault="005D67D6" w:rsidP="00EF3E21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DE51F0">
              <w:rPr>
                <w:sz w:val="22"/>
                <w:szCs w:val="22"/>
              </w:rPr>
              <w:t>W</w:t>
            </w:r>
            <w:r w:rsidR="001741B3" w:rsidRPr="00DE51F0">
              <w:rPr>
                <w:sz w:val="22"/>
                <w:szCs w:val="22"/>
              </w:rPr>
              <w:t xml:space="preserve"> przypadku projektu objętego pomocą</w:t>
            </w:r>
            <w:r w:rsidRPr="00DE51F0">
              <w:rPr>
                <w:sz w:val="22"/>
                <w:szCs w:val="22"/>
              </w:rPr>
              <w:t xml:space="preserve"> publiczną w rozumieniu </w:t>
            </w:r>
            <w:r w:rsidR="00DE51F0" w:rsidRPr="00DE51F0">
              <w:rPr>
                <w:sz w:val="22"/>
                <w:szCs w:val="22"/>
              </w:rPr>
              <w:t xml:space="preserve">Rozporządzenia Ministra Infrastruktury i Rozwoju </w:t>
            </w:r>
            <w:r w:rsidR="00DE51F0" w:rsidRPr="00DE51F0">
              <w:rPr>
                <w:rFonts w:eastAsia="TimesNewRoman" w:cs="TimesNewRoman"/>
                <w:sz w:val="22"/>
                <w:szCs w:val="22"/>
              </w:rPr>
              <w:t xml:space="preserve">z dnia 28 sierpnia 2015 r. </w:t>
            </w:r>
            <w:r w:rsidR="00DE51F0" w:rsidRPr="00DE51F0">
              <w:rPr>
                <w:sz w:val="22"/>
                <w:szCs w:val="22"/>
              </w:rPr>
              <w:t>w sprawie udzielania pomocy inwestycyjnej na kulturę i zachowanie dziedzictwa kulturowego w ramach regionalnych programów operacyjnych na lata 2014-2020</w:t>
            </w:r>
            <w:r w:rsidR="006B0BAB">
              <w:rPr>
                <w:sz w:val="22"/>
                <w:szCs w:val="22"/>
              </w:rPr>
              <w:t>:</w:t>
            </w:r>
          </w:p>
          <w:p w:rsidR="002B7A29" w:rsidRDefault="002B7A29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B0BAB" w:rsidRDefault="001741B3" w:rsidP="00EF3E21">
            <w:pPr>
              <w:pStyle w:val="Default"/>
              <w:numPr>
                <w:ilvl w:val="0"/>
                <w:numId w:val="19"/>
              </w:numPr>
              <w:ind w:hanging="403"/>
              <w:jc w:val="both"/>
              <w:rPr>
                <w:sz w:val="22"/>
                <w:szCs w:val="22"/>
              </w:rPr>
            </w:pPr>
            <w:r w:rsidRPr="00DE51F0">
              <w:rPr>
                <w:sz w:val="22"/>
                <w:szCs w:val="22"/>
              </w:rPr>
              <w:t xml:space="preserve">nieprzekraczającą 1 mln </w:t>
            </w:r>
            <w:r w:rsidRPr="002E5B1F">
              <w:rPr>
                <w:sz w:val="22"/>
                <w:szCs w:val="22"/>
              </w:rPr>
              <w:t xml:space="preserve">EUR </w:t>
            </w:r>
            <w:r w:rsidR="00C52777">
              <w:rPr>
                <w:sz w:val="22"/>
                <w:szCs w:val="22"/>
              </w:rPr>
              <w:t xml:space="preserve">(kwoty pomocy) </w:t>
            </w:r>
            <w:r w:rsidRPr="002E5B1F">
              <w:rPr>
                <w:sz w:val="22"/>
                <w:szCs w:val="22"/>
              </w:rPr>
              <w:t>- 80 % kosztów kwalifikowalnych</w:t>
            </w:r>
            <w:r w:rsidR="002B7A29">
              <w:rPr>
                <w:sz w:val="22"/>
                <w:szCs w:val="22"/>
              </w:rPr>
              <w:t>;</w:t>
            </w:r>
          </w:p>
          <w:p w:rsidR="00C52777" w:rsidRDefault="00C52777" w:rsidP="00C52777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:rsidR="003F1BA7" w:rsidRPr="006B0BAB" w:rsidRDefault="006B0BAB" w:rsidP="00EF3E21">
            <w:pPr>
              <w:pStyle w:val="Default"/>
              <w:numPr>
                <w:ilvl w:val="0"/>
                <w:numId w:val="19"/>
              </w:numPr>
              <w:ind w:left="3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64F8A" w:rsidRPr="006B0BAB">
              <w:rPr>
                <w:sz w:val="22"/>
                <w:szCs w:val="22"/>
              </w:rPr>
              <w:t xml:space="preserve">la pozostałych projektów </w:t>
            </w:r>
            <w:r w:rsidR="003F1BA7" w:rsidRPr="006B0BAB">
              <w:rPr>
                <w:sz w:val="22"/>
                <w:szCs w:val="22"/>
              </w:rPr>
              <w:t xml:space="preserve">kwota pomocy nie przekracza różnicy między kosztami kwalifikowalnymi a zyskiem operacyjnym z inwestycji. Zysk operacyjny odlicza się od kosztów kwalifikowalnych </w:t>
            </w:r>
            <w:r w:rsidR="003F1BA7" w:rsidRPr="006B0BAB">
              <w:rPr>
                <w:i/>
                <w:iCs/>
                <w:sz w:val="22"/>
                <w:szCs w:val="22"/>
              </w:rPr>
              <w:t xml:space="preserve">ex </w:t>
            </w:r>
            <w:proofErr w:type="spellStart"/>
            <w:r w:rsidR="003F1BA7" w:rsidRPr="006B0BAB">
              <w:rPr>
                <w:i/>
                <w:iCs/>
                <w:sz w:val="22"/>
                <w:szCs w:val="22"/>
              </w:rPr>
              <w:t>ante</w:t>
            </w:r>
            <w:proofErr w:type="spellEnd"/>
            <w:r w:rsidR="003F1BA7" w:rsidRPr="006B0BAB">
              <w:rPr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3F1BA7" w:rsidRPr="003F1BA7" w:rsidRDefault="003F1BA7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B5956" w:rsidRPr="00565A63" w:rsidRDefault="005D67D6" w:rsidP="00EF3E21">
            <w:pPr>
              <w:pStyle w:val="Default"/>
              <w:numPr>
                <w:ilvl w:val="0"/>
                <w:numId w:val="20"/>
              </w:numPr>
              <w:jc w:val="both"/>
              <w:rPr>
                <w:rFonts w:cs="Arial"/>
                <w:sz w:val="22"/>
                <w:szCs w:val="22"/>
              </w:rPr>
            </w:pPr>
            <w:r w:rsidRPr="00565A63">
              <w:rPr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565A63">
              <w:rPr>
                <w:sz w:val="22"/>
                <w:szCs w:val="22"/>
              </w:rPr>
              <w:t>minimis</w:t>
            </w:r>
            <w:proofErr w:type="spellEnd"/>
            <w:r w:rsidRPr="00565A63">
              <w:rPr>
                <w:sz w:val="22"/>
                <w:szCs w:val="22"/>
              </w:rPr>
              <w:t xml:space="preserve"> - </w:t>
            </w:r>
            <w:r w:rsidR="00CE00BD" w:rsidRPr="00565A63">
              <w:rPr>
                <w:sz w:val="22"/>
                <w:szCs w:val="22"/>
              </w:rPr>
              <w:t>80</w:t>
            </w:r>
            <w:r w:rsidR="002872B3" w:rsidRPr="00565A63">
              <w:rPr>
                <w:sz w:val="22"/>
                <w:szCs w:val="22"/>
              </w:rPr>
              <w:t xml:space="preserve"> % kosztów </w:t>
            </w:r>
            <w:r w:rsidRPr="00565A63">
              <w:rPr>
                <w:sz w:val="22"/>
                <w:szCs w:val="22"/>
              </w:rPr>
              <w:t>kwalifikowalnych.</w:t>
            </w:r>
          </w:p>
          <w:p w:rsidR="00424DF6" w:rsidRPr="00AB5956" w:rsidRDefault="00424DF6" w:rsidP="001741B3">
            <w:pPr>
              <w:contextualSpacing/>
              <w:jc w:val="both"/>
              <w:rPr>
                <w:rFonts w:cs="Calibri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nimalny wkład własny beneficjenta jako % wydatków kwalifikowalnych: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5D67D6" w:rsidRDefault="003227CB" w:rsidP="002B7A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D67D6">
              <w:rPr>
                <w:sz w:val="22"/>
                <w:szCs w:val="22"/>
              </w:rPr>
              <w:t xml:space="preserve">inimalny wkład własny beneficjenta na poziomie projektu wynosi: </w:t>
            </w:r>
          </w:p>
          <w:p w:rsidR="003227CB" w:rsidRDefault="003227CB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B7A29" w:rsidRDefault="002B7A29" w:rsidP="00EF3E21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D67D6">
              <w:rPr>
                <w:sz w:val="22"/>
                <w:szCs w:val="22"/>
              </w:rPr>
              <w:t xml:space="preserve"> przypadku projektów nieobjętych pomocą publiczną – 15%; </w:t>
            </w:r>
          </w:p>
          <w:p w:rsidR="002B7A29" w:rsidRDefault="002B7A29" w:rsidP="002B7A29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:rsidR="002B7A29" w:rsidRDefault="002B7A29" w:rsidP="00EF3E21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D67D6" w:rsidRPr="002B7A29">
              <w:rPr>
                <w:sz w:val="22"/>
                <w:szCs w:val="22"/>
              </w:rPr>
              <w:t xml:space="preserve"> przypadku projektu objętego pomocą publiczną w rozumieniu </w:t>
            </w:r>
            <w:r w:rsidR="00DE51F0" w:rsidRPr="002B7A29">
              <w:rPr>
                <w:sz w:val="22"/>
                <w:szCs w:val="22"/>
              </w:rPr>
              <w:t xml:space="preserve">Rozporządzenia Ministra Infrastruktury i Rozwoju </w:t>
            </w:r>
            <w:r w:rsidR="00DE51F0" w:rsidRPr="002B7A29">
              <w:rPr>
                <w:rFonts w:eastAsia="TimesNewRoman" w:cs="TimesNewRoman"/>
                <w:sz w:val="22"/>
                <w:szCs w:val="22"/>
              </w:rPr>
              <w:t xml:space="preserve">z dnia 28 sierpnia 2015 r. </w:t>
            </w:r>
            <w:r w:rsidR="00DE51F0" w:rsidRPr="002B7A29">
              <w:rPr>
                <w:sz w:val="22"/>
                <w:szCs w:val="22"/>
              </w:rPr>
              <w:t>w sprawie udzielania pomocy inwestycyjnej na kulturę i zachowanie dziedzictwa kulturowego w ramach regionalnych programów operacyjnych na lata 2014-2020</w:t>
            </w:r>
            <w:r>
              <w:rPr>
                <w:sz w:val="22"/>
                <w:szCs w:val="22"/>
              </w:rPr>
              <w:t>:</w:t>
            </w:r>
          </w:p>
          <w:p w:rsidR="002B7A29" w:rsidRDefault="002B7A29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B7A29" w:rsidRDefault="005D67D6" w:rsidP="00EF3E21">
            <w:pPr>
              <w:pStyle w:val="Default"/>
              <w:numPr>
                <w:ilvl w:val="0"/>
                <w:numId w:val="22"/>
              </w:numPr>
              <w:ind w:left="459" w:firstLine="0"/>
              <w:jc w:val="both"/>
              <w:rPr>
                <w:sz w:val="22"/>
                <w:szCs w:val="22"/>
              </w:rPr>
            </w:pPr>
            <w:r w:rsidRPr="002B7A29">
              <w:rPr>
                <w:sz w:val="22"/>
                <w:szCs w:val="22"/>
              </w:rPr>
              <w:t>nieprzekraczającą 1 mln EUR</w:t>
            </w:r>
            <w:r w:rsidR="002B7A29">
              <w:rPr>
                <w:sz w:val="22"/>
                <w:szCs w:val="22"/>
              </w:rPr>
              <w:t xml:space="preserve"> </w:t>
            </w:r>
            <w:r w:rsidR="00C52777">
              <w:rPr>
                <w:sz w:val="22"/>
                <w:szCs w:val="22"/>
              </w:rPr>
              <w:t xml:space="preserve">(kwoty pomocy) </w:t>
            </w:r>
            <w:r w:rsidR="002B7A29">
              <w:rPr>
                <w:sz w:val="22"/>
                <w:szCs w:val="22"/>
              </w:rPr>
              <w:t>– 20% kosztów kwalifikowalnych;</w:t>
            </w:r>
          </w:p>
          <w:p w:rsidR="00C52777" w:rsidRDefault="00C52777" w:rsidP="00C52777">
            <w:pPr>
              <w:pStyle w:val="Default"/>
              <w:ind w:left="459"/>
              <w:jc w:val="both"/>
              <w:rPr>
                <w:sz w:val="22"/>
                <w:szCs w:val="22"/>
              </w:rPr>
            </w:pPr>
          </w:p>
          <w:p w:rsidR="00284BCE" w:rsidRPr="002B7A29" w:rsidRDefault="002B7A29" w:rsidP="00EF3E21">
            <w:pPr>
              <w:pStyle w:val="Default"/>
              <w:numPr>
                <w:ilvl w:val="0"/>
                <w:numId w:val="22"/>
              </w:numPr>
              <w:ind w:left="459" w:firstLine="0"/>
              <w:jc w:val="both"/>
              <w:rPr>
                <w:sz w:val="22"/>
                <w:szCs w:val="22"/>
              </w:rPr>
            </w:pPr>
            <w:r w:rsidRPr="002B7A29">
              <w:rPr>
                <w:sz w:val="22"/>
                <w:szCs w:val="22"/>
              </w:rPr>
              <w:t>dla pozostałych projektów</w:t>
            </w:r>
            <w:r>
              <w:rPr>
                <w:sz w:val="22"/>
                <w:szCs w:val="22"/>
              </w:rPr>
              <w:t xml:space="preserve"> – w zależności od wyliczeń przeprowadzonych zgodnie z pkt 2 b) z pkt 12 niniejszego regulaminu</w:t>
            </w:r>
            <w:r w:rsidRPr="002B7A29">
              <w:rPr>
                <w:sz w:val="22"/>
                <w:szCs w:val="22"/>
              </w:rPr>
              <w:t>.</w:t>
            </w:r>
          </w:p>
          <w:p w:rsidR="002B7A29" w:rsidRPr="005F3E73" w:rsidRDefault="005D67D6" w:rsidP="005F3E7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2B7A29">
              <w:rPr>
                <w:rFonts w:asciiTheme="minorHAnsi" w:hAnsiTheme="minorHAnsi"/>
              </w:rPr>
              <w:t xml:space="preserve">W przypadku projektu objętego pomocą de </w:t>
            </w:r>
            <w:proofErr w:type="spellStart"/>
            <w:r w:rsidRPr="002B7A29">
              <w:rPr>
                <w:rFonts w:asciiTheme="minorHAnsi" w:hAnsiTheme="minorHAnsi"/>
              </w:rPr>
              <w:t>minimis</w:t>
            </w:r>
            <w:proofErr w:type="spellEnd"/>
            <w:r w:rsidRPr="002B7A29">
              <w:rPr>
                <w:rFonts w:asciiTheme="minorHAnsi" w:hAnsiTheme="minorHAnsi"/>
              </w:rPr>
              <w:t xml:space="preserve"> - 2</w:t>
            </w:r>
            <w:r w:rsidR="00284BCE" w:rsidRPr="002B7A29">
              <w:rPr>
                <w:rFonts w:asciiTheme="minorHAnsi" w:hAnsiTheme="minorHAnsi"/>
              </w:rPr>
              <w:t>0</w:t>
            </w:r>
            <w:r w:rsidRPr="002B7A29">
              <w:rPr>
                <w:rFonts w:asciiTheme="minorHAnsi" w:hAnsiTheme="minorHAnsi"/>
              </w:rPr>
              <w:t xml:space="preserve"> % kosztów kwalifikowalnych.</w:t>
            </w:r>
          </w:p>
          <w:p w:rsidR="005F3E73" w:rsidRPr="005F3E73" w:rsidRDefault="005F3E73" w:rsidP="00DA62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89254A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5F3E73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DA4A3C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="00C04E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E2227" w:rsidRDefault="00DE2227" w:rsidP="00DE222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generatora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0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</w:t>
            </w:r>
            <w:r>
              <w:br/>
            </w:r>
            <w:r w:rsidRPr="00151119">
              <w:t xml:space="preserve">w ramach niniejszego konkursu </w:t>
            </w:r>
            <w:r>
              <w:t>w terminie</w:t>
            </w:r>
            <w:r w:rsidR="00C52777">
              <w:t>:</w:t>
            </w:r>
          </w:p>
          <w:p w:rsidR="00DE2227" w:rsidRPr="00C52777" w:rsidRDefault="00DE2227" w:rsidP="00C5277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u w:val="single"/>
              </w:rPr>
            </w:pPr>
            <w:r w:rsidRPr="00141FBD">
              <w:rPr>
                <w:b/>
                <w:u w:val="single"/>
              </w:rPr>
              <w:t xml:space="preserve">od </w:t>
            </w:r>
            <w:r>
              <w:rPr>
                <w:b/>
                <w:u w:val="single"/>
              </w:rPr>
              <w:t xml:space="preserve">godz. 8.00 </w:t>
            </w:r>
            <w:r w:rsidRPr="00141FBD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nia 7 stycznia 2016 r. do godz. 15.00 dnia 5</w:t>
            </w:r>
            <w:r w:rsidRPr="00141FB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lutego</w:t>
            </w:r>
            <w:r w:rsidRPr="00141FBD">
              <w:rPr>
                <w:b/>
                <w:u w:val="single"/>
              </w:rPr>
              <w:t xml:space="preserve"> 2016 r.</w:t>
            </w:r>
          </w:p>
          <w:p w:rsidR="0089254A" w:rsidRPr="00151119" w:rsidRDefault="00DE2227" w:rsidP="00DE222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wyłącznie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>.</w:t>
            </w:r>
          </w:p>
        </w:tc>
      </w:tr>
      <w:tr w:rsidR="005F3E73" w:rsidRPr="00151119" w:rsidTr="006D7C1A">
        <w:tc>
          <w:tcPr>
            <w:tcW w:w="534" w:type="dxa"/>
          </w:tcPr>
          <w:p w:rsidR="005F3E73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5F3E73" w:rsidRPr="00151119" w:rsidRDefault="00DA62AB" w:rsidP="00DA62A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DA62AB" w:rsidRDefault="005F3E73" w:rsidP="00DA62AB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Wszystkie kwestie d</w:t>
            </w:r>
            <w:r w:rsidR="00DA62AB">
              <w:rPr>
                <w:rFonts w:cs="Calibri"/>
              </w:rPr>
              <w:t xml:space="preserve">otyczące naboru opisane zostały w </w:t>
            </w:r>
            <w:r w:rsidRPr="003522A9">
              <w:rPr>
                <w:rFonts w:cs="Calibri"/>
              </w:rPr>
              <w:t>Regulamin</w:t>
            </w:r>
            <w:r w:rsidR="00DA62AB"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</w:t>
            </w:r>
            <w:r w:rsidR="00DA62AB">
              <w:rPr>
                <w:rFonts w:cs="Calibri"/>
              </w:rPr>
              <w:t xml:space="preserve">na stronie internetowej </w:t>
            </w:r>
            <w:hyperlink r:id="rId11" w:history="1">
              <w:r w:rsidR="00DA62AB" w:rsidRPr="00A34735">
                <w:rPr>
                  <w:rStyle w:val="Hipercze"/>
                  <w:rFonts w:cs="Calibri"/>
                </w:rPr>
                <w:t>www.rpo.dolnyslask.pl</w:t>
              </w:r>
            </w:hyperlink>
            <w:r w:rsidR="00DA62AB">
              <w:rPr>
                <w:rFonts w:cs="Calibri"/>
              </w:rPr>
              <w:t xml:space="preserve">  </w:t>
            </w:r>
            <w:r w:rsidR="00DA62AB" w:rsidRPr="003522A9">
              <w:rPr>
                <w:rFonts w:cs="Calibri"/>
              </w:rPr>
              <w:t>oraz na portalu Funduszy Europejskich (</w:t>
            </w:r>
            <w:hyperlink r:id="rId12" w:history="1">
              <w:r w:rsidR="00DA62AB"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 w:rsidR="00DA62AB">
              <w:rPr>
                <w:rFonts w:cs="Calibri"/>
              </w:rPr>
              <w:t>)</w:t>
            </w:r>
            <w:r w:rsidR="00DA62AB" w:rsidRPr="003522A9">
              <w:t>.</w:t>
            </w:r>
            <w:hyperlink r:id="rId13" w:history="1"/>
          </w:p>
        </w:tc>
      </w:tr>
    </w:tbl>
    <w:p w:rsidR="000F329D" w:rsidRDefault="000F329D" w:rsidP="00C52777">
      <w:pPr>
        <w:pStyle w:val="Default"/>
        <w:rPr>
          <w:b/>
          <w:bCs/>
          <w:sz w:val="22"/>
          <w:szCs w:val="22"/>
        </w:rPr>
      </w:pPr>
    </w:p>
    <w:sectPr w:rsidR="000F329D" w:rsidSect="00C52777">
      <w:pgSz w:w="12240" w:h="15840"/>
      <w:pgMar w:top="851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6B" w:rsidRDefault="00ED3C6B" w:rsidP="00E873C4">
      <w:pPr>
        <w:spacing w:after="0" w:line="240" w:lineRule="auto"/>
      </w:pPr>
      <w:r>
        <w:separator/>
      </w:r>
    </w:p>
  </w:endnote>
  <w:endnote w:type="continuationSeparator" w:id="0">
    <w:p w:rsidR="00ED3C6B" w:rsidRDefault="00ED3C6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6B" w:rsidRDefault="00ED3C6B" w:rsidP="00E873C4">
      <w:pPr>
        <w:spacing w:after="0" w:line="240" w:lineRule="auto"/>
      </w:pPr>
      <w:r>
        <w:separator/>
      </w:r>
    </w:p>
  </w:footnote>
  <w:footnote w:type="continuationSeparator" w:id="0">
    <w:p w:rsidR="00ED3C6B" w:rsidRDefault="00ED3C6B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A74B9"/>
    <w:multiLevelType w:val="hybridMultilevel"/>
    <w:tmpl w:val="B94ABAD8"/>
    <w:lvl w:ilvl="0" w:tplc="00609E70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7"/>
  </w:num>
  <w:num w:numId="5">
    <w:abstractNumId w:val="2"/>
  </w:num>
  <w:num w:numId="6">
    <w:abstractNumId w:val="20"/>
  </w:num>
  <w:num w:numId="7">
    <w:abstractNumId w:val="4"/>
  </w:num>
  <w:num w:numId="8">
    <w:abstractNumId w:val="8"/>
  </w:num>
  <w:num w:numId="9">
    <w:abstractNumId w:val="18"/>
  </w:num>
  <w:num w:numId="10">
    <w:abstractNumId w:val="10"/>
  </w:num>
  <w:num w:numId="11">
    <w:abstractNumId w:val="15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0"/>
  </w:num>
  <w:num w:numId="17">
    <w:abstractNumId w:val="22"/>
  </w:num>
  <w:num w:numId="18">
    <w:abstractNumId w:val="12"/>
  </w:num>
  <w:num w:numId="19">
    <w:abstractNumId w:val="1"/>
  </w:num>
  <w:num w:numId="20">
    <w:abstractNumId w:val="11"/>
  </w:num>
  <w:num w:numId="21">
    <w:abstractNumId w:val="13"/>
  </w:num>
  <w:num w:numId="22">
    <w:abstractNumId w:val="21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C10A2"/>
    <w:rsid w:val="000C47BE"/>
    <w:rsid w:val="000E092B"/>
    <w:rsid w:val="000E2E3A"/>
    <w:rsid w:val="000E7206"/>
    <w:rsid w:val="000F329D"/>
    <w:rsid w:val="00101E95"/>
    <w:rsid w:val="0010374F"/>
    <w:rsid w:val="00124CCA"/>
    <w:rsid w:val="00141FBD"/>
    <w:rsid w:val="00151119"/>
    <w:rsid w:val="00163C1F"/>
    <w:rsid w:val="001741B3"/>
    <w:rsid w:val="0019142D"/>
    <w:rsid w:val="00203AEB"/>
    <w:rsid w:val="002049F3"/>
    <w:rsid w:val="00213DD5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A5440"/>
    <w:rsid w:val="002B4B1B"/>
    <w:rsid w:val="002B5686"/>
    <w:rsid w:val="002B7A29"/>
    <w:rsid w:val="002D184C"/>
    <w:rsid w:val="002D6AE8"/>
    <w:rsid w:val="002E5B1F"/>
    <w:rsid w:val="00300E2C"/>
    <w:rsid w:val="00320901"/>
    <w:rsid w:val="003227CB"/>
    <w:rsid w:val="00331C42"/>
    <w:rsid w:val="00344EF4"/>
    <w:rsid w:val="00364F8A"/>
    <w:rsid w:val="00372F5E"/>
    <w:rsid w:val="00386933"/>
    <w:rsid w:val="00387FDF"/>
    <w:rsid w:val="00390D9C"/>
    <w:rsid w:val="00393818"/>
    <w:rsid w:val="003A6136"/>
    <w:rsid w:val="003B6C9D"/>
    <w:rsid w:val="003D6EF8"/>
    <w:rsid w:val="003D7813"/>
    <w:rsid w:val="003F1BA7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F4D56"/>
    <w:rsid w:val="00514909"/>
    <w:rsid w:val="005261AF"/>
    <w:rsid w:val="00530F60"/>
    <w:rsid w:val="0053485A"/>
    <w:rsid w:val="005415B5"/>
    <w:rsid w:val="0056015A"/>
    <w:rsid w:val="00565A63"/>
    <w:rsid w:val="00571FD0"/>
    <w:rsid w:val="005D1AEB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A06B8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9254A"/>
    <w:rsid w:val="008E35D3"/>
    <w:rsid w:val="008E5657"/>
    <w:rsid w:val="008F4AAF"/>
    <w:rsid w:val="00916F84"/>
    <w:rsid w:val="00945D5E"/>
    <w:rsid w:val="00956C47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05980"/>
    <w:rsid w:val="00B41748"/>
    <w:rsid w:val="00B42EB9"/>
    <w:rsid w:val="00B474CB"/>
    <w:rsid w:val="00B5255D"/>
    <w:rsid w:val="00B66089"/>
    <w:rsid w:val="00B66E42"/>
    <w:rsid w:val="00B67EF7"/>
    <w:rsid w:val="00B9341F"/>
    <w:rsid w:val="00BB685A"/>
    <w:rsid w:val="00BE5EED"/>
    <w:rsid w:val="00C04E00"/>
    <w:rsid w:val="00C20A58"/>
    <w:rsid w:val="00C22B29"/>
    <w:rsid w:val="00C22C74"/>
    <w:rsid w:val="00C361E5"/>
    <w:rsid w:val="00C37569"/>
    <w:rsid w:val="00C47AD4"/>
    <w:rsid w:val="00C52777"/>
    <w:rsid w:val="00C77D65"/>
    <w:rsid w:val="00C918E6"/>
    <w:rsid w:val="00CB0572"/>
    <w:rsid w:val="00CE00BD"/>
    <w:rsid w:val="00CE03F4"/>
    <w:rsid w:val="00D0002D"/>
    <w:rsid w:val="00D12C60"/>
    <w:rsid w:val="00D176C2"/>
    <w:rsid w:val="00D53086"/>
    <w:rsid w:val="00D55DFC"/>
    <w:rsid w:val="00D560BA"/>
    <w:rsid w:val="00D647CC"/>
    <w:rsid w:val="00D77233"/>
    <w:rsid w:val="00D814BD"/>
    <w:rsid w:val="00DA4A3C"/>
    <w:rsid w:val="00DA62AB"/>
    <w:rsid w:val="00DB2EA5"/>
    <w:rsid w:val="00DC123A"/>
    <w:rsid w:val="00DC34AB"/>
    <w:rsid w:val="00DD13E8"/>
    <w:rsid w:val="00DD1C76"/>
    <w:rsid w:val="00DD3029"/>
    <w:rsid w:val="00DD68E1"/>
    <w:rsid w:val="00DE2227"/>
    <w:rsid w:val="00DE51F0"/>
    <w:rsid w:val="00E2717D"/>
    <w:rsid w:val="00E5371F"/>
    <w:rsid w:val="00E630E4"/>
    <w:rsid w:val="00E766EE"/>
    <w:rsid w:val="00E820F5"/>
    <w:rsid w:val="00E873C4"/>
    <w:rsid w:val="00ED3C6B"/>
    <w:rsid w:val="00ED3F6F"/>
    <w:rsid w:val="00ED56A0"/>
    <w:rsid w:val="00EF3E21"/>
    <w:rsid w:val="00EF749B"/>
    <w:rsid w:val="00F013EF"/>
    <w:rsid w:val="00F259B1"/>
    <w:rsid w:val="00F55C31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FF10-01D5-4F0E-9272-D5CC76D8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6</cp:revision>
  <cp:lastPrinted>2015-11-17T14:47:00Z</cp:lastPrinted>
  <dcterms:created xsi:type="dcterms:W3CDTF">2015-11-15T14:28:00Z</dcterms:created>
  <dcterms:modified xsi:type="dcterms:W3CDTF">2015-12-30T09:52:00Z</dcterms:modified>
</cp:coreProperties>
</file>