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pPr>
        <w:jc w:val="cente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045582">
        <w:rPr>
          <w:rFonts w:ascii="Calibri" w:hAnsi="Calibri" w:cs="Arial"/>
          <w:b/>
          <w:iCs/>
        </w:rPr>
        <w:t xml:space="preserve"> Nr </w:t>
      </w:r>
      <w:r w:rsidR="008A4905">
        <w:rPr>
          <w:rFonts w:ascii="Calibri" w:hAnsi="Calibri" w:cs="Arial"/>
          <w:b/>
          <w:iCs/>
        </w:rPr>
        <w:t>12</w:t>
      </w:r>
      <w:r w:rsidR="000E50DE" w:rsidRPr="00834CA3">
        <w:rPr>
          <w:rFonts w:ascii="Calibri" w:hAnsi="Calibri" w:cs="Arial"/>
          <w:b/>
          <w:iCs/>
        </w:rPr>
        <w:t>/1</w:t>
      </w:r>
      <w:r w:rsidR="00A473AE">
        <w:rPr>
          <w:rFonts w:ascii="Calibri" w:hAnsi="Calibri" w:cs="Arial"/>
          <w:b/>
          <w:iCs/>
        </w:rPr>
        <w:t>5</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października 2015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 xml:space="preserve">Na podstawie art. 41 ust. 2 pkt 4 ustawy z dnia 5 czerwca 1998 r. o samorządzie województwa (Dz. U. z 2013 r., poz. 596 z </w:t>
      </w:r>
      <w:proofErr w:type="spellStart"/>
      <w:r w:rsidRPr="00FC0ACB">
        <w:rPr>
          <w:rFonts w:ascii="Calibri" w:hAnsi="Calibri"/>
          <w:b w:val="0"/>
          <w:i w:val="0"/>
          <w:sz w:val="24"/>
          <w:szCs w:val="24"/>
        </w:rPr>
        <w:t>późn</w:t>
      </w:r>
      <w:proofErr w:type="spellEnd"/>
      <w:r w:rsidRPr="00FC0ACB">
        <w:rPr>
          <w:rFonts w:ascii="Calibri" w:hAnsi="Calibri"/>
          <w:b w:val="0"/>
          <w:i w:val="0"/>
          <w:sz w:val="24"/>
          <w:szCs w:val="24"/>
        </w:rPr>
        <w:t xml:space="preserve">. zm.)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 xml:space="preserve">w perspektywie finansowej 2014-2020 (Dz. U. </w:t>
      </w:r>
      <w:r w:rsidR="00DA39B4">
        <w:rPr>
          <w:rFonts w:ascii="Calibri" w:hAnsi="Calibri"/>
          <w:b w:val="0"/>
          <w:i w:val="0"/>
          <w:sz w:val="24"/>
          <w:szCs w:val="24"/>
        </w:rPr>
        <w:t xml:space="preserve">z 2014 r. </w:t>
      </w:r>
      <w:r w:rsidRPr="00FC0ACB">
        <w:rPr>
          <w:rFonts w:ascii="Calibri" w:hAnsi="Calibri"/>
          <w:b w:val="0"/>
          <w:i w:val="0"/>
          <w:sz w:val="24"/>
          <w:szCs w:val="24"/>
        </w:rPr>
        <w:t>poz. 114</w:t>
      </w:r>
      <w:r w:rsidR="00DA39B4">
        <w:rPr>
          <w:rFonts w:ascii="Calibri" w:hAnsi="Calibri"/>
          <w:b w:val="0"/>
          <w:i w:val="0"/>
          <w:sz w:val="24"/>
          <w:szCs w:val="24"/>
        </w:rPr>
        <w:t>6</w:t>
      </w:r>
      <w:r w:rsidR="004415A7">
        <w:rPr>
          <w:rFonts w:ascii="Calibri" w:hAnsi="Calibri"/>
          <w:b w:val="0"/>
          <w:i w:val="0"/>
          <w:sz w:val="24"/>
          <w:szCs w:val="24"/>
        </w:rPr>
        <w:t xml:space="preserve"> z </w:t>
      </w:r>
      <w:proofErr w:type="spellStart"/>
      <w:r w:rsidR="004415A7">
        <w:rPr>
          <w:rFonts w:ascii="Calibri" w:hAnsi="Calibri"/>
          <w:b w:val="0"/>
          <w:i w:val="0"/>
          <w:sz w:val="24"/>
          <w:szCs w:val="24"/>
        </w:rPr>
        <w:t>późn</w:t>
      </w:r>
      <w:proofErr w:type="spellEnd"/>
      <w:r w:rsidR="004415A7">
        <w:rPr>
          <w:rFonts w:ascii="Calibri" w:hAnsi="Calibri"/>
          <w:b w:val="0"/>
          <w:i w:val="0"/>
          <w:sz w:val="24"/>
          <w:szCs w:val="24"/>
        </w:rPr>
        <w:t xml:space="preserve">. zm.),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8320D9">
        <w:rPr>
          <w:rFonts w:ascii="Calibri" w:hAnsi="Calibri" w:cs="Arial"/>
          <w:bCs/>
          <w:iCs/>
        </w:rPr>
        <w:t xml:space="preserve"> zmiany w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Pr="00834CA3" w:rsidRDefault="005F07C8">
      <w:pPr>
        <w:pStyle w:val="Tekstpodstawowy"/>
        <w:ind w:left="62" w:firstLine="646"/>
        <w:jc w:val="both"/>
        <w:rPr>
          <w:rFonts w:ascii="Calibri" w:hAnsi="Calibri" w:cs="Arial"/>
          <w:b w:val="0"/>
          <w:bCs/>
          <w:i w:val="0"/>
          <w:iCs/>
          <w:sz w:val="24"/>
          <w:szCs w:val="24"/>
        </w:rPr>
      </w:pPr>
    </w:p>
    <w:p w:rsidR="005F07C8" w:rsidRDefault="005F07C8" w:rsidP="005F07C8">
      <w:pPr>
        <w:pStyle w:val="Tekstpodstawowy"/>
        <w:rPr>
          <w:rFonts w:asciiTheme="minorHAnsi" w:hAnsiTheme="minorHAnsi" w:cs="Arial"/>
          <w:sz w:val="22"/>
          <w:szCs w:val="22"/>
        </w:rPr>
      </w:pPr>
      <w:r>
        <w:rPr>
          <w:rFonts w:asciiTheme="minorHAnsi" w:hAnsiTheme="minorHAnsi" w:cs="Arial"/>
          <w:sz w:val="22"/>
          <w:szCs w:val="22"/>
        </w:rPr>
        <w:lastRenderedPageBreak/>
        <w:t xml:space="preserve">UZASADNIENIE </w:t>
      </w:r>
    </w:p>
    <w:p w:rsidR="005F07C8" w:rsidRDefault="005F07C8" w:rsidP="005F07C8">
      <w:pPr>
        <w:pStyle w:val="Tekstpodstawowy"/>
        <w:rPr>
          <w:rFonts w:asciiTheme="minorHAnsi" w:hAnsiTheme="minorHAnsi" w:cs="Arial"/>
          <w:sz w:val="22"/>
          <w:szCs w:val="22"/>
        </w:rPr>
      </w:pPr>
    </w:p>
    <w:p w:rsidR="005F07C8" w:rsidRDefault="005F07C8" w:rsidP="005F07C8">
      <w:pPr>
        <w:pStyle w:val="Tekstpodstawowy2"/>
        <w:spacing w:line="276" w:lineRule="auto"/>
        <w:rPr>
          <w:rFonts w:asciiTheme="minorHAnsi" w:hAnsiTheme="minorHAnsi"/>
          <w:b/>
          <w:sz w:val="22"/>
          <w:szCs w:val="22"/>
        </w:rPr>
      </w:pPr>
      <w:r>
        <w:rPr>
          <w:rFonts w:asciiTheme="minorHAnsi" w:hAnsiTheme="minorHAnsi"/>
          <w:b/>
          <w:sz w:val="22"/>
          <w:szCs w:val="22"/>
        </w:rPr>
        <w:t>Do Uchwały Nr 12/15 Komitetu Monitorującego Regionalny Program Operacyjny Województwa Dolnośląskiego 2014-2020 z dnia 2 października 2015 roku w sprawie zatwierdzenia zmian w  „Kryteriach wyboru projektów w ramach Regionalnego Programu Operacyjnego Województwa Dolnośląskiego 2014-2020”</w:t>
      </w:r>
    </w:p>
    <w:p w:rsidR="005F07C8" w:rsidRDefault="005F07C8" w:rsidP="005F07C8">
      <w:pPr>
        <w:pStyle w:val="Tekstpodstawowy2"/>
        <w:spacing w:line="276" w:lineRule="auto"/>
        <w:rPr>
          <w:rFonts w:asciiTheme="minorHAnsi" w:hAnsiTheme="minorHAnsi"/>
          <w:b/>
          <w:sz w:val="22"/>
          <w:szCs w:val="22"/>
        </w:rPr>
      </w:pPr>
    </w:p>
    <w:p w:rsidR="005F07C8" w:rsidRDefault="005F07C8" w:rsidP="005F07C8">
      <w:pPr>
        <w:pStyle w:val="Tekstpodstawowy2"/>
        <w:spacing w:line="276" w:lineRule="auto"/>
        <w:rPr>
          <w:rFonts w:ascii="Calibri" w:hAnsi="Calibri"/>
          <w:sz w:val="22"/>
          <w:szCs w:val="22"/>
        </w:rPr>
      </w:pPr>
      <w:r>
        <w:rPr>
          <w:rFonts w:ascii="Calibri" w:hAnsi="Calibri"/>
          <w:sz w:val="22"/>
          <w:szCs w:val="22"/>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Pr>
          <w:rFonts w:ascii="Calibri" w:hAnsi="Calibri"/>
          <w:sz w:val="22"/>
          <w:szCs w:val="22"/>
        </w:rPr>
        <w:br/>
        <w:t>i Rybackieg</w:t>
      </w:r>
      <w:bookmarkStart w:id="0" w:name="_GoBack"/>
      <w:bookmarkEnd w:id="0"/>
      <w:r>
        <w:rPr>
          <w:rFonts w:ascii="Calibri" w:hAnsi="Calibri"/>
          <w:sz w:val="22"/>
          <w:szCs w:val="22"/>
        </w:rPr>
        <w:t>o oraz uchylającego rozporządzenie Rady (WE) nr 1083/2006 Komitet Monitorujący rozpatruje i zatwierdza metodykę i kryteria wyboru operacji.</w:t>
      </w:r>
    </w:p>
    <w:p w:rsidR="005F07C8" w:rsidRDefault="005F07C8" w:rsidP="005F07C8">
      <w:pPr>
        <w:pStyle w:val="Tekstpodstawowywcity"/>
        <w:spacing w:line="276" w:lineRule="auto"/>
        <w:ind w:left="0"/>
        <w:jc w:val="both"/>
        <w:rPr>
          <w:rFonts w:asciiTheme="minorHAnsi" w:hAnsiTheme="minorHAnsi" w:cs="Arial"/>
          <w:sz w:val="22"/>
          <w:szCs w:val="22"/>
        </w:rPr>
      </w:pPr>
    </w:p>
    <w:p w:rsidR="005F07C8" w:rsidRDefault="005F07C8" w:rsidP="005F07C8">
      <w:pPr>
        <w:pStyle w:val="Standard"/>
        <w:spacing w:line="276" w:lineRule="auto"/>
        <w:ind w:right="72"/>
        <w:jc w:val="both"/>
        <w:rPr>
          <w:rFonts w:ascii="Calibri" w:hAnsi="Calibri" w:cs="Arial"/>
          <w:sz w:val="22"/>
          <w:szCs w:val="22"/>
        </w:rPr>
      </w:pPr>
      <w:r>
        <w:rPr>
          <w:rFonts w:ascii="Calibri" w:hAnsi="Calibri" w:cs="Arial"/>
          <w:sz w:val="22"/>
          <w:szCs w:val="22"/>
        </w:rPr>
        <w:t xml:space="preserve">Zgodnie z wytycznymi w zakresie szczegółowego opisu osi priorytetowych krajowych </w:t>
      </w:r>
      <w:r>
        <w:rPr>
          <w:rFonts w:ascii="Calibri" w:hAnsi="Calibri" w:cs="Arial"/>
          <w:sz w:val="22"/>
          <w:szCs w:val="22"/>
        </w:rPr>
        <w:br/>
        <w:t xml:space="preserve">i regionalnych programów operacyjnych na lata 2014-2020 Ministerstwa Infrastruktury </w:t>
      </w:r>
      <w:r>
        <w:rPr>
          <w:rFonts w:ascii="Calibri" w:hAnsi="Calibri" w:cs="Arial"/>
          <w:sz w:val="22"/>
          <w:szCs w:val="22"/>
        </w:rPr>
        <w:br/>
        <w:t>i Rozwoju z dnia 30 stycznia 2015 r. dopuszcza się etapowe przyjmowanie kryteriów wyboru projektów przez Komitet Monitorujący np. dla poszczególnych osi priorytetowych, działań lub poddziałań.</w:t>
      </w:r>
    </w:p>
    <w:p w:rsidR="005F07C8" w:rsidRDefault="005F07C8" w:rsidP="005F07C8">
      <w:pPr>
        <w:pStyle w:val="Standard"/>
        <w:spacing w:line="276" w:lineRule="auto"/>
        <w:ind w:right="72"/>
        <w:jc w:val="both"/>
        <w:rPr>
          <w:rFonts w:ascii="Calibri" w:hAnsi="Calibri" w:cs="Arial"/>
          <w:sz w:val="22"/>
          <w:szCs w:val="22"/>
        </w:rPr>
      </w:pPr>
    </w:p>
    <w:p w:rsidR="005F07C8" w:rsidRDefault="005F07C8" w:rsidP="005F07C8">
      <w:pPr>
        <w:pStyle w:val="Standard"/>
        <w:spacing w:line="276" w:lineRule="auto"/>
        <w:ind w:right="72"/>
        <w:jc w:val="both"/>
        <w:rPr>
          <w:rFonts w:ascii="Calibri" w:hAnsi="Calibri" w:cs="Arial"/>
          <w:sz w:val="22"/>
          <w:szCs w:val="22"/>
        </w:rPr>
      </w:pPr>
      <w:r>
        <w:rPr>
          <w:rFonts w:ascii="Calibri" w:hAnsi="Calibri" w:cs="Arial"/>
          <w:sz w:val="22"/>
          <w:szCs w:val="22"/>
        </w:rPr>
        <w:t>W związku z powyższym przygotowano propozycję następujących kryteriów wyboru projektów Regionalnego Programu Operacyjnego Województwa Dolnośląskiego 2014-2020:</w:t>
      </w:r>
    </w:p>
    <w:p w:rsidR="005F07C8" w:rsidRDefault="005F07C8" w:rsidP="005F07C8">
      <w:pPr>
        <w:pStyle w:val="Standard"/>
        <w:spacing w:line="276" w:lineRule="auto"/>
        <w:ind w:right="72"/>
        <w:jc w:val="both"/>
        <w:rPr>
          <w:rFonts w:ascii="Calibri" w:hAnsi="Calibri" w:cs="Arial"/>
          <w:sz w:val="22"/>
          <w:szCs w:val="22"/>
        </w:rPr>
      </w:pPr>
    </w:p>
    <w:p w:rsidR="005F07C8" w:rsidRDefault="005F07C8" w:rsidP="005F07C8">
      <w:pPr>
        <w:pStyle w:val="Standard"/>
        <w:numPr>
          <w:ilvl w:val="0"/>
          <w:numId w:val="22"/>
        </w:numPr>
        <w:spacing w:line="276" w:lineRule="auto"/>
        <w:ind w:right="72"/>
        <w:jc w:val="both"/>
        <w:rPr>
          <w:rFonts w:ascii="Calibri" w:hAnsi="Calibri" w:cs="Arial"/>
          <w:sz w:val="22"/>
          <w:szCs w:val="22"/>
        </w:rPr>
      </w:pPr>
      <w:r>
        <w:rPr>
          <w:rFonts w:ascii="Calibri" w:hAnsi="Calibri" w:cs="Arial"/>
          <w:sz w:val="22"/>
          <w:szCs w:val="22"/>
        </w:rPr>
        <w:t>Kryteria merytoryczne specyficzne - dla działania 3.2 Efektywność energetyczna w MŚP</w:t>
      </w:r>
    </w:p>
    <w:p w:rsidR="005F07C8" w:rsidRDefault="005F07C8" w:rsidP="005F07C8">
      <w:pPr>
        <w:pStyle w:val="Standard"/>
        <w:numPr>
          <w:ilvl w:val="0"/>
          <w:numId w:val="22"/>
        </w:numPr>
        <w:spacing w:line="276" w:lineRule="auto"/>
        <w:ind w:right="72"/>
        <w:jc w:val="both"/>
        <w:rPr>
          <w:rFonts w:ascii="Calibri" w:hAnsi="Calibri" w:cs="Arial"/>
          <w:sz w:val="22"/>
          <w:szCs w:val="22"/>
        </w:rPr>
      </w:pPr>
      <w:r>
        <w:rPr>
          <w:rFonts w:ascii="Calibri" w:hAnsi="Calibri" w:cs="Arial"/>
          <w:sz w:val="22"/>
          <w:szCs w:val="22"/>
        </w:rPr>
        <w:t xml:space="preserve">Kryteria dostępu dla działania 8.2 – tryb pozakonkursowy </w:t>
      </w:r>
    </w:p>
    <w:p w:rsidR="005F07C8" w:rsidRDefault="005F07C8" w:rsidP="005F07C8">
      <w:pPr>
        <w:pStyle w:val="Standard"/>
        <w:numPr>
          <w:ilvl w:val="0"/>
          <w:numId w:val="22"/>
        </w:numPr>
        <w:spacing w:line="276" w:lineRule="auto"/>
        <w:ind w:right="72"/>
        <w:jc w:val="both"/>
        <w:rPr>
          <w:rFonts w:ascii="Calibri" w:hAnsi="Calibri" w:cs="Arial"/>
          <w:sz w:val="22"/>
          <w:szCs w:val="22"/>
        </w:rPr>
      </w:pPr>
      <w:r>
        <w:rPr>
          <w:rFonts w:ascii="Calibri" w:hAnsi="Calibri" w:cs="Arial"/>
          <w:sz w:val="22"/>
          <w:szCs w:val="22"/>
        </w:rPr>
        <w:t xml:space="preserve">Kryteria dostępu i premiujące dla działania 8.3 – tryb konkursowy </w:t>
      </w:r>
    </w:p>
    <w:p w:rsidR="005F07C8" w:rsidRDefault="005F07C8" w:rsidP="005F07C8">
      <w:pPr>
        <w:pStyle w:val="Standard"/>
        <w:numPr>
          <w:ilvl w:val="0"/>
          <w:numId w:val="22"/>
        </w:numPr>
        <w:spacing w:line="276" w:lineRule="auto"/>
        <w:ind w:right="72"/>
        <w:jc w:val="both"/>
        <w:rPr>
          <w:rFonts w:ascii="Calibri" w:hAnsi="Calibri" w:cs="Arial"/>
          <w:sz w:val="22"/>
          <w:szCs w:val="22"/>
        </w:rPr>
      </w:pPr>
      <w:r>
        <w:rPr>
          <w:rFonts w:ascii="Calibri" w:hAnsi="Calibri" w:cs="Arial"/>
          <w:sz w:val="22"/>
          <w:szCs w:val="22"/>
        </w:rPr>
        <w:t xml:space="preserve">Kryteria dostępu i premiujące dla działania 8.4 – tryb konkursowy </w:t>
      </w:r>
    </w:p>
    <w:p w:rsidR="005F07C8" w:rsidRDefault="005F07C8" w:rsidP="005F07C8">
      <w:pPr>
        <w:pStyle w:val="Standard"/>
        <w:numPr>
          <w:ilvl w:val="0"/>
          <w:numId w:val="22"/>
        </w:numPr>
        <w:spacing w:line="276" w:lineRule="auto"/>
        <w:ind w:right="72"/>
        <w:jc w:val="both"/>
        <w:rPr>
          <w:rFonts w:ascii="Calibri" w:hAnsi="Calibri" w:cs="Arial"/>
          <w:sz w:val="22"/>
          <w:szCs w:val="22"/>
        </w:rPr>
      </w:pPr>
      <w:r>
        <w:rPr>
          <w:rFonts w:ascii="Calibri" w:hAnsi="Calibri" w:cs="Arial"/>
          <w:sz w:val="22"/>
          <w:szCs w:val="22"/>
        </w:rPr>
        <w:t xml:space="preserve">Kryteria dostępu i premiujące dla działania 10.1 – tryb konkursowy </w:t>
      </w:r>
    </w:p>
    <w:p w:rsidR="005F07C8" w:rsidRDefault="005F07C8" w:rsidP="005F07C8">
      <w:pPr>
        <w:pStyle w:val="Standard"/>
        <w:spacing w:line="276" w:lineRule="auto"/>
        <w:ind w:right="72"/>
        <w:jc w:val="both"/>
        <w:rPr>
          <w:rFonts w:ascii="Calibri" w:hAnsi="Calibri" w:cs="Arial"/>
          <w:sz w:val="22"/>
          <w:szCs w:val="22"/>
        </w:rPr>
      </w:pPr>
    </w:p>
    <w:p w:rsidR="005F07C8" w:rsidRDefault="005F07C8" w:rsidP="005F07C8">
      <w:pPr>
        <w:pStyle w:val="Standard"/>
        <w:spacing w:line="276" w:lineRule="auto"/>
        <w:ind w:right="72"/>
        <w:jc w:val="both"/>
        <w:rPr>
          <w:rFonts w:ascii="Calibri" w:hAnsi="Calibri" w:cs="Arial"/>
          <w:sz w:val="22"/>
          <w:szCs w:val="22"/>
        </w:rPr>
      </w:pPr>
    </w:p>
    <w:p w:rsidR="00DE362A" w:rsidRPr="00834CA3" w:rsidRDefault="00DE362A">
      <w:pPr>
        <w:pStyle w:val="Tekstpodstawowy"/>
        <w:spacing w:line="320" w:lineRule="exact"/>
        <w:jc w:val="both"/>
        <w:rPr>
          <w:rFonts w:ascii="Calibri" w:hAnsi="Calibri" w:cs="Arial"/>
          <w:b w:val="0"/>
          <w:bCs/>
          <w:i w:val="0"/>
          <w:iCs/>
          <w:sz w:val="24"/>
          <w:szCs w:val="24"/>
        </w:rPr>
      </w:pPr>
    </w:p>
    <w:sectPr w:rsidR="00DE362A" w:rsidRPr="00834CA3" w:rsidSect="006E23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Pr="00222607" w:rsidRDefault="006F6174" w:rsidP="00222607">
    <w:pPr>
      <w:pStyle w:val="Stopka"/>
      <w:jc w:val="center"/>
      <w:rPr>
        <w:rFonts w:ascii="Calibri" w:hAnsi="Calibri"/>
      </w:rPr>
    </w:pPr>
    <w:r w:rsidRPr="00222607">
      <w:rPr>
        <w:rFonts w:ascii="Calibri" w:hAnsi="Calibri"/>
      </w:rPr>
      <w:t xml:space="preserve">Strona </w:t>
    </w:r>
    <w:r w:rsidR="00206416" w:rsidRPr="00222607">
      <w:rPr>
        <w:rFonts w:ascii="Calibri" w:hAnsi="Calibri"/>
        <w:b/>
      </w:rPr>
      <w:fldChar w:fldCharType="begin"/>
    </w:r>
    <w:r w:rsidRPr="00222607">
      <w:rPr>
        <w:rFonts w:ascii="Calibri" w:hAnsi="Calibri"/>
        <w:b/>
      </w:rPr>
      <w:instrText>PAGE</w:instrText>
    </w:r>
    <w:r w:rsidR="00206416" w:rsidRPr="00222607">
      <w:rPr>
        <w:rFonts w:ascii="Calibri" w:hAnsi="Calibri"/>
        <w:b/>
      </w:rPr>
      <w:fldChar w:fldCharType="separate"/>
    </w:r>
    <w:r w:rsidR="005F07C8">
      <w:rPr>
        <w:rFonts w:ascii="Calibri" w:hAnsi="Calibri"/>
        <w:b/>
        <w:noProof/>
      </w:rPr>
      <w:t>2</w:t>
    </w:r>
    <w:r w:rsidR="00206416" w:rsidRPr="00222607">
      <w:rPr>
        <w:rFonts w:ascii="Calibri" w:hAnsi="Calibri"/>
        <w:b/>
      </w:rPr>
      <w:fldChar w:fldCharType="end"/>
    </w:r>
    <w:r w:rsidRPr="00222607">
      <w:rPr>
        <w:rFonts w:ascii="Calibri" w:hAnsi="Calibri"/>
      </w:rPr>
      <w:t xml:space="preserve"> z </w:t>
    </w:r>
    <w:r w:rsidR="00206416" w:rsidRPr="00222607">
      <w:rPr>
        <w:rFonts w:ascii="Calibri" w:hAnsi="Calibri"/>
        <w:b/>
      </w:rPr>
      <w:fldChar w:fldCharType="begin"/>
    </w:r>
    <w:r w:rsidRPr="00222607">
      <w:rPr>
        <w:rFonts w:ascii="Calibri" w:hAnsi="Calibri"/>
        <w:b/>
      </w:rPr>
      <w:instrText>NUMPAGES</w:instrText>
    </w:r>
    <w:r w:rsidR="00206416" w:rsidRPr="00222607">
      <w:rPr>
        <w:rFonts w:ascii="Calibri" w:hAnsi="Calibri"/>
        <w:b/>
      </w:rPr>
      <w:fldChar w:fldCharType="separate"/>
    </w:r>
    <w:r w:rsidR="005F07C8">
      <w:rPr>
        <w:rFonts w:ascii="Calibri" w:hAnsi="Calibri"/>
        <w:b/>
        <w:noProof/>
      </w:rPr>
      <w:t>2</w:t>
    </w:r>
    <w:r w:rsidR="00206416"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6">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0"/>
  </w:num>
  <w:num w:numId="5">
    <w:abstractNumId w:val="6"/>
  </w:num>
  <w:num w:numId="6">
    <w:abstractNumId w:val="17"/>
  </w:num>
  <w:num w:numId="7">
    <w:abstractNumId w:val="9"/>
  </w:num>
  <w:num w:numId="8">
    <w:abstractNumId w:val="21"/>
  </w:num>
  <w:num w:numId="9">
    <w:abstractNumId w:val="14"/>
  </w:num>
  <w:num w:numId="10">
    <w:abstractNumId w:val="16"/>
  </w:num>
  <w:num w:numId="11">
    <w:abstractNumId w:val="7"/>
  </w:num>
  <w:num w:numId="12">
    <w:abstractNumId w:val="13"/>
  </w:num>
  <w:num w:numId="13">
    <w:abstractNumId w:val="15"/>
  </w:num>
  <w:num w:numId="14">
    <w:abstractNumId w:val="18"/>
  </w:num>
  <w:num w:numId="15">
    <w:abstractNumId w:val="1"/>
  </w:num>
  <w:num w:numId="16">
    <w:abstractNumId w:val="11"/>
  </w:num>
  <w:num w:numId="17">
    <w:abstractNumId w:val="12"/>
  </w:num>
  <w:num w:numId="18">
    <w:abstractNumId w:val="19"/>
  </w:num>
  <w:num w:numId="19">
    <w:abstractNumId w:val="20"/>
  </w:num>
  <w:num w:numId="20">
    <w:abstractNumId w:val="3"/>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45582"/>
    <w:rsid w:val="000706C5"/>
    <w:rsid w:val="000E50DE"/>
    <w:rsid w:val="00124DCB"/>
    <w:rsid w:val="00170C6A"/>
    <w:rsid w:val="0017269A"/>
    <w:rsid w:val="001C6983"/>
    <w:rsid w:val="00206416"/>
    <w:rsid w:val="0021662B"/>
    <w:rsid w:val="00222607"/>
    <w:rsid w:val="00245F15"/>
    <w:rsid w:val="00272DE9"/>
    <w:rsid w:val="00281500"/>
    <w:rsid w:val="00292950"/>
    <w:rsid w:val="002F40C4"/>
    <w:rsid w:val="00306081"/>
    <w:rsid w:val="0031062E"/>
    <w:rsid w:val="00311206"/>
    <w:rsid w:val="00326FB9"/>
    <w:rsid w:val="00336FCE"/>
    <w:rsid w:val="00345F4C"/>
    <w:rsid w:val="00363C25"/>
    <w:rsid w:val="003E38E4"/>
    <w:rsid w:val="00433EB1"/>
    <w:rsid w:val="004415A7"/>
    <w:rsid w:val="0048107A"/>
    <w:rsid w:val="00497964"/>
    <w:rsid w:val="004A7640"/>
    <w:rsid w:val="004B4ACB"/>
    <w:rsid w:val="004C2982"/>
    <w:rsid w:val="004D0B12"/>
    <w:rsid w:val="00510170"/>
    <w:rsid w:val="00534E04"/>
    <w:rsid w:val="00534ED5"/>
    <w:rsid w:val="00556AB2"/>
    <w:rsid w:val="00564D17"/>
    <w:rsid w:val="005F07C8"/>
    <w:rsid w:val="00696F32"/>
    <w:rsid w:val="006D2996"/>
    <w:rsid w:val="006E23FF"/>
    <w:rsid w:val="006F6174"/>
    <w:rsid w:val="006F6DE6"/>
    <w:rsid w:val="0073157F"/>
    <w:rsid w:val="00745711"/>
    <w:rsid w:val="00747BA5"/>
    <w:rsid w:val="00761B6F"/>
    <w:rsid w:val="007C1376"/>
    <w:rsid w:val="007C219F"/>
    <w:rsid w:val="00804FA5"/>
    <w:rsid w:val="00827917"/>
    <w:rsid w:val="008320D9"/>
    <w:rsid w:val="00834CA3"/>
    <w:rsid w:val="00857A5B"/>
    <w:rsid w:val="008605F7"/>
    <w:rsid w:val="008A4905"/>
    <w:rsid w:val="008B5A51"/>
    <w:rsid w:val="008D1B42"/>
    <w:rsid w:val="00922744"/>
    <w:rsid w:val="00941F04"/>
    <w:rsid w:val="009A28F7"/>
    <w:rsid w:val="009B2CB3"/>
    <w:rsid w:val="009C4906"/>
    <w:rsid w:val="00A11982"/>
    <w:rsid w:val="00A15733"/>
    <w:rsid w:val="00A176F2"/>
    <w:rsid w:val="00A473AE"/>
    <w:rsid w:val="00A50E91"/>
    <w:rsid w:val="00A636D0"/>
    <w:rsid w:val="00A70051"/>
    <w:rsid w:val="00B024F4"/>
    <w:rsid w:val="00B948FB"/>
    <w:rsid w:val="00BD1D8E"/>
    <w:rsid w:val="00BE05C5"/>
    <w:rsid w:val="00C039F8"/>
    <w:rsid w:val="00C042F6"/>
    <w:rsid w:val="00C10CD0"/>
    <w:rsid w:val="00C62AAC"/>
    <w:rsid w:val="00CB540F"/>
    <w:rsid w:val="00CE3925"/>
    <w:rsid w:val="00CF4250"/>
    <w:rsid w:val="00D3029E"/>
    <w:rsid w:val="00D430EE"/>
    <w:rsid w:val="00D572AD"/>
    <w:rsid w:val="00D9665F"/>
    <w:rsid w:val="00DA39B4"/>
    <w:rsid w:val="00DB7BDA"/>
    <w:rsid w:val="00DE362A"/>
    <w:rsid w:val="00DF3401"/>
    <w:rsid w:val="00DF6510"/>
    <w:rsid w:val="00E101FC"/>
    <w:rsid w:val="00E63FC1"/>
    <w:rsid w:val="00E6541B"/>
    <w:rsid w:val="00EB495B"/>
    <w:rsid w:val="00EF0770"/>
    <w:rsid w:val="00F3273C"/>
    <w:rsid w:val="00F85E4C"/>
    <w:rsid w:val="00FB6BFF"/>
    <w:rsid w:val="00FC0ACB"/>
    <w:rsid w:val="00FC3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3202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4</cp:revision>
  <cp:lastPrinted>2015-10-05T12:58:00Z</cp:lastPrinted>
  <dcterms:created xsi:type="dcterms:W3CDTF">2015-09-21T07:26:00Z</dcterms:created>
  <dcterms:modified xsi:type="dcterms:W3CDTF">2015-10-06T10:31:00Z</dcterms:modified>
</cp:coreProperties>
</file>